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0444" w14:textId="7EB760F2" w:rsidR="00BA64EC" w:rsidRDefault="0019156E" w:rsidP="0031137F">
      <w:pPr>
        <w:pStyle w:val="Polityk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B20A474" wp14:editId="6B203344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10764000" cy="8280000"/>
                <wp:effectExtent l="0" t="0" r="0" b="6985"/>
                <wp:wrapNone/>
                <wp:docPr id="1452145905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4000" cy="828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9D7CF" w14:textId="77777777" w:rsidR="00BA64EC" w:rsidRDefault="00BA64EC" w:rsidP="00BA64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0A474" id="Prostokąt 91" o:spid="_x0000_s1026" style="position:absolute;margin-left:796.35pt;margin-top:-70.85pt;width:847.55pt;height:651.95pt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" fillcolor="#603" stroked="f" strokeweight="1pt">
                <v:textbox>
                  <w:txbxContent>
                    <w:p w14:paraId="4EC9D7CF" w14:textId="77777777" w:rsidR="00BA64EC" w:rsidRDefault="00BA64EC" w:rsidP="00BA64E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41398">
        <w:t xml:space="preserve"> </w:t>
      </w:r>
      <w:r w:rsidR="00DE0CE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B08741" wp14:editId="1E0B600C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1955165" cy="930275"/>
                <wp:effectExtent l="0" t="0" r="6985" b="3175"/>
                <wp:wrapNone/>
                <wp:docPr id="6224250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5" cy="930275"/>
                        </a:xfrm>
                        <a:prstGeom prst="rect">
                          <a:avLst/>
                        </a:prstGeom>
                        <a:solidFill>
                          <a:srgbClr val="92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FBA45" w14:textId="720C7C9E" w:rsidR="00BA64EC" w:rsidRPr="003D525D" w:rsidRDefault="00363592" w:rsidP="00BA64EC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40"/>
                                <w:szCs w:val="40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08741" id="Prostokąt 92" o:spid="_x0000_s1027" style="position:absolute;margin-left:102.75pt;margin-top:7.35pt;width:153.95pt;height:73.2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" fillcolor="#920000" strokecolor="#030e13 [484]" strokeweight="1pt">
                <v:path arrowok="t"/>
                <v:textbox>
                  <w:txbxContent>
                    <w:p w14:paraId="73EFBA45" w14:textId="720C7C9E" w:rsidR="00BA64EC" w:rsidRPr="003D525D" w:rsidRDefault="00363592" w:rsidP="00BA64EC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0"/>
                          <w:szCs w:val="40"/>
                        </w:rPr>
                      </w:pPr>
                      <w:r>
                        <w:rPr>
                          <w:rFonts w:ascii="Bahnschrift" w:hAnsi="Bahnschrift"/>
                          <w:sz w:val="40"/>
                          <w:szCs w:val="40"/>
                        </w:rPr>
                        <w:t>PROJEKT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137F">
        <w:rPr>
          <w:noProof/>
        </w:rPr>
        <w:drawing>
          <wp:inline distT="0" distB="0" distL="0" distR="0" wp14:anchorId="74FB0816" wp14:editId="0AE13F34">
            <wp:extent cx="1733948" cy="971550"/>
            <wp:effectExtent l="0" t="0" r="0" b="0"/>
            <wp:docPr id="1712918061" name="Obraz 98" descr="Obraz zawierający tekst, Grafika, projekt graficzny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18061" name="Obraz 98" descr="Obraz zawierający tekst, Grafika, projekt graficzny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08" cy="97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05CE" w14:textId="6EA04069" w:rsidR="0019156E" w:rsidRPr="0019156E" w:rsidRDefault="0019156E" w:rsidP="008051D0">
      <w:pPr>
        <w:pStyle w:val="Tytu"/>
        <w:spacing w:before="360" w:after="360"/>
        <w:contextualSpacing w:val="0"/>
        <w:rPr>
          <w:rFonts w:eastAsiaTheme="minorHAnsi"/>
          <w:b/>
          <w:bCs/>
          <w:sz w:val="68"/>
          <w:szCs w:val="68"/>
        </w:rPr>
      </w:pPr>
      <w:r>
        <w:rPr>
          <w:rFonts w:eastAsiaTheme="minorHAnsi"/>
          <w:b/>
          <w:bCs/>
          <w:sz w:val="68"/>
          <w:szCs w:val="68"/>
        </w:rPr>
        <w:t xml:space="preserve">Załącznik </w:t>
      </w:r>
      <w:r w:rsidR="00A41E57">
        <w:rPr>
          <w:rFonts w:eastAsiaTheme="minorHAnsi"/>
          <w:b/>
          <w:bCs/>
          <w:sz w:val="68"/>
          <w:szCs w:val="68"/>
        </w:rPr>
        <w:t>6</w:t>
      </w:r>
      <w:r w:rsidRPr="0019156E">
        <w:rPr>
          <w:rFonts w:eastAsiaTheme="minorHAnsi"/>
          <w:b/>
          <w:bCs/>
          <w:sz w:val="68"/>
          <w:szCs w:val="68"/>
        </w:rPr>
        <w:t>. do aKPEiK</w:t>
      </w:r>
    </w:p>
    <w:p w14:paraId="6327870F" w14:textId="6A85A86C" w:rsidR="001144FC" w:rsidRDefault="0019156E" w:rsidP="0019156E">
      <w:pPr>
        <w:pStyle w:val="Tytu"/>
        <w:spacing w:after="360"/>
        <w:contextualSpacing w:val="0"/>
        <w:rPr>
          <w:rFonts w:eastAsiaTheme="minorHAnsi"/>
          <w:b/>
          <w:bCs/>
          <w:sz w:val="68"/>
          <w:szCs w:val="68"/>
        </w:rPr>
      </w:pPr>
      <w:r>
        <w:rPr>
          <w:rFonts w:eastAsiaTheme="minorHAnsi"/>
          <w:b/>
          <w:bCs/>
          <w:sz w:val="68"/>
          <w:szCs w:val="68"/>
        </w:rPr>
        <w:t>Odniesienie do zaleceń Komisji Europejskiej do projektu aKPEiK z 29</w:t>
      </w:r>
      <w:r w:rsidR="007D7D13">
        <w:rPr>
          <w:rFonts w:eastAsiaTheme="minorHAnsi"/>
          <w:b/>
          <w:bCs/>
          <w:sz w:val="68"/>
          <w:szCs w:val="68"/>
        </w:rPr>
        <w:t xml:space="preserve"> lutego </w:t>
      </w:r>
      <w:r>
        <w:rPr>
          <w:rFonts w:eastAsiaTheme="minorHAnsi"/>
          <w:b/>
          <w:bCs/>
          <w:sz w:val="68"/>
          <w:szCs w:val="68"/>
        </w:rPr>
        <w:t xml:space="preserve">2024 r. </w:t>
      </w:r>
    </w:p>
    <w:p w14:paraId="60D124E9" w14:textId="728339A5" w:rsidR="008051D0" w:rsidRDefault="008051D0" w:rsidP="008051D0">
      <w:r>
        <w:rPr>
          <w:noProof/>
        </w:rPr>
        <w:drawing>
          <wp:anchor distT="0" distB="0" distL="114300" distR="114300" simplePos="0" relativeHeight="251658244" behindDoc="0" locked="0" layoutInCell="1" allowOverlap="1" wp14:anchorId="512D0FC1" wp14:editId="69CD8594">
            <wp:simplePos x="0" y="0"/>
            <wp:positionH relativeFrom="page">
              <wp:posOffset>-21771</wp:posOffset>
            </wp:positionH>
            <wp:positionV relativeFrom="paragraph">
              <wp:posOffset>208280</wp:posOffset>
            </wp:positionV>
            <wp:extent cx="10708634" cy="1719943"/>
            <wp:effectExtent l="0" t="0" r="0" b="0"/>
            <wp:wrapNone/>
            <wp:docPr id="1646956987" name="Obraz 3" descr="Obraz zawierający Deska, drewniany, drewn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56987" name="Obraz 3" descr="Obraz zawierający Deska, drewniany, drewno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10826" cy="172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82E9C" w14:textId="57C4C374" w:rsidR="008051D0" w:rsidRDefault="008051D0" w:rsidP="008051D0"/>
    <w:p w14:paraId="6CEFE173" w14:textId="77777777" w:rsidR="008051D0" w:rsidRDefault="008051D0" w:rsidP="008051D0"/>
    <w:p w14:paraId="03C86E29" w14:textId="77777777" w:rsidR="008051D0" w:rsidRDefault="008051D0" w:rsidP="008051D0"/>
    <w:p w14:paraId="68F55B01" w14:textId="77777777" w:rsidR="008051D0" w:rsidRDefault="008051D0" w:rsidP="008051D0"/>
    <w:p w14:paraId="53CB5412" w14:textId="77777777" w:rsidR="008051D0" w:rsidRDefault="008051D0" w:rsidP="008051D0"/>
    <w:p w14:paraId="557F44E3" w14:textId="77777777" w:rsidR="008051D0" w:rsidRDefault="008051D0" w:rsidP="008051D0"/>
    <w:p w14:paraId="4489711C" w14:textId="77777777" w:rsidR="008051D0" w:rsidRDefault="008051D0" w:rsidP="008051D0"/>
    <w:p w14:paraId="0D52314D" w14:textId="2DCED8AA" w:rsidR="008051D0" w:rsidRPr="008051D0" w:rsidRDefault="008051D0" w:rsidP="008051D0">
      <w:pPr>
        <w:spacing w:before="480" w:after="0"/>
        <w:rPr>
          <w:rFonts w:ascii="Bahnschrift" w:hAnsi="Bahnschrift"/>
          <w:color w:val="FFFFFF" w:themeColor="background1"/>
        </w:rPr>
      </w:pPr>
      <w:r w:rsidRPr="008051D0">
        <w:rPr>
          <w:rFonts w:ascii="Bahnschrift" w:hAnsi="Bahnschrift"/>
          <w:color w:val="FFFFFF" w:themeColor="background1"/>
        </w:rPr>
        <w:lastRenderedPageBreak/>
        <w:t>Warszawa</w:t>
      </w:r>
      <w:r>
        <w:rPr>
          <w:rFonts w:ascii="Bahnschrift" w:hAnsi="Bahnschrift"/>
          <w:color w:val="FFFFFF" w:themeColor="background1"/>
        </w:rPr>
        <w:t>,</w:t>
      </w:r>
      <w:r w:rsidRPr="008051D0">
        <w:rPr>
          <w:rFonts w:ascii="Bahnschrift" w:hAnsi="Bahnschrift"/>
          <w:color w:val="FFFFFF" w:themeColor="background1"/>
        </w:rPr>
        <w:t xml:space="preserve"> </w:t>
      </w:r>
      <w:r w:rsidR="003C0900">
        <w:rPr>
          <w:rFonts w:ascii="Bahnschrift" w:hAnsi="Bahnschrift"/>
          <w:color w:val="FFFFFF" w:themeColor="background1"/>
        </w:rPr>
        <w:t>lipiec</w:t>
      </w:r>
      <w:r w:rsidR="006B1B39">
        <w:rPr>
          <w:rFonts w:ascii="Bahnschrift" w:hAnsi="Bahnschrift"/>
          <w:color w:val="FFFFFF" w:themeColor="background1"/>
        </w:rPr>
        <w:t xml:space="preserve"> </w:t>
      </w:r>
      <w:r>
        <w:rPr>
          <w:rFonts w:ascii="Bahnschrift" w:hAnsi="Bahnschrift"/>
          <w:color w:val="FFFFFF" w:themeColor="background1"/>
        </w:rPr>
        <w:t>202</w:t>
      </w:r>
      <w:r w:rsidR="00F338AF">
        <w:rPr>
          <w:rFonts w:ascii="Bahnschrift" w:hAnsi="Bahnschrift"/>
          <w:color w:val="FFFFFF" w:themeColor="background1"/>
        </w:rPr>
        <w:t>5</w:t>
      </w:r>
      <w:r w:rsidR="00660F6F">
        <w:rPr>
          <w:rFonts w:ascii="Bahnschrift" w:hAnsi="Bahnschrift"/>
          <w:color w:val="FFFFFF" w:themeColor="background1"/>
        </w:rPr>
        <w:t xml:space="preserve"> r.</w:t>
      </w:r>
      <w:r w:rsidRPr="008051D0">
        <w:rPr>
          <w:rFonts w:ascii="Bahnschrift" w:hAnsi="Bahnschrift"/>
          <w:color w:val="FFFFFF" w:themeColor="background1"/>
        </w:rPr>
        <w:t xml:space="preserve"> </w:t>
      </w:r>
    </w:p>
    <w:p w14:paraId="700C5757" w14:textId="2519B6DD" w:rsidR="006636D9" w:rsidRDefault="006636D9" w:rsidP="006636D9">
      <w:pPr>
        <w:pStyle w:val="Nagwek1"/>
        <w:numPr>
          <w:ilvl w:val="0"/>
          <w:numId w:val="0"/>
        </w:numPr>
      </w:pPr>
      <w:r>
        <w:t>Wprowadzenie</w:t>
      </w:r>
    </w:p>
    <w:p w14:paraId="4BD550E6" w14:textId="77777777" w:rsidR="0042235C" w:rsidRDefault="0042235C" w:rsidP="000B2BD1">
      <w:pPr>
        <w:spacing w:after="200" w:line="240" w:lineRule="auto"/>
        <w:sectPr w:rsidR="0042235C" w:rsidSect="0019156E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7109E8A" w14:textId="4FB0CFCE" w:rsidR="0051732B" w:rsidRDefault="000B2BD1" w:rsidP="000B2BD1">
      <w:pPr>
        <w:spacing w:after="200" w:line="240" w:lineRule="auto"/>
      </w:pPr>
      <w:r>
        <w:t xml:space="preserve">Zgodnie z art. 9 </w:t>
      </w:r>
      <w:r w:rsidRPr="0074697A">
        <w:t>rozporządzeni</w:t>
      </w:r>
      <w:r>
        <w:t>a</w:t>
      </w:r>
      <w:r w:rsidRPr="0074697A">
        <w:t xml:space="preserve"> UE 2018/1999</w:t>
      </w:r>
      <w:r>
        <w:t xml:space="preserve"> </w:t>
      </w:r>
      <w:r w:rsidRPr="00FA4FD0">
        <w:rPr>
          <w:i/>
          <w:iCs/>
        </w:rPr>
        <w:t>o zarządzaniu unią energetyczną</w:t>
      </w:r>
      <w:r>
        <w:t xml:space="preserve"> </w:t>
      </w:r>
      <w:r>
        <w:rPr>
          <w:rStyle w:val="Odwoanieprzypisudolnego"/>
        </w:rPr>
        <w:footnoteReference w:id="2"/>
      </w:r>
      <w:r w:rsidRPr="0074697A">
        <w:t xml:space="preserve"> </w:t>
      </w:r>
      <w:r>
        <w:t xml:space="preserve">państwa członkowskie UE przekazują </w:t>
      </w:r>
      <w:r w:rsidRPr="0074697A">
        <w:t>projekt</w:t>
      </w:r>
      <w:r>
        <w:t>y</w:t>
      </w:r>
      <w:r w:rsidRPr="0074697A">
        <w:t xml:space="preserve"> </w:t>
      </w:r>
      <w:r>
        <w:t xml:space="preserve">lub projekty </w:t>
      </w:r>
      <w:r w:rsidRPr="0074697A">
        <w:t xml:space="preserve">aktualizacji krajowego planu </w:t>
      </w:r>
      <w:r w:rsidR="00AB5325">
        <w:t>w dziedzinie</w:t>
      </w:r>
      <w:r w:rsidRPr="0074697A">
        <w:t xml:space="preserve"> energii i klimatu</w:t>
      </w:r>
      <w:r>
        <w:t xml:space="preserve"> Komisji Europejskiej</w:t>
      </w:r>
      <w:r w:rsidR="00D04251">
        <w:t xml:space="preserve"> (KE),</w:t>
      </w:r>
      <w:r>
        <w:t xml:space="preserve"> </w:t>
      </w:r>
      <w:r w:rsidR="00D04251">
        <w:t>n</w:t>
      </w:r>
      <w:r>
        <w:t>astępnie KE ocenia projekty</w:t>
      </w:r>
      <w:r w:rsidRPr="00901505">
        <w:t xml:space="preserve"> </w:t>
      </w:r>
      <w:r>
        <w:t xml:space="preserve">i w ciągu 6 miesięcy </w:t>
      </w:r>
      <w:r w:rsidRPr="00901505">
        <w:t>może wydać zalecenia dla poszczególnych państw członkowskich</w:t>
      </w:r>
      <w:r>
        <w:t>. Każde państwo członkowskie należycie uwzględnia zalecenia Komisji. Jeżeli dane państwo członkowskie nie bierze pod uwagę zaleceń w całości lub w znacznej mierze, przedstawia uzasadnienie tego faktu</w:t>
      </w:r>
      <w:r w:rsidR="00D04251">
        <w:t xml:space="preserve">, </w:t>
      </w:r>
      <w:r>
        <w:t xml:space="preserve">zalecenia nie są wiążące. </w:t>
      </w:r>
    </w:p>
    <w:p w14:paraId="570DCEB6" w14:textId="5270E0CB" w:rsidR="00BE56E0" w:rsidRDefault="00BE56E0" w:rsidP="00BE56E0">
      <w:pPr>
        <w:spacing w:after="200" w:line="240" w:lineRule="auto"/>
      </w:pPr>
      <w:r>
        <w:t xml:space="preserve">Polska opracowała wstępny, częściowy projekt aktualizacji </w:t>
      </w:r>
      <w:r w:rsidRPr="005413F8">
        <w:rPr>
          <w:i/>
          <w:iCs/>
        </w:rPr>
        <w:t xml:space="preserve">Krajowego planu na rzecz energii i klimatu na lata 2021–2030 </w:t>
      </w:r>
      <w:r>
        <w:t xml:space="preserve">– aKPEiK </w:t>
      </w:r>
      <w:r w:rsidRPr="0074697A">
        <w:t xml:space="preserve">(pod nazwą: </w:t>
      </w:r>
      <w:r w:rsidRPr="0074697A">
        <w:rPr>
          <w:i/>
          <w:iCs/>
        </w:rPr>
        <w:t>Krajowy Plan w</w:t>
      </w:r>
      <w:r>
        <w:rPr>
          <w:i/>
          <w:iCs/>
        </w:rPr>
        <w:t> </w:t>
      </w:r>
      <w:r w:rsidRPr="0074697A">
        <w:rPr>
          <w:i/>
          <w:iCs/>
        </w:rPr>
        <w:t>dziedzinie Energii i Klimatu do 2030 r.</w:t>
      </w:r>
      <w:r w:rsidRPr="0074697A">
        <w:t>)</w:t>
      </w:r>
      <w:r>
        <w:t xml:space="preserve">, który </w:t>
      </w:r>
      <w:r w:rsidRPr="0074697A">
        <w:t>został przyjęt</w:t>
      </w:r>
      <w:r>
        <w:t>y</w:t>
      </w:r>
      <w:r w:rsidRPr="0074697A">
        <w:t xml:space="preserve"> przez Komitet do Spraw Europejskich </w:t>
      </w:r>
      <w:r>
        <w:t xml:space="preserve">w dniu </w:t>
      </w:r>
      <w:r w:rsidRPr="0074697A">
        <w:t>29 lutego 2024 r.</w:t>
      </w:r>
      <w:r w:rsidR="00B875B0">
        <w:t>, a następnie</w:t>
      </w:r>
      <w:r>
        <w:t xml:space="preserve"> </w:t>
      </w:r>
      <w:r w:rsidRPr="0074697A">
        <w:t>przekazan</w:t>
      </w:r>
      <w:r>
        <w:t>y</w:t>
      </w:r>
      <w:r w:rsidRPr="0074697A">
        <w:t xml:space="preserve"> Komisji Europejskiej w dniu 1 marca 2024 r. </w:t>
      </w:r>
      <w:r w:rsidR="00CF4E0F">
        <w:t xml:space="preserve">Wstępny projekt aKPEiK zawierał </w:t>
      </w:r>
      <w:r w:rsidR="00706E69">
        <w:t>scenariusz WEM</w:t>
      </w:r>
      <w:r w:rsidR="001E5A49">
        <w:t xml:space="preserve"> </w:t>
      </w:r>
      <w:r w:rsidR="008275FB">
        <w:t>–</w:t>
      </w:r>
      <w:r w:rsidR="001E5A49">
        <w:t xml:space="preserve"> prognozy transformacji w ścieżce zbliżonej do „biznes jak zwykle”</w:t>
      </w:r>
      <w:r w:rsidR="008275FB">
        <w:t xml:space="preserve">, </w:t>
      </w:r>
      <w:r w:rsidR="005C743E">
        <w:t>nie zawierał</w:t>
      </w:r>
      <w:r w:rsidR="00706E69">
        <w:t xml:space="preserve"> </w:t>
      </w:r>
      <w:r w:rsidR="005C743E">
        <w:t>scenariusza</w:t>
      </w:r>
      <w:r w:rsidR="00706E69">
        <w:t xml:space="preserve"> WAM</w:t>
      </w:r>
      <w:r w:rsidR="008275FB">
        <w:t>, czyli</w:t>
      </w:r>
      <w:r w:rsidR="00E74FE3">
        <w:t xml:space="preserve"> prognoz aktywnej transformacji</w:t>
      </w:r>
      <w:r w:rsidR="008275FB">
        <w:t xml:space="preserve">. </w:t>
      </w:r>
      <w:r w:rsidR="001466B2">
        <w:t>Scenariusz WAM został dodany do proj</w:t>
      </w:r>
      <w:r w:rsidR="009208BE">
        <w:t>e</w:t>
      </w:r>
      <w:r w:rsidR="001466B2">
        <w:t>ktu</w:t>
      </w:r>
      <w:r w:rsidR="009208BE">
        <w:t> </w:t>
      </w:r>
      <w:r w:rsidR="001466B2">
        <w:t xml:space="preserve">aKPEiK na etapie konsultacji publicznych. </w:t>
      </w:r>
      <w:r w:rsidR="008275FB">
        <w:t>C</w:t>
      </w:r>
      <w:r w:rsidR="00E74FE3">
        <w:t xml:space="preserve">ele </w:t>
      </w:r>
      <w:r w:rsidR="001466B2">
        <w:t>fin</w:t>
      </w:r>
      <w:r w:rsidR="009208BE">
        <w:t>a</w:t>
      </w:r>
      <w:r w:rsidR="001466B2">
        <w:t>l</w:t>
      </w:r>
      <w:r w:rsidR="009208BE">
        <w:t>n</w:t>
      </w:r>
      <w:r w:rsidR="001466B2">
        <w:t>eg</w:t>
      </w:r>
      <w:r w:rsidR="009208BE">
        <w:t xml:space="preserve">o </w:t>
      </w:r>
      <w:r w:rsidR="00E74FE3">
        <w:t>dokumentu odnoszą się do scenariusza WAM</w:t>
      </w:r>
      <w:r w:rsidR="009208BE">
        <w:t>.</w:t>
      </w:r>
    </w:p>
    <w:p w14:paraId="1574BA7B" w14:textId="0528E490" w:rsidR="00053328" w:rsidRDefault="00D04251" w:rsidP="00053328">
      <w:pPr>
        <w:spacing w:after="200" w:line="240" w:lineRule="auto"/>
      </w:pPr>
      <w:r>
        <w:t>Komisja Europejska wydała zalecenia do wstępnego projektu polskiego aKPEiK w dniu 24 kwietnia 2024 r.</w:t>
      </w:r>
      <w:r>
        <w:rPr>
          <w:rStyle w:val="Odwoanieprzypisudolnego"/>
        </w:rPr>
        <w:footnoteReference w:id="3"/>
      </w:r>
      <w:r>
        <w:t xml:space="preserve"> </w:t>
      </w:r>
      <w:r w:rsidR="0051732B">
        <w:t xml:space="preserve">Łącznie sformułowano 23 zalecenia, które </w:t>
      </w:r>
      <w:r w:rsidR="00BE56E0">
        <w:t>stanowią grupy szczegółowych zaleceń</w:t>
      </w:r>
      <w:r w:rsidR="0051732B">
        <w:t xml:space="preserve">. </w:t>
      </w:r>
      <w:r>
        <w:t>C</w:t>
      </w:r>
      <w:r w:rsidR="000B2BD1">
        <w:t xml:space="preserve">zęść zaleceń koresponduje z obowiązkami wynikającymi z regulacji UE, część ma charakter sugestii np. dotyczących wdrożenia szerszego wachlarza polityk i działań obszarowych. </w:t>
      </w:r>
      <w:r w:rsidR="00262C83">
        <w:t>Trzeba podkreślić, że niektóre</w:t>
      </w:r>
      <w:r w:rsidR="009F37EB">
        <w:t xml:space="preserve"> z zaleceń sugerują wskazanie w aKPEiK bardzo szczegółowych rozwiązań w</w:t>
      </w:r>
      <w:r w:rsidR="00BE56E0">
        <w:t> </w:t>
      </w:r>
      <w:r w:rsidR="009F37EB">
        <w:t>zakresie nowych regulacji UE, które dopiero będą przedmiotem prac.</w:t>
      </w:r>
      <w:r w:rsidR="00053328">
        <w:t xml:space="preserve"> Trzeba podkreślić, że w ocenie Polski niektóre z oczekiwań szczegółowej operacjonalizacji dyrektyw przyjętych na przestrzeni ostatnich kilkunastu miesięcy wykracza poza realne możliwości operacjonalizacji i transpozycji prawa UE</w:t>
      </w:r>
      <w:r w:rsidR="0042235C">
        <w:t>. Wiele obszarów wymaga pogłębionych analiz</w:t>
      </w:r>
      <w:r w:rsidR="00F67EFB">
        <w:t>. D</w:t>
      </w:r>
      <w:r w:rsidR="0042235C">
        <w:t xml:space="preserve">latego niewłaściwym byłoby przedstawianie rozwiązań niedostatecznie ocenionych na poziomie krajowym pod kątem zarówno technicznym, organizacyjnych jak i ekonomicznym. </w:t>
      </w:r>
    </w:p>
    <w:p w14:paraId="365F7DF0" w14:textId="50B735AB" w:rsidR="00A41398" w:rsidRDefault="00D04251" w:rsidP="0042235C">
      <w:pPr>
        <w:spacing w:after="200" w:line="240" w:lineRule="auto"/>
        <w:rPr>
          <w:sz w:val="22"/>
        </w:rPr>
      </w:pPr>
      <w:r>
        <w:t xml:space="preserve">W niniejszym dokumencie </w:t>
      </w:r>
      <w:r w:rsidR="00B875B0">
        <w:t xml:space="preserve">przedstawiono </w:t>
      </w:r>
      <w:r w:rsidR="0051732B">
        <w:t>w zestawieniu tabelarycznym</w:t>
      </w:r>
      <w:r>
        <w:t xml:space="preserve"> odniesienie do poszczególnych zaleceń KE względem wstępnego projektu aKPEiK</w:t>
      </w:r>
      <w:r w:rsidR="0042235C">
        <w:t>.</w:t>
      </w:r>
    </w:p>
    <w:p w14:paraId="518D69A3" w14:textId="77777777" w:rsidR="0042235C" w:rsidRDefault="0042235C" w:rsidP="00BA64EC">
      <w:pPr>
        <w:jc w:val="center"/>
        <w:sectPr w:rsidR="0042235C" w:rsidSect="0042235C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328110CD" w14:textId="2BA8FE67" w:rsidR="00BA64EC" w:rsidRDefault="00BA64EC" w:rsidP="00BA64EC">
      <w:pPr>
        <w:jc w:val="center"/>
      </w:pPr>
    </w:p>
    <w:p w14:paraId="337B9218" w14:textId="613993B6" w:rsidR="00BA64EC" w:rsidRDefault="00DE0CED" w:rsidP="00BA64EC">
      <w:pPr>
        <w:sectPr w:rsidR="00BA64EC" w:rsidSect="0042235C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A812B2" wp14:editId="0D67EAE9">
                <wp:simplePos x="0" y="0"/>
                <wp:positionH relativeFrom="margin">
                  <wp:align>left</wp:align>
                </wp:positionH>
                <wp:positionV relativeFrom="paragraph">
                  <wp:posOffset>4406900</wp:posOffset>
                </wp:positionV>
                <wp:extent cx="1812925" cy="403860"/>
                <wp:effectExtent l="0" t="0" r="0" b="0"/>
                <wp:wrapNone/>
                <wp:docPr id="2084546109" name="Pole tekstow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92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D6C9E" w14:textId="77777777" w:rsidR="00BA64EC" w:rsidRPr="003D525D" w:rsidRDefault="00BA64EC" w:rsidP="00BA64EC">
                            <w:pPr>
                              <w:rPr>
                                <w:rFonts w:ascii="Bahnschrift" w:hAnsi="Bahnschrift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3D525D">
                              <w:rPr>
                                <w:rFonts w:ascii="Bahnschrift" w:hAnsi="Bahnschrift"/>
                                <w:color w:val="FFFFFF" w:themeColor="background1"/>
                                <w:sz w:val="24"/>
                                <w:szCs w:val="28"/>
                              </w:rPr>
                              <w:t>Warszawa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812B2" id="_x0000_t202" coordsize="21600,21600" o:spt="202" path="m,l,21600r21600,l21600,xe">
                <v:stroke joinstyle="miter"/>
                <v:path gradientshapeok="t" o:connecttype="rect"/>
              </v:shapetype>
              <v:shape id="Pole tekstowe 90" o:spid="_x0000_s1028" type="#_x0000_t202" style="position:absolute;margin-left:0;margin-top:347pt;width:142.75pt;height:31.8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" filled="f" stroked="f" strokeweight=".5pt">
                <v:textbox inset="0,0,0,0">
                  <w:txbxContent>
                    <w:p w14:paraId="120D6C9E" w14:textId="77777777" w:rsidR="00BA64EC" w:rsidRPr="003D525D" w:rsidRDefault="00BA64EC" w:rsidP="00BA64EC">
                      <w:pPr>
                        <w:rPr>
                          <w:rFonts w:ascii="Bahnschrift" w:hAnsi="Bahnschrift"/>
                          <w:color w:val="FFFFFF" w:themeColor="background1"/>
                          <w:sz w:val="24"/>
                          <w:szCs w:val="28"/>
                        </w:rPr>
                      </w:pPr>
                      <w:r w:rsidRPr="003D525D">
                        <w:rPr>
                          <w:rFonts w:ascii="Bahnschrift" w:hAnsi="Bahnschrift"/>
                          <w:color w:val="FFFFFF" w:themeColor="background1"/>
                          <w:sz w:val="24"/>
                          <w:szCs w:val="28"/>
                        </w:rPr>
                        <w:t>Warszawa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1474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02B93" w:themeColor="accent5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093"/>
        <w:gridCol w:w="8655"/>
      </w:tblGrid>
      <w:tr w:rsidR="00D8615F" w:rsidRPr="00410B57" w14:paraId="044A44B4" w14:textId="77777777" w:rsidTr="00DA5F7C">
        <w:trPr>
          <w:tblHeader/>
        </w:trPr>
        <w:tc>
          <w:tcPr>
            <w:tcW w:w="6093" w:type="dxa"/>
            <w:vAlign w:val="center"/>
          </w:tcPr>
          <w:p w14:paraId="234A5770" w14:textId="3DFBEF23" w:rsidR="00D8615F" w:rsidRPr="00B54DE0" w:rsidRDefault="00B54DE0" w:rsidP="00B54DE0">
            <w:pPr>
              <w:spacing w:after="0" w:line="22" w:lineRule="atLeast"/>
              <w:rPr>
                <w:b/>
                <w:bCs/>
                <w:color w:val="77206D" w:themeColor="accent5" w:themeShade="BF"/>
                <w:sz w:val="22"/>
              </w:rPr>
            </w:pPr>
            <w:bookmarkStart w:id="0" w:name="_Toc159598369"/>
            <w:bookmarkStart w:id="1" w:name="_Toc173432199"/>
            <w:r w:rsidRPr="00B54DE0">
              <w:rPr>
                <w:b/>
                <w:bCs/>
                <w:color w:val="77206D" w:themeColor="accent5" w:themeShade="BF"/>
                <w:sz w:val="22"/>
              </w:rPr>
              <w:lastRenderedPageBreak/>
              <w:t xml:space="preserve">Zalecenie Komisji Europejskiej </w:t>
            </w:r>
          </w:p>
        </w:tc>
        <w:tc>
          <w:tcPr>
            <w:tcW w:w="8655" w:type="dxa"/>
          </w:tcPr>
          <w:p w14:paraId="23688F45" w14:textId="16249E75" w:rsidR="00D8615F" w:rsidRPr="00B54DE0" w:rsidRDefault="00D8615F" w:rsidP="000A452C">
            <w:pPr>
              <w:spacing w:after="0" w:line="22" w:lineRule="atLeast"/>
              <w:rPr>
                <w:b/>
                <w:bCs/>
                <w:color w:val="77206D" w:themeColor="accent5" w:themeShade="BF"/>
                <w:sz w:val="22"/>
              </w:rPr>
            </w:pPr>
            <w:r w:rsidRPr="00B54DE0">
              <w:rPr>
                <w:b/>
                <w:bCs/>
                <w:color w:val="77206D" w:themeColor="accent5" w:themeShade="BF"/>
                <w:sz w:val="22"/>
              </w:rPr>
              <w:t>Ustosunkowanie</w:t>
            </w:r>
            <w:r w:rsidR="00B54DE0" w:rsidRPr="00B54DE0">
              <w:rPr>
                <w:b/>
                <w:bCs/>
                <w:color w:val="77206D" w:themeColor="accent5" w:themeShade="BF"/>
                <w:sz w:val="22"/>
              </w:rPr>
              <w:t xml:space="preserve"> się do zalecenia w aKPEIK</w:t>
            </w:r>
          </w:p>
        </w:tc>
      </w:tr>
      <w:tr w:rsidR="00D8615F" w:rsidRPr="00410B57" w14:paraId="72F967B0" w14:textId="77777777" w:rsidTr="00DA5F7C">
        <w:tc>
          <w:tcPr>
            <w:tcW w:w="6093" w:type="dxa"/>
          </w:tcPr>
          <w:p w14:paraId="303A54CE" w14:textId="77777777" w:rsidR="00D8615F" w:rsidRPr="00D25A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D25AE7">
              <w:rPr>
                <w:b/>
                <w:bCs/>
              </w:rPr>
              <w:t>[non-ETS]</w:t>
            </w:r>
          </w:p>
          <w:p w14:paraId="48D42B24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>
              <w:t xml:space="preserve">KE zaleca, aby Polska </w:t>
            </w:r>
          </w:p>
          <w:p w14:paraId="0E87E8C9" w14:textId="50028BB2" w:rsidR="00D8615F" w:rsidRDefault="00D8615F" w:rsidP="00D43516">
            <w:pPr>
              <w:pStyle w:val="Akapitzlist"/>
              <w:numPr>
                <w:ilvl w:val="0"/>
                <w:numId w:val="19"/>
              </w:numPr>
              <w:spacing w:after="60" w:line="22" w:lineRule="atLeast"/>
            </w:pPr>
            <w:r>
              <w:t>o</w:t>
            </w:r>
            <w:r w:rsidRPr="00AC7562">
              <w:t>kreśliła racjonalne pod względem kosztów dodatkowe polityki i środki, w szczególności w odniesieniu do sektora transportu i emisji innych niż emisje CO</w:t>
            </w:r>
            <w:r w:rsidRPr="00893446">
              <w:rPr>
                <w:szCs w:val="20"/>
                <w:vertAlign w:val="subscript"/>
              </w:rPr>
              <w:t>2</w:t>
            </w:r>
            <w:r w:rsidRPr="00AC7562">
              <w:t>, w tym metanu i N</w:t>
            </w:r>
            <w:r w:rsidRPr="00AC7562">
              <w:rPr>
                <w:vertAlign w:val="subscript"/>
              </w:rPr>
              <w:t>2</w:t>
            </w:r>
            <w:r w:rsidRPr="00AC7562">
              <w:t>O pochodzących z sektora energii i rolnictwa, w celu zniwelowania przewidywanej luki wynoszącej 3,6 punktu procentowego, aby osiągnąć krajowy cel w zakresie emisji gazów cieplarnianych polegający na obniżeniu tych emisji o 17,7 % w 2030 r. w porównaniu z poziomami z 2005 r. zgodnie z</w:t>
            </w:r>
            <w:r>
              <w:t> </w:t>
            </w:r>
            <w:r w:rsidRPr="00AC7562">
              <w:t xml:space="preserve">rozporządzeniem ESR </w:t>
            </w:r>
          </w:p>
          <w:p w14:paraId="0EFA1F4B" w14:textId="01731AE1" w:rsidR="00D8615F" w:rsidRDefault="00D8615F" w:rsidP="00D43516">
            <w:pPr>
              <w:pStyle w:val="Akapitzlist"/>
              <w:numPr>
                <w:ilvl w:val="0"/>
                <w:numId w:val="19"/>
              </w:numPr>
              <w:spacing w:after="60" w:line="22" w:lineRule="atLeast"/>
            </w:pPr>
            <w:r>
              <w:t>p</w:t>
            </w:r>
            <w:r w:rsidRPr="00AC7562">
              <w:t>rzedstawiła zaktualizowane prognozy pokazujące, w jaki sposób istniejące i planowane polityki przyczynią się do osiągnięcia wspomnianego celu oraz, w</w:t>
            </w:r>
            <w:r w:rsidR="00D57155">
              <w:t> </w:t>
            </w:r>
            <w:r w:rsidRPr="00AC7562">
              <w:t>stosownych przypadkach, określiła, w jaki sposób elastyczność dostępna w ramach rozporządzenia ESR zostanie wykorzystana do zapewnienia zgodności</w:t>
            </w:r>
            <w:r>
              <w:t>;</w:t>
            </w:r>
          </w:p>
          <w:p w14:paraId="2C8F4389" w14:textId="77777777" w:rsidR="00D8615F" w:rsidRPr="00AC7562" w:rsidRDefault="00D8615F" w:rsidP="00D43516">
            <w:pPr>
              <w:pStyle w:val="Akapitzlist"/>
              <w:numPr>
                <w:ilvl w:val="0"/>
                <w:numId w:val="19"/>
              </w:numPr>
              <w:spacing w:after="60" w:line="22" w:lineRule="atLeast"/>
            </w:pPr>
            <w:r>
              <w:t>u</w:t>
            </w:r>
            <w:r w:rsidRPr="00AC7562">
              <w:t xml:space="preserve">zupełniła informacje na temat polityk i środków, jasno określając ich zakres, harmonogram i spodziewany wpływ na redukcję emisji gazów cieplarnianych, w tym w odniesieniu do środków w ramach unijnych programów finansowania, takich jak wspólna polityka rolna. </w:t>
            </w:r>
          </w:p>
        </w:tc>
        <w:tc>
          <w:tcPr>
            <w:tcW w:w="8655" w:type="dxa"/>
          </w:tcPr>
          <w:p w14:paraId="4B2454B4" w14:textId="6810751C" w:rsidR="00D8615F" w:rsidRDefault="00D8615F" w:rsidP="000A452C">
            <w:pPr>
              <w:spacing w:line="22" w:lineRule="atLeast"/>
            </w:pPr>
            <w:r>
              <w:t xml:space="preserve">(a) i (b) Zalecenie zostało zrealizowane – projekt aKPEiK </w:t>
            </w:r>
            <w:r w:rsidR="00F31472">
              <w:t xml:space="preserve">z </w:t>
            </w:r>
            <w:r w:rsidR="008A46A7">
              <w:t xml:space="preserve">29 lutego </w:t>
            </w:r>
            <w:r w:rsidR="00F31472">
              <w:t xml:space="preserve">2024 r. </w:t>
            </w:r>
            <w:r>
              <w:t xml:space="preserve">przedstawiał prognozę redukcji emisji gazów cieplarnianych w sektorze non-ETS na poziomie 14,1%. Prognozy opracowane w scenariuszu WAM wskazują na redukcję emisji w sektorach non-ETS na poziomie </w:t>
            </w:r>
            <w:r w:rsidR="00FB2856">
              <w:t>22</w:t>
            </w:r>
            <w:r w:rsidR="000154DE">
              <w:t>,2</w:t>
            </w:r>
            <w:r>
              <w:t>% w 2030</w:t>
            </w:r>
            <w:r w:rsidR="00B54DE0">
              <w:t> </w:t>
            </w:r>
            <w:r>
              <w:t xml:space="preserve">r. w porównaniu do poziomu z 2030 r., </w:t>
            </w:r>
            <w:r w:rsidR="00E10F83">
              <w:t>(</w:t>
            </w:r>
            <w:r>
              <w:t>tj. powyżej 17,7%</w:t>
            </w:r>
            <w:r w:rsidR="00E10F83">
              <w:t xml:space="preserve"> </w:t>
            </w:r>
            <w:r w:rsidR="00937526">
              <w:t>wskazanych dla Polski w</w:t>
            </w:r>
            <w:r w:rsidR="008A46A7">
              <w:t> </w:t>
            </w:r>
            <w:r w:rsidR="00937526">
              <w:t>rozporządzeniu ESR)</w:t>
            </w:r>
            <w:r>
              <w:t xml:space="preserve">, choć prognozy są oparte na bardzo ambitnym podejściu, przyjętym w scenariuszu WAM. </w:t>
            </w:r>
          </w:p>
          <w:p w14:paraId="4BD2616B" w14:textId="77777777" w:rsidR="00D8615F" w:rsidRDefault="00D8615F" w:rsidP="000A452C">
            <w:pPr>
              <w:spacing w:line="22" w:lineRule="atLeast"/>
            </w:pPr>
            <w:r>
              <w:t>Dokonano przeglądu działań. W niektórych przypadkach dodano działania, ale nie w każdym przypadku niezbędne jest dodatkowe działanie, lecz wystarczająca może być modyfikacja istniejącego (np. poprzez przeznaczenie wyższej puli środków lub modyfikacja warunków) tak, by osiągnąć wyższy efektu.</w:t>
            </w:r>
          </w:p>
          <w:p w14:paraId="60F03284" w14:textId="0A52744B" w:rsidR="00D8615F" w:rsidRDefault="00D8615F" w:rsidP="000A452C">
            <w:pPr>
              <w:spacing w:line="22" w:lineRule="atLeast"/>
            </w:pPr>
            <w:r>
              <w:t xml:space="preserve">W </w:t>
            </w:r>
            <w:r w:rsidRPr="004840BB">
              <w:rPr>
                <w:b/>
                <w:bCs/>
              </w:rPr>
              <w:t>rolnictwie</w:t>
            </w:r>
            <w:r>
              <w:rPr>
                <w:b/>
                <w:bCs/>
              </w:rPr>
              <w:t xml:space="preserve"> </w:t>
            </w:r>
            <w:r w:rsidR="00B2443D" w:rsidRPr="00B2443D">
              <w:t>zidentyfikowano pewne możliwości</w:t>
            </w:r>
            <w:r w:rsidR="00B2443D">
              <w:rPr>
                <w:b/>
                <w:bCs/>
              </w:rPr>
              <w:t xml:space="preserve"> </w:t>
            </w:r>
            <w:r w:rsidRPr="00974CCF">
              <w:t>reduk</w:t>
            </w:r>
            <w:r>
              <w:t>c</w:t>
            </w:r>
            <w:r w:rsidRPr="00974CCF">
              <w:t>ji emisji gazów cieplarnianych</w:t>
            </w:r>
            <w:r>
              <w:t>, wzmocniono również ten obszar</w:t>
            </w:r>
            <w:r w:rsidR="00B2443D">
              <w:t xml:space="preserve"> w ujęciu perspektywicznym</w:t>
            </w:r>
            <w:r>
              <w:t xml:space="preserve">. Przyjęto m.in. niewielkie zmiany w zakresie sposobu produkcji rolnej. </w:t>
            </w:r>
          </w:p>
          <w:p w14:paraId="79CEDA53" w14:textId="5A69B027" w:rsidR="00D8615F" w:rsidRDefault="00D8615F" w:rsidP="000A452C">
            <w:pPr>
              <w:spacing w:line="22" w:lineRule="atLeast"/>
            </w:pPr>
            <w:r>
              <w:t xml:space="preserve">W </w:t>
            </w:r>
            <w:r w:rsidRPr="00C50F85">
              <w:rPr>
                <w:b/>
                <w:bCs/>
              </w:rPr>
              <w:t>budownictwie/</w:t>
            </w:r>
            <w:r>
              <w:t xml:space="preserve"> </w:t>
            </w:r>
            <w:r w:rsidRPr="004840BB">
              <w:rPr>
                <w:b/>
                <w:bCs/>
              </w:rPr>
              <w:t>gospodarstwach domowych</w:t>
            </w:r>
            <w:r>
              <w:t xml:space="preserve"> przyjęto ambitne podejście do programów związanych z termomodernizacją oraz szeroko pojętą poprawą jakości powietrza – na poziomie krajowym, wojewódzkim i gminnym. Ponadto znaczenie będzie mieć wdrażanie s</w:t>
            </w:r>
            <w:r w:rsidRPr="4D796C50">
              <w:rPr>
                <w:rFonts w:eastAsia="Lato" w:cs="Lato"/>
              </w:rPr>
              <w:t>ystem</w:t>
            </w:r>
            <w:r>
              <w:rPr>
                <w:rFonts w:eastAsia="Lato" w:cs="Lato"/>
              </w:rPr>
              <w:t>u</w:t>
            </w:r>
            <w:r w:rsidRPr="4D796C50">
              <w:rPr>
                <w:rFonts w:eastAsia="Lato" w:cs="Lato"/>
              </w:rPr>
              <w:t xml:space="preserve"> oceny energetycznej budynków oraz systemów technicznych budynków</w:t>
            </w:r>
            <w:r>
              <w:rPr>
                <w:rFonts w:eastAsia="Lato" w:cs="Lato"/>
              </w:rPr>
              <w:t>.</w:t>
            </w:r>
            <w:r>
              <w:t xml:space="preserve"> </w:t>
            </w:r>
          </w:p>
          <w:p w14:paraId="0F9AA355" w14:textId="2397A11C" w:rsidR="00D8615F" w:rsidRPr="004840BB" w:rsidRDefault="000155F9" w:rsidP="000A452C">
            <w:pPr>
              <w:spacing w:after="80" w:line="22" w:lineRule="atLeast"/>
            </w:pPr>
            <w:r>
              <w:t>W</w:t>
            </w:r>
            <w:r w:rsidR="00D8615F">
              <w:t xml:space="preserve"> </w:t>
            </w:r>
            <w:r w:rsidR="00D8615F" w:rsidRPr="004840BB">
              <w:rPr>
                <w:b/>
                <w:bCs/>
              </w:rPr>
              <w:t>transporcie</w:t>
            </w:r>
            <w:r w:rsidR="00D8615F">
              <w:t xml:space="preserve"> </w:t>
            </w:r>
            <w:r>
              <w:t>nast</w:t>
            </w:r>
            <w:r w:rsidR="00FE5706">
              <w:t>ąp</w:t>
            </w:r>
            <w:r>
              <w:t xml:space="preserve">iła niewielka zmiana ze względu na rewizję </w:t>
            </w:r>
            <w:r w:rsidR="00A06B8F">
              <w:t>możliwości</w:t>
            </w:r>
            <w:r>
              <w:t xml:space="preserve"> elektryfikacji transportu do 2030 r., ale tempo zmian przyspiesza po 2030 r.</w:t>
            </w:r>
            <w:r w:rsidR="00D8615F">
              <w:t xml:space="preserve"> Na uwagę zasługują </w:t>
            </w:r>
            <w:r w:rsidR="00D8615F" w:rsidRPr="004840BB">
              <w:rPr>
                <w:rFonts w:eastAsia="Lato" w:cs="Lato"/>
              </w:rPr>
              <w:t>planowane regulacje wpływające na podmioty paliwowe, zwiększające udział odnawialnych paliw lub energii elektrycznej, poprzez:</w:t>
            </w:r>
          </w:p>
          <w:p w14:paraId="3A78AD0D" w14:textId="6647460D" w:rsidR="00D8615F" w:rsidRDefault="00D8615F" w:rsidP="00D43516">
            <w:pPr>
              <w:pStyle w:val="Akapitzlist"/>
              <w:numPr>
                <w:ilvl w:val="0"/>
                <w:numId w:val="20"/>
              </w:numPr>
              <w:spacing w:line="22" w:lineRule="atLeast"/>
              <w:ind w:left="463"/>
              <w:rPr>
                <w:rFonts w:eastAsia="Lato" w:cs="Lato"/>
              </w:rPr>
            </w:pPr>
            <w:r w:rsidRPr="004840BB">
              <w:rPr>
                <w:rFonts w:eastAsia="Lato" w:cs="Lato"/>
              </w:rPr>
              <w:t>obowiązek stosowania odnawialnych niebiologicznego pochodzenia</w:t>
            </w:r>
            <w:r w:rsidR="00B54DE0">
              <w:rPr>
                <w:rFonts w:eastAsia="Lato" w:cs="Lato"/>
              </w:rPr>
              <w:t>,</w:t>
            </w:r>
          </w:p>
          <w:p w14:paraId="64A3DCDA" w14:textId="77777777" w:rsidR="00B54DE0" w:rsidRDefault="00D8615F" w:rsidP="00D43516">
            <w:pPr>
              <w:pStyle w:val="Akapitzlist"/>
              <w:numPr>
                <w:ilvl w:val="0"/>
                <w:numId w:val="20"/>
              </w:numPr>
              <w:spacing w:line="22" w:lineRule="atLeast"/>
              <w:ind w:left="463"/>
              <w:rPr>
                <w:rFonts w:eastAsia="Lato" w:cs="Lato"/>
              </w:rPr>
            </w:pPr>
            <w:r w:rsidRPr="004840BB">
              <w:rPr>
                <w:rFonts w:eastAsia="Lato" w:cs="Lato"/>
              </w:rPr>
              <w:t>obowiązek stosowania paliw z recyclingu (RCF)</w:t>
            </w:r>
            <w:r w:rsidR="00B54DE0">
              <w:rPr>
                <w:rFonts w:eastAsia="Lato" w:cs="Lato"/>
              </w:rPr>
              <w:t>,</w:t>
            </w:r>
          </w:p>
          <w:p w14:paraId="32EA9204" w14:textId="49087981" w:rsidR="00D8615F" w:rsidRPr="00B54DE0" w:rsidRDefault="00D8615F" w:rsidP="00D43516">
            <w:pPr>
              <w:pStyle w:val="Akapitzlist"/>
              <w:numPr>
                <w:ilvl w:val="0"/>
                <w:numId w:val="20"/>
              </w:numPr>
              <w:spacing w:line="22" w:lineRule="atLeast"/>
              <w:ind w:left="463"/>
              <w:rPr>
                <w:rFonts w:eastAsia="Lato" w:cs="Lato"/>
              </w:rPr>
            </w:pPr>
            <w:r w:rsidRPr="00B54DE0">
              <w:rPr>
                <w:rFonts w:eastAsia="Lato" w:cs="Lato"/>
              </w:rPr>
              <w:t xml:space="preserve">oraz stosowanie regulacji wspierających zwiększanie udziału aut elektrycznych i energii elektrycznej odnawialnej dla sektorów transportu </w:t>
            </w:r>
            <w:r w:rsidR="00B54DE0">
              <w:rPr>
                <w:rFonts w:eastAsia="Lato" w:cs="Lato"/>
              </w:rPr>
              <w:t>–</w:t>
            </w:r>
            <w:r w:rsidRPr="00B54DE0">
              <w:rPr>
                <w:rFonts w:eastAsia="Lato" w:cs="Lato"/>
              </w:rPr>
              <w:t xml:space="preserve"> drogowego i kolejowego. </w:t>
            </w:r>
          </w:p>
          <w:p w14:paraId="6BF067C9" w14:textId="77777777" w:rsidR="00D8615F" w:rsidRDefault="00D8615F" w:rsidP="000A452C">
            <w:pPr>
              <w:spacing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t>P</w:t>
            </w:r>
            <w:r w:rsidRPr="4D796C50">
              <w:rPr>
                <w:rFonts w:eastAsia="Lato" w:cs="Lato"/>
              </w:rPr>
              <w:t xml:space="preserve">oważnym ograniczeniem jest </w:t>
            </w:r>
            <w:r>
              <w:rPr>
                <w:rFonts w:eastAsia="Lato" w:cs="Lato"/>
              </w:rPr>
              <w:t xml:space="preserve">jednak </w:t>
            </w:r>
            <w:r w:rsidRPr="4D796C50">
              <w:rPr>
                <w:rFonts w:eastAsia="Lato" w:cs="Lato"/>
              </w:rPr>
              <w:t>identyfikowana dostępność surowców do wytworzenia tych paliw (identyfikowana na poziomie całej UE-27), zatem aby wesprzeć skalę stosowania biopaliw zaawansowanych oczekiwane są działania KE zwiększające listę dostępnych surowców (m.in.: odpadów, pozostałości) z zał. IX dyrektywy.</w:t>
            </w:r>
          </w:p>
          <w:p w14:paraId="0EF5002B" w14:textId="15143E04" w:rsidR="00D8615F" w:rsidRPr="00AC7562" w:rsidRDefault="00D8615F" w:rsidP="000A452C">
            <w:pPr>
              <w:spacing w:line="22" w:lineRule="atLeast"/>
            </w:pPr>
            <w:r>
              <w:rPr>
                <w:rFonts w:eastAsia="Lato" w:cs="Lato"/>
              </w:rPr>
              <w:t xml:space="preserve">(c) Polska </w:t>
            </w:r>
            <w:r>
              <w:t>u</w:t>
            </w:r>
            <w:r w:rsidRPr="00AC7562">
              <w:t>zupełniła informacje na temat polityk i środków</w:t>
            </w:r>
            <w:r>
              <w:rPr>
                <w:rFonts w:eastAsia="Lato" w:cs="Lato"/>
              </w:rPr>
              <w:t xml:space="preserve"> w odniesieniu do obszarów opisanych powyżej. </w:t>
            </w:r>
            <w:r>
              <w:t>S</w:t>
            </w:r>
            <w:r w:rsidRPr="00AC7562">
              <w:t>podziewany wpływ na redukcję emisji gazów cieplarnianych</w:t>
            </w:r>
            <w:r>
              <w:t xml:space="preserve"> pojedynczych działań nie wynika z rozporządzenia UE 2018/1999</w:t>
            </w:r>
            <w:r w:rsidR="00D335AA">
              <w:t>. Jednocześnie</w:t>
            </w:r>
            <w:r>
              <w:t xml:space="preserve"> czasochłonność prezentacji </w:t>
            </w:r>
            <w:r>
              <w:lastRenderedPageBreak/>
              <w:t xml:space="preserve">tego typu danych wpływa negatywnie na </w:t>
            </w:r>
            <w:r w:rsidR="00BE2B5E">
              <w:t xml:space="preserve">tempo </w:t>
            </w:r>
            <w:r>
              <w:t>prac nad dokumentem, które prowadzone są w dużym reżimie czasowym.</w:t>
            </w:r>
          </w:p>
        </w:tc>
      </w:tr>
      <w:tr w:rsidR="00D8615F" w:rsidRPr="00410B57" w14:paraId="165DA4E1" w14:textId="77777777" w:rsidTr="00DA5F7C">
        <w:tc>
          <w:tcPr>
            <w:tcW w:w="6093" w:type="dxa"/>
          </w:tcPr>
          <w:p w14:paraId="650BB628" w14:textId="77777777" w:rsidR="00D8615F" w:rsidRPr="00D25A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D25AE7">
              <w:rPr>
                <w:b/>
                <w:bCs/>
              </w:rPr>
              <w:lastRenderedPageBreak/>
              <w:t>[</w:t>
            </w:r>
            <w:r>
              <w:rPr>
                <w:b/>
                <w:bCs/>
              </w:rPr>
              <w:t>CCS</w:t>
            </w:r>
            <w:r w:rsidRPr="00D25AE7">
              <w:rPr>
                <w:b/>
                <w:bCs/>
              </w:rPr>
              <w:t>]</w:t>
            </w:r>
          </w:p>
          <w:p w14:paraId="0D581A0A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>
              <w:t xml:space="preserve">KE zaleca, aby Polska: </w:t>
            </w:r>
          </w:p>
          <w:p w14:paraId="07EBAEA1" w14:textId="77777777" w:rsidR="00D8615F" w:rsidRDefault="00D8615F" w:rsidP="00D43516">
            <w:pPr>
              <w:pStyle w:val="Akapitzlist"/>
              <w:numPr>
                <w:ilvl w:val="0"/>
                <w:numId w:val="4"/>
              </w:numPr>
              <w:spacing w:after="60" w:line="22" w:lineRule="atLeast"/>
            </w:pPr>
            <w:r>
              <w:t>określiła</w:t>
            </w:r>
            <w:r w:rsidRPr="00AC7562">
              <w:t xml:space="preserve"> ilość emisji CO</w:t>
            </w:r>
            <w:r w:rsidRPr="00AC7562">
              <w:rPr>
                <w:sz w:val="16"/>
              </w:rPr>
              <w:t>2</w:t>
            </w:r>
            <w:r w:rsidRPr="00AC7562">
              <w:t>, którą można wychwycić rocznie do 2030</w:t>
            </w:r>
            <w:r>
              <w:t> </w:t>
            </w:r>
            <w:r w:rsidRPr="00AC7562">
              <w:t>r., w tym źródło</w:t>
            </w:r>
            <w:r>
              <w:t>;</w:t>
            </w:r>
          </w:p>
          <w:p w14:paraId="7797046B" w14:textId="77777777" w:rsidR="00D8615F" w:rsidRDefault="00D8615F" w:rsidP="00D43516">
            <w:pPr>
              <w:pStyle w:val="Akapitzlist"/>
              <w:numPr>
                <w:ilvl w:val="0"/>
                <w:numId w:val="4"/>
              </w:numPr>
              <w:spacing w:after="60" w:line="22" w:lineRule="atLeast"/>
            </w:pPr>
            <w:r w:rsidRPr="005E550C">
              <w:t>podała szczegółowe informacje na temat sposobu transportu wychwyconego CO</w:t>
            </w:r>
            <w:r w:rsidRPr="005E550C">
              <w:rPr>
                <w:sz w:val="16"/>
              </w:rPr>
              <w:t>2</w:t>
            </w:r>
            <w:r w:rsidRPr="005E550C">
              <w:t>;</w:t>
            </w:r>
          </w:p>
          <w:p w14:paraId="779163F8" w14:textId="449BCF7B" w:rsidR="00D8615F" w:rsidRPr="005E550C" w:rsidRDefault="00D8615F" w:rsidP="00D43516">
            <w:pPr>
              <w:pStyle w:val="Akapitzlist"/>
              <w:numPr>
                <w:ilvl w:val="0"/>
                <w:numId w:val="4"/>
              </w:numPr>
              <w:spacing w:after="60" w:line="22" w:lineRule="atLeast"/>
            </w:pPr>
            <w:r w:rsidRPr="005E550C">
              <w:t xml:space="preserve">określiła ogólną zdolność </w:t>
            </w:r>
            <w:r w:rsidR="00E53BF2">
              <w:t>składowania</w:t>
            </w:r>
            <w:r w:rsidR="00E53BF2" w:rsidRPr="005E550C">
              <w:t xml:space="preserve"> </w:t>
            </w:r>
            <w:r w:rsidRPr="005E550C">
              <w:t>i objętość iniekcji CO</w:t>
            </w:r>
            <w:r w:rsidRPr="005E550C">
              <w:rPr>
                <w:sz w:val="16"/>
              </w:rPr>
              <w:t>2</w:t>
            </w:r>
            <w:r w:rsidRPr="005E550C">
              <w:t xml:space="preserve"> dostępną do 2030 r. lub przedstawiła harmonogram możliwej finalizacji takich szacunków. </w:t>
            </w:r>
          </w:p>
        </w:tc>
        <w:tc>
          <w:tcPr>
            <w:tcW w:w="8655" w:type="dxa"/>
          </w:tcPr>
          <w:p w14:paraId="1D77E864" w14:textId="6FF2B38B" w:rsidR="00394EFA" w:rsidRPr="007D29D9" w:rsidRDefault="000A452C" w:rsidP="000A452C">
            <w:pPr>
              <w:spacing w:line="22" w:lineRule="atLeast"/>
            </w:pPr>
            <w:r>
              <w:t xml:space="preserve">(a)–(c) </w:t>
            </w:r>
            <w:r w:rsidR="00394EFA" w:rsidRPr="007D29D9">
              <w:t xml:space="preserve">Transpozycja dyrektywy </w:t>
            </w:r>
            <w:r w:rsidR="00394EFA">
              <w:t>PE</w:t>
            </w:r>
            <w:r w:rsidR="00394EFA" w:rsidRPr="007D29D9">
              <w:t xml:space="preserve"> i Rady 2009/31/WE do ustawy Prawo geologiczne i górnicze (Dz.</w:t>
            </w:r>
            <w:r w:rsidR="00EC03C2">
              <w:t xml:space="preserve"> </w:t>
            </w:r>
            <w:r w:rsidR="00394EFA" w:rsidRPr="007D29D9">
              <w:t xml:space="preserve">U. z </w:t>
            </w:r>
            <w:r w:rsidR="00394EFA">
              <w:t>2024</w:t>
            </w:r>
            <w:r w:rsidR="00394EFA" w:rsidRPr="007D29D9">
              <w:t xml:space="preserve"> r. poz. </w:t>
            </w:r>
            <w:r w:rsidR="00394EFA">
              <w:t>1290</w:t>
            </w:r>
            <w:r w:rsidR="00394EFA" w:rsidRPr="007D29D9">
              <w:t>), w tym w szczególności nowelizacja tych przepisów z 2023 r.</w:t>
            </w:r>
            <w:r w:rsidR="00394EFA">
              <w:t>,</w:t>
            </w:r>
            <w:r w:rsidR="00394EFA" w:rsidRPr="007D29D9">
              <w:t xml:space="preserve"> umożliwiła prowadzenie działalności w zakresie </w:t>
            </w:r>
            <w:r w:rsidR="00394EFA">
              <w:t xml:space="preserve">podziemnego </w:t>
            </w:r>
            <w:r w:rsidR="00394EFA" w:rsidRPr="007D29D9">
              <w:t>składowania CO</w:t>
            </w:r>
            <w:r w:rsidR="00394EFA" w:rsidRPr="00104C74">
              <w:rPr>
                <w:vertAlign w:val="subscript"/>
              </w:rPr>
              <w:t>2</w:t>
            </w:r>
            <w:r w:rsidR="00394EFA" w:rsidRPr="007D29D9">
              <w:t xml:space="preserve"> na skalę komercyjną.</w:t>
            </w:r>
          </w:p>
          <w:p w14:paraId="6A083BBE" w14:textId="13796AD5" w:rsidR="00D8615F" w:rsidRDefault="00D8615F" w:rsidP="000A452C">
            <w:r w:rsidRPr="007D29D9">
              <w:t xml:space="preserve">Dotychczasowe regulacje dopuszczały bowiem jedynie realizację projektów demonstracyjnych, co skutkowało tym, że w Polsce nie został zrealizowany żaden projekt komercyjnego wdrożenia instalacji CCS. Usunięcie w krajowych przepisach istotnych barier prawnych z punktu widzenia rozwoju technologii CCS może przełożyć się wkrótce na uruchomienie w Polsce tego typu projektów. </w:t>
            </w:r>
          </w:p>
          <w:p w14:paraId="58E8C874" w14:textId="4925426F" w:rsidR="00D8615F" w:rsidRPr="007D29D9" w:rsidRDefault="00D8615F" w:rsidP="000A452C">
            <w:r w:rsidRPr="007D29D9">
              <w:t>Jednakże, aktualnie Polska nie jest w stanie</w:t>
            </w:r>
            <w:r w:rsidR="000A452C">
              <w:t xml:space="preserve"> aktualnie</w:t>
            </w:r>
            <w:r w:rsidRPr="007D29D9">
              <w:t xml:space="preserve"> wskazać ilości emisji CO</w:t>
            </w:r>
            <w:r w:rsidRPr="007D29D9">
              <w:rPr>
                <w:vertAlign w:val="subscript"/>
              </w:rPr>
              <w:t>2</w:t>
            </w:r>
            <w:r w:rsidRPr="007D29D9">
              <w:t>, którą można wychwycić rocznie do 2030 r.</w:t>
            </w:r>
          </w:p>
          <w:p w14:paraId="755F0193" w14:textId="77777777" w:rsidR="00D8615F" w:rsidRDefault="00D8615F" w:rsidP="000A452C">
            <w:r w:rsidRPr="007D29D9">
              <w:t>W Polsce nie ma infrastruktury dla transportu CO</w:t>
            </w:r>
            <w:r w:rsidRPr="007D29D9">
              <w:rPr>
                <w:rFonts w:ascii="Cambria Math" w:hAnsi="Cambria Math" w:cs="Cambria Math"/>
              </w:rPr>
              <w:t>₂</w:t>
            </w:r>
            <w:r>
              <w:rPr>
                <w:rFonts w:cs="Cambria Math"/>
              </w:rPr>
              <w:t>,</w:t>
            </w:r>
            <w:r w:rsidRPr="007D29D9">
              <w:t xml:space="preserve"> a koszt adaptacji istniejących rurociągów może wynieść 1-10% kosztów budowy nowego rurociągu dedykowanego CO</w:t>
            </w:r>
            <w:r w:rsidRPr="007D29D9">
              <w:rPr>
                <w:rFonts w:ascii="Cambria Math" w:hAnsi="Cambria Math" w:cs="Cambria Math"/>
              </w:rPr>
              <w:t>₂</w:t>
            </w:r>
            <w:r w:rsidRPr="007D29D9">
              <w:t xml:space="preserve">. </w:t>
            </w:r>
            <w:r>
              <w:t>Zagadnienie będzie pogłębiane.</w:t>
            </w:r>
          </w:p>
          <w:p w14:paraId="6AEDDE93" w14:textId="0B258DC4" w:rsidR="00D8615F" w:rsidRPr="00AC7562" w:rsidRDefault="00D8615F" w:rsidP="00374A29">
            <w:r w:rsidRPr="007D29D9">
              <w:rPr>
                <w:rFonts w:eastAsia="Lato" w:cs="Lato"/>
              </w:rPr>
              <w:t>Transport CO</w:t>
            </w:r>
            <w:r w:rsidRPr="007D29D9">
              <w:rPr>
                <w:rFonts w:eastAsia="Lato" w:cs="Lato"/>
                <w:vertAlign w:val="subscript"/>
              </w:rPr>
              <w:t>2</w:t>
            </w:r>
            <w:r w:rsidRPr="007D29D9">
              <w:rPr>
                <w:rFonts w:eastAsia="Lato" w:cs="Lato"/>
              </w:rPr>
              <w:t xml:space="preserve"> będzie możliwy także przy pomocy cystern i tym samym wykorzystanie sieci drogowej i kolejowej do jego dystrybucji. Niemniej, tego rodzaju transport będzie mieć miejsce przeważnie w przypadku małych wolumenów i na niewielkie odległości, co sprawia, że ten sposób transportu nie będzie dominujący przy pełnym rozwoju łańcucha wartości CCUS.</w:t>
            </w:r>
          </w:p>
        </w:tc>
      </w:tr>
      <w:tr w:rsidR="00D8615F" w:rsidRPr="00410B57" w14:paraId="4E6A0FDA" w14:textId="77777777" w:rsidTr="00DA5F7C">
        <w:tc>
          <w:tcPr>
            <w:tcW w:w="6093" w:type="dxa"/>
          </w:tcPr>
          <w:p w14:paraId="218AFBEB" w14:textId="77777777" w:rsidR="00D8615F" w:rsidRPr="00D25A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D25AE7">
              <w:rPr>
                <w:b/>
                <w:bCs/>
              </w:rPr>
              <w:t>[LULUCF]</w:t>
            </w:r>
          </w:p>
          <w:p w14:paraId="6BEF3857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5E550C">
              <w:t>KE zaleca, aby Polska</w:t>
            </w:r>
            <w:r>
              <w:t>:</w:t>
            </w:r>
          </w:p>
          <w:p w14:paraId="535156DE" w14:textId="77777777" w:rsidR="00D8615F" w:rsidRDefault="00D8615F" w:rsidP="0088161C">
            <w:pPr>
              <w:pStyle w:val="Akapitzlist"/>
              <w:numPr>
                <w:ilvl w:val="0"/>
                <w:numId w:val="3"/>
              </w:numPr>
              <w:spacing w:after="60" w:line="22" w:lineRule="atLeast"/>
              <w:ind w:left="1036" w:hanging="357"/>
            </w:pPr>
            <w:r>
              <w:t>W</w:t>
            </w:r>
            <w:r w:rsidRPr="00AC7562">
              <w:t xml:space="preserve">yznaczyła konkretną ścieżkę prowadzącą do osiągnięcia krajowego celu dla sektora LULUCF określonego w rozporządzeniu (UE) 2018/841. </w:t>
            </w:r>
          </w:p>
          <w:p w14:paraId="727E66D3" w14:textId="77777777" w:rsidR="00D8615F" w:rsidRDefault="00D8615F" w:rsidP="0088161C">
            <w:pPr>
              <w:pStyle w:val="Akapitzlist"/>
              <w:numPr>
                <w:ilvl w:val="0"/>
                <w:numId w:val="3"/>
              </w:numPr>
              <w:spacing w:after="60" w:line="22" w:lineRule="atLeast"/>
              <w:ind w:left="1036" w:hanging="357"/>
            </w:pPr>
            <w:r w:rsidRPr="00AC7562">
              <w:t xml:space="preserve">Uwzględniła dodatkowe środki w sektorze LULUCF, podając ich szczegółowy harmonogram i zakres oraz ilościowo określając ich przewidywane skutki, aby zapewnić skuteczne dostosowanie pochłaniania gazów cieplarnianych do unijnego celu pochłaniania gazów cieplarnianych netto na 2030 r. wynoszącego -310 Mt </w:t>
            </w:r>
            <w:r w:rsidRPr="00AC7562">
              <w:lastRenderedPageBreak/>
              <w:t>ekwiwalentu CO</w:t>
            </w:r>
            <w:r w:rsidRPr="00AC7562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 w:rsidRPr="00AC7562">
              <w:t>oraz krajowego celu pochłaniania gazów cieplarnianych na poziomie -3</w:t>
            </w:r>
            <w:r>
              <w:t> </w:t>
            </w:r>
            <w:r w:rsidRPr="00AC7562">
              <w:t xml:space="preserve">278 </w:t>
            </w:r>
            <w:proofErr w:type="spellStart"/>
            <w:r w:rsidRPr="00AC7562">
              <w:t>kt</w:t>
            </w:r>
            <w:proofErr w:type="spellEnd"/>
            <w:r w:rsidRPr="00AC7562">
              <w:t xml:space="preserve"> ekwiwalentu CO</w:t>
            </w:r>
            <w:r w:rsidRPr="00AC7562">
              <w:rPr>
                <w:sz w:val="16"/>
              </w:rPr>
              <w:t>2</w:t>
            </w:r>
            <w:r w:rsidRPr="00AC7562">
              <w:t xml:space="preserve"> określonych w rozporządzeniu (UE) 2018/841.</w:t>
            </w:r>
          </w:p>
          <w:p w14:paraId="763BA73B" w14:textId="77777777" w:rsidR="00D8615F" w:rsidRDefault="00D8615F" w:rsidP="00D43516">
            <w:pPr>
              <w:pStyle w:val="Akapitzlist"/>
              <w:numPr>
                <w:ilvl w:val="0"/>
                <w:numId w:val="3"/>
              </w:numPr>
              <w:spacing w:after="60" w:line="22" w:lineRule="atLeast"/>
            </w:pPr>
            <w:bookmarkStart w:id="2" w:name="_Hlk167353970"/>
            <w:r w:rsidRPr="00AC7562">
              <w:t xml:space="preserve">Przedstawiła jasne informacje na temat sposobu, w jaki fundusze publiczne (zarówno fundusze unijne, w tym w ramach wspólnej polityki rolnej, jak i pomoc państwa) oraz finansowanie prywatne za pomocą systemów rolnictwa węglowego są konsekwentnie i skutecznie wykorzystywane do osiągnięcia krajowego celu pochłaniania gazów cieplarnianych netto. </w:t>
            </w:r>
          </w:p>
          <w:p w14:paraId="698B88ED" w14:textId="77777777" w:rsidR="00D8615F" w:rsidRPr="00AC7562" w:rsidRDefault="00D8615F" w:rsidP="00D43516">
            <w:pPr>
              <w:pStyle w:val="Akapitzlist"/>
              <w:numPr>
                <w:ilvl w:val="0"/>
                <w:numId w:val="3"/>
              </w:numPr>
              <w:spacing w:after="60" w:line="22" w:lineRule="atLeast"/>
            </w:pPr>
            <w:bookmarkStart w:id="3" w:name="_Hlk167353689"/>
            <w:bookmarkEnd w:id="2"/>
            <w:r w:rsidRPr="00AC7562">
              <w:t>Podała informacje na temat stanu realizacji i postępów, jakie należy poczynić w zapewnianiu poprawy wyższych poziomów/jednoznacznych geograficznie zbiorów danych na potrzeby monitorowania, sprawozdawczości i weryfikacji, zgodnie z częścią 3 załącznika V do rozporządzenia (UE) 2018/1999</w:t>
            </w:r>
            <w:bookmarkEnd w:id="3"/>
            <w:r>
              <w:rPr>
                <w:rStyle w:val="Odwoanieprzypisudolnego"/>
              </w:rPr>
              <w:footnoteReference w:id="4"/>
            </w:r>
            <w:r w:rsidRPr="00AC7562">
              <w:t xml:space="preserve">. </w:t>
            </w:r>
          </w:p>
        </w:tc>
        <w:tc>
          <w:tcPr>
            <w:tcW w:w="8655" w:type="dxa"/>
          </w:tcPr>
          <w:p w14:paraId="05C76778" w14:textId="77777777" w:rsidR="00D8615F" w:rsidRPr="00A5767D" w:rsidRDefault="00D8615F" w:rsidP="000A452C">
            <w:r>
              <w:lastRenderedPageBreak/>
              <w:t xml:space="preserve">(a) </w:t>
            </w:r>
            <w:r w:rsidRPr="00A5767D">
              <w:t>Nowa ocena możliwości pochłaniania, oparta na obecnej polityce Rządu oraz uwzględniająca zaktualizowane dane pozwala na osiągnięcie celów przy realizacji dodatkowych środków w sektorze LULUCF.</w:t>
            </w:r>
          </w:p>
          <w:p w14:paraId="4DD92442" w14:textId="77777777" w:rsidR="00D8615F" w:rsidRPr="00A5767D" w:rsidRDefault="00D8615F" w:rsidP="000A452C">
            <w:r w:rsidRPr="00A5767D">
              <w:t>Polska opracowała ścieżkę prowadzącą do celu określonego w rozporządzeniu (UE) 2018/841 przygotowując scenariusz WAM. Scenariusz ten uwzględnia potencjalną trajektorię liniową pochłaniania w sektorze LULUCF na lata 2026</w:t>
            </w:r>
            <w:r>
              <w:t>–</w:t>
            </w:r>
            <w:r w:rsidRPr="00A5767D">
              <w:t>2030.</w:t>
            </w:r>
          </w:p>
          <w:p w14:paraId="1E50E4A0" w14:textId="77777777" w:rsidR="00D8615F" w:rsidRDefault="00D8615F" w:rsidP="000A452C">
            <w:r>
              <w:t xml:space="preserve">(b) </w:t>
            </w:r>
            <w:r w:rsidRPr="00A5767D">
              <w:t xml:space="preserve">Zaktualizowano opis polityk </w:t>
            </w:r>
            <w:r>
              <w:t xml:space="preserve">oraz zmodyfikowano katalog działań </w:t>
            </w:r>
            <w:r w:rsidRPr="00A5767D">
              <w:t xml:space="preserve">w </w:t>
            </w:r>
            <w:r>
              <w:t>a</w:t>
            </w:r>
            <w:r w:rsidRPr="00A5767D">
              <w:t xml:space="preserve">KPEiK zakładający zwiększanie potencjału pochłaniania w sektorze LULUCF uwzględniając perspektywę 2030 r. </w:t>
            </w:r>
          </w:p>
          <w:p w14:paraId="205F9024" w14:textId="77777777" w:rsidR="00D8615F" w:rsidRDefault="00D8615F" w:rsidP="000A452C">
            <w:pPr>
              <w:spacing w:line="22" w:lineRule="atLeast"/>
            </w:pPr>
            <w:r w:rsidRPr="00A5767D">
              <w:lastRenderedPageBreak/>
              <w:t>Stworzenie szczegółowego harmonogramu odnośnie</w:t>
            </w:r>
            <w:r>
              <w:t xml:space="preserve"> do</w:t>
            </w:r>
            <w:r w:rsidRPr="00A5767D">
              <w:t xml:space="preserve"> sektora LULUCF, w szczególności gruntów leśnych nie jest uzasadnione, ze względu na ich dużą podatnością na zaburzenia biotyczne i abiotyczne powodujące fluktuacje w pochłanianiu. Działania Polski będą ukierunkowane na osiągnięcie celów do 2030</w:t>
            </w:r>
            <w:r>
              <w:t xml:space="preserve"> r</w:t>
            </w:r>
            <w:r w:rsidRPr="00A5767D">
              <w:t>.</w:t>
            </w:r>
          </w:p>
          <w:p w14:paraId="0D296988" w14:textId="29E70D4B" w:rsidR="00D8615F" w:rsidRDefault="00D8615F" w:rsidP="000A452C">
            <w:pPr>
              <w:spacing w:line="22" w:lineRule="atLeast"/>
            </w:pPr>
            <w:r>
              <w:t>(c) Prezentacja tego typu danych</w:t>
            </w:r>
            <w:r w:rsidR="00E8352B">
              <w:t xml:space="preserve"> w KPEiK</w:t>
            </w:r>
            <w:r>
              <w:t xml:space="preserve"> nie znajduje uzasadnienia. W ocenie Polski tego typu ocena powinna być prowadzona odrębnie</w:t>
            </w:r>
            <w:r w:rsidR="004B49FB">
              <w:t xml:space="preserve"> poza</w:t>
            </w:r>
            <w:r>
              <w:t xml:space="preserve"> aKPEiK</w:t>
            </w:r>
            <w:r w:rsidR="004B49FB">
              <w:t xml:space="preserve"> </w:t>
            </w:r>
            <w:r>
              <w:t>oraz</w:t>
            </w:r>
            <w:r w:rsidR="004B49FB">
              <w:t xml:space="preserve"> z uwagi na</w:t>
            </w:r>
            <w:r>
              <w:t xml:space="preserve"> prac</w:t>
            </w:r>
            <w:r w:rsidR="00007238">
              <w:t>e</w:t>
            </w:r>
            <w:r>
              <w:t xml:space="preserve"> nad rewizjami prawa UE. </w:t>
            </w:r>
          </w:p>
          <w:p w14:paraId="5C3DB450" w14:textId="08C23F95" w:rsidR="00D8615F" w:rsidRPr="00AC7562" w:rsidRDefault="00D8615F" w:rsidP="000A452C">
            <w:pPr>
              <w:spacing w:line="22" w:lineRule="atLeast"/>
            </w:pPr>
            <w:r>
              <w:t>(d) P</w:t>
            </w:r>
            <w:r w:rsidRPr="00104C74">
              <w:t>ostępy w zapewnieniu przejścia na wyższe poziomy raportowania danych jednoznacznych geograficznie będą zrealizowane wykorzystując m.in. projekt INCONADA, a także planuje się rozszerzenie monitoringu węgla w glebach leśnych jako znaczącego rezerwuaru węgla z zgodnie z częścią 3 załącznika V do rozporządzenia (UE) 2018/1999</w:t>
            </w:r>
          </w:p>
        </w:tc>
      </w:tr>
      <w:tr w:rsidR="00D8615F" w:rsidRPr="00410B57" w14:paraId="078C5F0E" w14:textId="77777777" w:rsidTr="00DA5F7C">
        <w:trPr>
          <w:trHeight w:val="3340"/>
        </w:trPr>
        <w:tc>
          <w:tcPr>
            <w:tcW w:w="6093" w:type="dxa"/>
          </w:tcPr>
          <w:p w14:paraId="55EEF197" w14:textId="77777777" w:rsidR="00D8615F" w:rsidRPr="00D25A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D25AE7">
              <w:rPr>
                <w:b/>
                <w:bCs/>
              </w:rPr>
              <w:lastRenderedPageBreak/>
              <w:t>[Adaptacja do zmian klimatu]</w:t>
            </w:r>
          </w:p>
          <w:p w14:paraId="4AB70E10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5E550C">
              <w:t>KE zaleca, aby Polska</w:t>
            </w:r>
            <w:r>
              <w:t>:</w:t>
            </w:r>
          </w:p>
          <w:p w14:paraId="6BA35E57" w14:textId="77777777" w:rsidR="00D8615F" w:rsidRDefault="00D8615F" w:rsidP="00D43516">
            <w:pPr>
              <w:pStyle w:val="Akapitzlist"/>
              <w:numPr>
                <w:ilvl w:val="0"/>
                <w:numId w:val="5"/>
              </w:numPr>
              <w:spacing w:after="60" w:line="22" w:lineRule="atLeast"/>
            </w:pPr>
            <w:r>
              <w:t>d</w:t>
            </w:r>
            <w:r w:rsidRPr="00AC7562">
              <w:t xml:space="preserve">ostarczyła dodatkową analizę istotnych wrażliwości na zmiany klimatu i ryzyka związanego z klimatem w odniesieniu do osiągnięcia krajowych założeń, celów i wkładów oraz polityk i środków w poszczególnych wymiarach unii energetycznej. </w:t>
            </w:r>
          </w:p>
          <w:p w14:paraId="75672A56" w14:textId="77777777" w:rsidR="00D8615F" w:rsidRDefault="00D8615F" w:rsidP="0088161C">
            <w:pPr>
              <w:pStyle w:val="Akapitzlist"/>
              <w:numPr>
                <w:ilvl w:val="0"/>
                <w:numId w:val="5"/>
              </w:numPr>
              <w:spacing w:after="60" w:line="22" w:lineRule="atLeast"/>
            </w:pPr>
            <w:r w:rsidRPr="00AC7562">
              <w:t xml:space="preserve">Lepiej przedstawiła i w miarę możliwości ilościowo określiła powiązanie z konkretnymi celami i politykami unii energetycznej, które powinny być wspierane w ramach polityk i środków w dziedzinie przystosowania się do zmiany klimatu. </w:t>
            </w:r>
          </w:p>
          <w:p w14:paraId="11D01377" w14:textId="77777777" w:rsidR="00D8615F" w:rsidRPr="00AC7562" w:rsidRDefault="00D8615F" w:rsidP="00D43516">
            <w:pPr>
              <w:pStyle w:val="Akapitzlist"/>
              <w:numPr>
                <w:ilvl w:val="0"/>
                <w:numId w:val="5"/>
              </w:numPr>
              <w:spacing w:after="60" w:line="22" w:lineRule="atLeast"/>
            </w:pPr>
            <w:r w:rsidRPr="00AC7562">
              <w:t xml:space="preserve">Ustanowiła dodatkowe polityki i środki w dziedzinie przystosowania się do zmiany klimatu w sposób wystarczająco szczegółowy, aby wesprzeć realizację krajowych założeń, celów i wkładów w ramach unii energetycznej, w tym środków służących zabezpieczeniu zdolności wytwarzania energii elektrycznej i oszczędności energii w gospodarstwach domowych.  </w:t>
            </w:r>
          </w:p>
        </w:tc>
        <w:tc>
          <w:tcPr>
            <w:tcW w:w="8655" w:type="dxa"/>
          </w:tcPr>
          <w:p w14:paraId="1F0DDAF2" w14:textId="7BD4F8FE" w:rsidR="00D8615F" w:rsidRDefault="000A452C" w:rsidP="000A452C">
            <w:pPr>
              <w:spacing w:line="22" w:lineRule="atLeast"/>
            </w:pPr>
            <w:r>
              <w:t xml:space="preserve">(a)–(c) </w:t>
            </w:r>
            <w:r w:rsidR="00D8615F">
              <w:t>Rozporządzenie UE 2018/1999 nie określa obowiązku dostarczania analiz dotyczących adaptacji do zmian klimatu, polityk i środków w tym obszarze. Znaczna część polityk i działań w</w:t>
            </w:r>
            <w:r w:rsidR="00EC03C2">
              <w:t> </w:t>
            </w:r>
            <w:r w:rsidR="00D8615F">
              <w:t xml:space="preserve">tym kontekście pokrywa się z działaniami odnoszącymi się do unii energetycznej i zakresu krajowych planów, lecz całe zagadnienie wykracza poza i tak obszerny zakres krajowych planów w dziedzinie energii i klimatu. </w:t>
            </w:r>
          </w:p>
          <w:p w14:paraId="71954902" w14:textId="0D692CEF" w:rsidR="00D8615F" w:rsidRDefault="00D8615F" w:rsidP="000A452C">
            <w:pPr>
              <w:spacing w:after="160" w:line="22" w:lineRule="atLeast"/>
            </w:pPr>
            <w:r>
              <w:t>Polska wyszła naprzeciw temu, aby odnotować kwestię istotności adaptacji do zamian klimatu w</w:t>
            </w:r>
            <w:r w:rsidR="00EC03C2">
              <w:t> </w:t>
            </w:r>
            <w:r>
              <w:t xml:space="preserve">aKPEiK już w projekcie z 29 lutego 2024 r. </w:t>
            </w:r>
          </w:p>
          <w:p w14:paraId="071EBC6E" w14:textId="77777777" w:rsidR="00D8615F" w:rsidRDefault="00D8615F" w:rsidP="000A452C">
            <w:pPr>
              <w:spacing w:after="160" w:line="22" w:lineRule="atLeast"/>
              <w:rPr>
                <w:color w:val="000000" w:themeColor="text1"/>
                <w:szCs w:val="20"/>
              </w:rPr>
            </w:pPr>
            <w:r>
              <w:t xml:space="preserve">W dalszej kolejności dokonano rewizji w stosunku do projektu aKPEiK – znacznie szerzej opisano konieczność uwzględniania adaptacji w planowaniu inwestycji, odniesiono się do istniejących dokumentów strategicznych, m.in. </w:t>
            </w:r>
            <w:r w:rsidRPr="00C6300C">
              <w:rPr>
                <w:i/>
                <w:iCs/>
              </w:rPr>
              <w:t>Krajowej Polityki Miejskiej</w:t>
            </w:r>
            <w:r>
              <w:t>, czy do miejskich planów adaptacji. Mimo to tematyka adaptacji powinna być pokryta oddzielnym dokumentem.</w:t>
            </w:r>
            <w:r w:rsidRPr="4D796C50">
              <w:rPr>
                <w:color w:val="000000" w:themeColor="text1"/>
                <w:szCs w:val="20"/>
              </w:rPr>
              <w:t xml:space="preserve"> </w:t>
            </w:r>
          </w:p>
          <w:p w14:paraId="6E2C2997" w14:textId="412F6E40" w:rsidR="00D8615F" w:rsidRPr="00AC7562" w:rsidRDefault="00D8615F" w:rsidP="000A452C">
            <w:pPr>
              <w:spacing w:line="22" w:lineRule="atLeast"/>
            </w:pPr>
            <w:r w:rsidRPr="4D796C50">
              <w:rPr>
                <w:rFonts w:eastAsia="Lato" w:cs="Lato"/>
                <w:color w:val="000000" w:themeColor="text1"/>
                <w:szCs w:val="20"/>
              </w:rPr>
              <w:t xml:space="preserve">W związku ze wzrostem znaczenia działań adaptacyjnych w politykach publicznych i silnym akcentowaniu kwestii adaptacyjnych w aktualnych dokumentach na poziomie międzynarodowym, w tym europejskim, i krajowym, Polska (podjęła działania związane z opracowaniem </w:t>
            </w:r>
            <w:r w:rsidRPr="00E7506F">
              <w:rPr>
                <w:rFonts w:eastAsia="Lato" w:cs="Lato"/>
                <w:i/>
                <w:iCs/>
                <w:color w:val="000000" w:themeColor="text1"/>
                <w:szCs w:val="20"/>
              </w:rPr>
              <w:t>Krajowej Strategii Adaptacji</w:t>
            </w:r>
            <w:r w:rsidRPr="4D796C50">
              <w:rPr>
                <w:rFonts w:eastAsia="Lato" w:cs="Lato"/>
                <w:color w:val="000000" w:themeColor="text1"/>
                <w:szCs w:val="20"/>
              </w:rPr>
              <w:t xml:space="preserve"> (KSA) oraz </w:t>
            </w:r>
            <w:r w:rsidRPr="00E7506F">
              <w:rPr>
                <w:rFonts w:eastAsia="Lato" w:cs="Lato"/>
                <w:i/>
                <w:iCs/>
                <w:color w:val="000000" w:themeColor="text1"/>
                <w:szCs w:val="20"/>
              </w:rPr>
              <w:t>Planu Działań Adaptacyjnych</w:t>
            </w:r>
            <w:r w:rsidRPr="4D796C50">
              <w:rPr>
                <w:rFonts w:eastAsia="Lato" w:cs="Lato"/>
                <w:color w:val="000000" w:themeColor="text1"/>
                <w:szCs w:val="20"/>
              </w:rPr>
              <w:t xml:space="preserve"> (PD</w:t>
            </w:r>
            <w:r w:rsidRPr="4D796C50">
              <w:rPr>
                <w:rFonts w:eastAsia="Lato" w:cs="Lato"/>
                <w:szCs w:val="20"/>
              </w:rPr>
              <w:t>A). Sektor energii oraz inne sektory, w których działania adaptacyjne mają wpływ na osiągnięcie założeń i celów unii energetycznej, zostaną uwzględnione w KSA i PDA.</w:t>
            </w:r>
          </w:p>
        </w:tc>
      </w:tr>
      <w:tr w:rsidR="00D8615F" w:rsidRPr="00410B57" w14:paraId="7C4F0FDD" w14:textId="77777777" w:rsidTr="00DA5F7C">
        <w:tc>
          <w:tcPr>
            <w:tcW w:w="6093" w:type="dxa"/>
          </w:tcPr>
          <w:p w14:paraId="2F2756D5" w14:textId="77777777" w:rsidR="00D8615F" w:rsidRPr="00D25A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D25AE7">
              <w:rPr>
                <w:b/>
                <w:bCs/>
              </w:rPr>
              <w:t>[OZE – cel ogólny]</w:t>
            </w:r>
          </w:p>
          <w:p w14:paraId="133AEC71" w14:textId="77777777" w:rsidR="00D8615F" w:rsidRPr="00AC7562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5E550C">
              <w:t xml:space="preserve">KE zaleca, aby Polska </w:t>
            </w:r>
            <w:r>
              <w:t>z</w:t>
            </w:r>
            <w:r w:rsidRPr="00AC7562">
              <w:t xml:space="preserve">większyła ambitny udział odnawialnych źródeł energii na poziomie co najmniej 32% jako wkład w realizację wiążącego unijnego celu w zakresie energii ze źródeł odnawialnych na 2030 r. określonego w art. 3 ust. 1 dyrektywy (UE) 2018/2001, zmienionego zgodnie ze wzorem określonym w załączniku II do rozporządzenia (UE) 2018/1999. Uwzględniła orientacyjną trajektorię osiągania punktów odniesienia na 2025 r. i 2027 r. wynikających z art. 4 lit. a) </w:t>
            </w:r>
            <w:proofErr w:type="spellStart"/>
            <w:r w:rsidRPr="00AC7562">
              <w:t>ppkt</w:t>
            </w:r>
            <w:proofErr w:type="spellEnd"/>
            <w:r w:rsidRPr="00AC7562">
              <w:t xml:space="preserve"> 2 rozporządzenia (UE) 2018/1999.  </w:t>
            </w:r>
          </w:p>
        </w:tc>
        <w:tc>
          <w:tcPr>
            <w:tcW w:w="8655" w:type="dxa"/>
          </w:tcPr>
          <w:p w14:paraId="0A655B0F" w14:textId="32820195" w:rsidR="00D8615F" w:rsidRDefault="00D8615F" w:rsidP="00E7506F">
            <w:pPr>
              <w:spacing w:line="22" w:lineRule="atLeast"/>
            </w:pPr>
            <w:r>
              <w:t>W pierwszej kolejności należy zauważyć, że dotychczasowy cel Polski w zakresie OZE określono w KPEiK z 2019 r. na poziomie 21-23%. Już w scenariuszu WEM przedstawiono cel 29,8%, co stanowi wzrost o 6,8–8,8 pkt proc. i oznacza ogromne zwiększenie ambicji.</w:t>
            </w:r>
            <w:r w:rsidR="00E7506F">
              <w:t xml:space="preserve"> </w:t>
            </w:r>
            <w:r>
              <w:t xml:space="preserve">Na podstawie scenariusza WAM Polska określa cel na poziomie </w:t>
            </w:r>
            <w:r w:rsidR="00196085">
              <w:t>32,1</w:t>
            </w:r>
            <w:r>
              <w:t xml:space="preserve">%. </w:t>
            </w:r>
          </w:p>
          <w:p w14:paraId="6D630119" w14:textId="317C6ED8" w:rsidR="00D8615F" w:rsidRPr="006E6D44" w:rsidRDefault="00D8615F" w:rsidP="000A452C">
            <w:r>
              <w:t>Niemniej jednak w</w:t>
            </w:r>
            <w:r w:rsidRPr="006E6D44">
              <w:t xml:space="preserve">ażna w tym kontekście jest przede wszystkim trudność zwiększania udziału OZE w transporcie – Polska wskazała </w:t>
            </w:r>
            <w:r w:rsidR="007B2AD8">
              <w:t>18,9</w:t>
            </w:r>
            <w:r w:rsidRPr="006E6D44">
              <w:t>%, a cel wynikający z RED III wynosi 29% dla wszystkich państw członkowskich</w:t>
            </w:r>
            <w:r>
              <w:t>. W</w:t>
            </w:r>
            <w:r w:rsidRPr="006E6D44">
              <w:t xml:space="preserve"> 2022 r. tylko 2 p</w:t>
            </w:r>
            <w:r>
              <w:t xml:space="preserve">aństwa </w:t>
            </w:r>
            <w:r w:rsidRPr="006E6D44">
              <w:t>cz</w:t>
            </w:r>
            <w:r>
              <w:t>łonkowskie</w:t>
            </w:r>
            <w:r w:rsidRPr="006E6D44">
              <w:t xml:space="preserve"> UE przekroczyły 11% (Szwecja i Finlandia), a średnia unijna wyniosła 9,6% OZE w transporcie</w:t>
            </w:r>
            <w:r w:rsidR="005F597E">
              <w:t xml:space="preserve">. To </w:t>
            </w:r>
            <w:r>
              <w:t>pokazuje jak trudny w</w:t>
            </w:r>
            <w:r w:rsidR="00EC03C2">
              <w:t> </w:t>
            </w:r>
            <w:r>
              <w:t>realizacji jest powyższy cel.</w:t>
            </w:r>
          </w:p>
          <w:p w14:paraId="6FD2820F" w14:textId="702D81C7" w:rsidR="00D8615F" w:rsidRPr="00AC7562" w:rsidRDefault="00D8615F" w:rsidP="000A452C">
            <w:pPr>
              <w:spacing w:line="22" w:lineRule="atLeast"/>
            </w:pPr>
            <w:r>
              <w:t xml:space="preserve">Zarówno w projekcie dokumentu, jak i </w:t>
            </w:r>
            <w:r w:rsidR="00F874B1">
              <w:t>ostatecznej</w:t>
            </w:r>
            <w:r>
              <w:t xml:space="preserve"> wersji </w:t>
            </w:r>
            <w:r w:rsidR="00F874B1">
              <w:t xml:space="preserve">aKPEiK </w:t>
            </w:r>
            <w:r>
              <w:t>określono punkty odniesienia dla celu ogólnego i celów sektorowych tj. wartości dla 2025 i 2027 r., dlatego zalecenie ma pokrycie w aKPEiK.</w:t>
            </w:r>
          </w:p>
        </w:tc>
      </w:tr>
      <w:tr w:rsidR="00D8615F" w:rsidRPr="00410B57" w14:paraId="0262F128" w14:textId="77777777" w:rsidTr="00DA5F7C">
        <w:tc>
          <w:tcPr>
            <w:tcW w:w="6093" w:type="dxa"/>
          </w:tcPr>
          <w:p w14:paraId="00208E6B" w14:textId="77777777" w:rsidR="00D8615F" w:rsidRPr="00D25A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D25AE7">
              <w:rPr>
                <w:b/>
                <w:bCs/>
              </w:rPr>
              <w:lastRenderedPageBreak/>
              <w:t>[Plan dla OZE</w:t>
            </w:r>
            <w:r>
              <w:rPr>
                <w:b/>
                <w:bCs/>
              </w:rPr>
              <w:t xml:space="preserve"> i cele sektorowe</w:t>
            </w:r>
            <w:r w:rsidRPr="00D25AE7">
              <w:rPr>
                <w:b/>
                <w:bCs/>
              </w:rPr>
              <w:t>]</w:t>
            </w:r>
          </w:p>
          <w:p w14:paraId="7C045F88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5E550C">
              <w:t>KE zaleca, aby Polska</w:t>
            </w:r>
            <w:r>
              <w:t>:</w:t>
            </w:r>
          </w:p>
          <w:p w14:paraId="4ED1DB3E" w14:textId="77777777" w:rsidR="00D8615F" w:rsidRDefault="00D8615F" w:rsidP="00D43516">
            <w:pPr>
              <w:pStyle w:val="Akapitzlist"/>
              <w:numPr>
                <w:ilvl w:val="0"/>
                <w:numId w:val="6"/>
              </w:numPr>
              <w:spacing w:after="60" w:line="22" w:lineRule="atLeast"/>
            </w:pPr>
            <w:r>
              <w:t>p</w:t>
            </w:r>
            <w:r w:rsidRPr="00AC7562">
              <w:t xml:space="preserve">rzedstawiła szacunkową trajektorię i </w:t>
            </w:r>
            <w:r w:rsidRPr="00872AF4">
              <w:rPr>
                <w:u w:val="single"/>
              </w:rPr>
              <w:t>długoterminowy plan wykorzystywania technologii energii odnawialnej w ciągu najbliższych 10 lat</w:t>
            </w:r>
            <w:r w:rsidRPr="00AC7562">
              <w:t xml:space="preserve">, z perspektywą do 2040 r. </w:t>
            </w:r>
          </w:p>
          <w:p w14:paraId="63D4C4E5" w14:textId="29E5DCF6" w:rsidR="00D8615F" w:rsidRDefault="00D8615F" w:rsidP="00D43516">
            <w:pPr>
              <w:pStyle w:val="Akapitzlist"/>
              <w:numPr>
                <w:ilvl w:val="0"/>
                <w:numId w:val="6"/>
              </w:numPr>
              <w:spacing w:after="60" w:line="22" w:lineRule="atLeast"/>
            </w:pPr>
            <w:r w:rsidRPr="00AC7562">
              <w:t>Uwzględniła orientacyjny cel dotyczący innowacyjnych technologii energii odnawialnej do 2030 r. zgodnie ze zmienioną dyrektywą (UE) 2018/2001</w:t>
            </w:r>
            <w:r>
              <w:rPr>
                <w:rStyle w:val="Odwoanieprzypisudolnego"/>
              </w:rPr>
              <w:footnoteReference w:id="5"/>
            </w:r>
            <w:r w:rsidRPr="00AC7562">
              <w:t xml:space="preserve">. </w:t>
            </w:r>
          </w:p>
          <w:p w14:paraId="74926A31" w14:textId="77777777" w:rsidR="00D8615F" w:rsidRDefault="00D8615F" w:rsidP="00D43516">
            <w:pPr>
              <w:pStyle w:val="Akapitzlist"/>
              <w:numPr>
                <w:ilvl w:val="0"/>
                <w:numId w:val="6"/>
              </w:numPr>
              <w:spacing w:after="60" w:line="22" w:lineRule="atLeast"/>
            </w:pPr>
            <w:r w:rsidRPr="005E550C">
              <w:t xml:space="preserve">Uwzględniła konkretny cel przyczyniający się do osiągnięcia orientacyjnego celu cząstkowego UE w sektorze przemysłu i budownictwa na 2030 r. oraz wiążącego celu cząstkowego dotyczącego paliw odnawialnych pochodzenia niebiologicznego w przemyśle na 2030 r., zgodnie ze zmienioną dyrektywą (UE) 2018/2001. </w:t>
            </w:r>
          </w:p>
          <w:p w14:paraId="3000D44F" w14:textId="77777777" w:rsidR="00D8615F" w:rsidRDefault="00D8615F" w:rsidP="00D43516">
            <w:pPr>
              <w:pStyle w:val="Akapitzlist"/>
              <w:numPr>
                <w:ilvl w:val="0"/>
                <w:numId w:val="6"/>
              </w:numPr>
              <w:spacing w:after="60" w:line="22" w:lineRule="atLeast"/>
            </w:pPr>
            <w:r w:rsidRPr="005E550C">
              <w:t xml:space="preserve">Uwzględniła orientacyjny cel w zakresie ogrzewania i chłodzenia, polegający na realizacji dodatkowych zobowiązań określonych w załączniku IA do zmienionej dyrektywy (UE) 2018/2001, oraz orientacyjny cel w zakresie systemów ciepłowniczych i chłodniczych na lata 2021–2030. </w:t>
            </w:r>
          </w:p>
          <w:p w14:paraId="2ADDB3F1" w14:textId="77777777" w:rsidR="00D8615F" w:rsidRPr="005E550C" w:rsidRDefault="00D8615F" w:rsidP="00D43516">
            <w:pPr>
              <w:pStyle w:val="Akapitzlist"/>
              <w:numPr>
                <w:ilvl w:val="0"/>
                <w:numId w:val="6"/>
              </w:numPr>
              <w:spacing w:after="60" w:line="22" w:lineRule="atLeast"/>
            </w:pPr>
            <w:r w:rsidRPr="005E550C">
              <w:t xml:space="preserve">Określiła, jaki cel Polska zamierza osiągnąć w sektorze transportu </w:t>
            </w:r>
            <w:r w:rsidRPr="009D50E8">
              <w:rPr>
                <w:u w:val="single"/>
              </w:rPr>
              <w:t>poprzez nałożenie obowiązku na dostawców paliw</w:t>
            </w:r>
            <w:r w:rsidRPr="005E550C">
              <w:t>, w tym za pomocą celu cząstkowego dotyczącego zaawansowanych biopaliw i paliw odnawialnych pochodzenia niebiologicznego, zapewniając przestrzeganie minimalnego poziomu paliw odnawialnych pochodzenia niebiologicznego w 2030 r.</w:t>
            </w:r>
          </w:p>
        </w:tc>
        <w:tc>
          <w:tcPr>
            <w:tcW w:w="8655" w:type="dxa"/>
          </w:tcPr>
          <w:p w14:paraId="24C97C3C" w14:textId="77777777" w:rsidR="00D8615F" w:rsidRPr="009C056A" w:rsidRDefault="00D8615F" w:rsidP="000A452C">
            <w:pPr>
              <w:spacing w:line="22" w:lineRule="atLeast"/>
            </w:pPr>
            <w:r w:rsidRPr="009C056A">
              <w:t xml:space="preserve">(a) Polska przedstawiła stosowne tabele w załączniku 1 do aKPEiK </w:t>
            </w:r>
            <w:r>
              <w:t xml:space="preserve">(scenariusz WAM) </w:t>
            </w:r>
            <w:r w:rsidRPr="009C056A">
              <w:t>prezentujące rozwój poszczególnych OZE w</w:t>
            </w:r>
            <w:r>
              <w:t> </w:t>
            </w:r>
            <w:r w:rsidRPr="009C056A">
              <w:t xml:space="preserve">perspektywie 2040 r. </w:t>
            </w:r>
          </w:p>
          <w:p w14:paraId="60AFDADE" w14:textId="77777777" w:rsidR="00D8615F" w:rsidRDefault="00D8615F" w:rsidP="000A452C">
            <w:pPr>
              <w:spacing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t>(b) Zalecenie odnosi się do udziału innowacyjnych technologii OZE w nowo zainstalowanie mocy instalacji odnawialnych, ale a</w:t>
            </w:r>
            <w:r w:rsidRPr="4D796C50">
              <w:rPr>
                <w:rFonts w:eastAsia="Lato" w:cs="Lato"/>
              </w:rPr>
              <w:t>ktualn</w:t>
            </w:r>
            <w:r>
              <w:rPr>
                <w:rFonts w:eastAsia="Lato" w:cs="Lato"/>
              </w:rPr>
              <w:t>ie</w:t>
            </w:r>
            <w:r w:rsidRPr="4D796C50">
              <w:rPr>
                <w:rFonts w:eastAsia="Lato" w:cs="Lato"/>
              </w:rPr>
              <w:t xml:space="preserve"> </w:t>
            </w:r>
            <w:r>
              <w:rPr>
                <w:rFonts w:eastAsia="Lato" w:cs="Lato"/>
              </w:rPr>
              <w:t>nie istnieją możliwości oceny, gdyż nie są prowadzone statystki w tym zakresie. Ponadto określenie „</w:t>
            </w:r>
            <w:r w:rsidRPr="00C06DBE">
              <w:rPr>
                <w:rFonts w:eastAsia="Lato" w:cs="Lato"/>
              </w:rPr>
              <w:t>innowacyjnych technologii energii odnawialnej</w:t>
            </w:r>
            <w:r>
              <w:rPr>
                <w:rFonts w:eastAsia="Lato" w:cs="Lato"/>
              </w:rPr>
              <w:t xml:space="preserve">” również nie jest dostatecznie precyzyjne. </w:t>
            </w:r>
          </w:p>
          <w:p w14:paraId="556C6504" w14:textId="1CD8A29C" w:rsidR="00D8615F" w:rsidRDefault="00D8615F" w:rsidP="000A452C">
            <w:pPr>
              <w:spacing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t xml:space="preserve">Prowadzone są </w:t>
            </w:r>
            <w:r w:rsidRPr="4D796C50">
              <w:rPr>
                <w:rFonts w:eastAsia="Lato" w:cs="Lato"/>
              </w:rPr>
              <w:t xml:space="preserve">prace analityczne nad najlepszym możliwym sposobem implementacji dyrektywy </w:t>
            </w:r>
            <w:r>
              <w:rPr>
                <w:rFonts w:eastAsia="Lato" w:cs="Lato"/>
              </w:rPr>
              <w:t xml:space="preserve">RED III </w:t>
            </w:r>
            <w:r w:rsidRPr="4D796C50">
              <w:rPr>
                <w:rFonts w:eastAsia="Lato" w:cs="Lato"/>
              </w:rPr>
              <w:t xml:space="preserve">do prawa krajowego i </w:t>
            </w:r>
            <w:r w:rsidR="00701136">
              <w:rPr>
                <w:rFonts w:eastAsia="Lato" w:cs="Lato"/>
              </w:rPr>
              <w:t xml:space="preserve">nad </w:t>
            </w:r>
            <w:r w:rsidRPr="4D796C50">
              <w:rPr>
                <w:rFonts w:eastAsia="Lato" w:cs="Lato"/>
              </w:rPr>
              <w:t>wprowadzenie</w:t>
            </w:r>
            <w:r w:rsidR="00701136">
              <w:rPr>
                <w:rFonts w:eastAsia="Lato" w:cs="Lato"/>
              </w:rPr>
              <w:t>m</w:t>
            </w:r>
            <w:r w:rsidRPr="4D796C50">
              <w:rPr>
                <w:rFonts w:eastAsia="Lato" w:cs="Lato"/>
              </w:rPr>
              <w:t xml:space="preserve"> zmian do systemów wsparcia OZE wynikających z dyrektywy RED III</w:t>
            </w:r>
            <w:r w:rsidR="00BE0EBB">
              <w:rPr>
                <w:rFonts w:eastAsia="Lato" w:cs="Lato"/>
              </w:rPr>
              <w:t>.</w:t>
            </w:r>
            <w:r w:rsidR="00DD521E">
              <w:rPr>
                <w:rFonts w:eastAsia="Lato" w:cs="Lato"/>
              </w:rPr>
              <w:t xml:space="preserve"> Zmiany będą</w:t>
            </w:r>
            <w:r w:rsidRPr="4D796C50">
              <w:rPr>
                <w:rFonts w:eastAsia="Lato" w:cs="Lato"/>
              </w:rPr>
              <w:t xml:space="preserve"> procedowane w ramach przekrojowego projektu ustawy transponującego tę dyrektywę.</w:t>
            </w:r>
            <w:r>
              <w:rPr>
                <w:rFonts w:eastAsia="Lato" w:cs="Lato"/>
              </w:rPr>
              <w:t xml:space="preserve"> </w:t>
            </w:r>
          </w:p>
          <w:p w14:paraId="3A6C39A6" w14:textId="3DE30321" w:rsidR="00D8615F" w:rsidRDefault="00D8615F" w:rsidP="000A452C">
            <w:pPr>
              <w:spacing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t xml:space="preserve">(c) Polska wyznaczyła cel w zakresie udziału OZE w przemyśle – </w:t>
            </w:r>
            <w:r w:rsidR="00EB3834">
              <w:rPr>
                <w:rFonts w:eastAsia="Lato" w:cs="Lato"/>
              </w:rPr>
              <w:t>23,7</w:t>
            </w:r>
            <w:r>
              <w:rPr>
                <w:rFonts w:eastAsia="Lato" w:cs="Lato"/>
              </w:rPr>
              <w:t>%, natomiast cel w</w:t>
            </w:r>
            <w:r w:rsidR="000A452C">
              <w:rPr>
                <w:rFonts w:eastAsia="Lato" w:cs="Lato"/>
              </w:rPr>
              <w:t> </w:t>
            </w:r>
            <w:r>
              <w:rPr>
                <w:rFonts w:eastAsia="Lato" w:cs="Lato"/>
              </w:rPr>
              <w:t>zakresie RFNBO w przemyśle został oznaczony jako bardzo trudny do realizacji. Analiza sytuacji w innych państwach wskazuje, że problem w tym zakresie będzie mieć większość państw członkowskich. Pokrywanie tego celu może nieść także istotne ryzyko uzależnienia od importu.</w:t>
            </w:r>
          </w:p>
          <w:p w14:paraId="64EC5E0F" w14:textId="48FBD544" w:rsidR="00D8615F" w:rsidRDefault="00D8615F" w:rsidP="000A452C">
            <w:pPr>
              <w:spacing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t xml:space="preserve">Polska wyznaczyła również cel w zakresie udziału OZE w budownictwie – </w:t>
            </w:r>
            <w:r w:rsidR="00EB3834">
              <w:rPr>
                <w:rFonts w:eastAsia="Lato" w:cs="Lato"/>
              </w:rPr>
              <w:t>49,2</w:t>
            </w:r>
            <w:r>
              <w:rPr>
                <w:rFonts w:eastAsia="Lato" w:cs="Lato"/>
              </w:rPr>
              <w:t>% jako kontrybucja w celu UE na poziomie 49%</w:t>
            </w:r>
            <w:r w:rsidR="00820C4F">
              <w:rPr>
                <w:rFonts w:eastAsia="Lato" w:cs="Lato"/>
              </w:rPr>
              <w:t>, przy czym wytyczne KE wskazywały dla Polski 45%</w:t>
            </w:r>
            <w:r>
              <w:rPr>
                <w:rFonts w:eastAsia="Lato" w:cs="Lato"/>
              </w:rPr>
              <w:t xml:space="preserve">. </w:t>
            </w:r>
          </w:p>
          <w:p w14:paraId="5AE14D99" w14:textId="02734B1F" w:rsidR="00D8615F" w:rsidRDefault="00D8615F" w:rsidP="000A452C">
            <w:pPr>
              <w:spacing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t xml:space="preserve">Trzeba podkreślić, że we wszystkich trzech przypadkach </w:t>
            </w:r>
            <w:r w:rsidR="00223103">
              <w:rPr>
                <w:rFonts w:eastAsia="Lato" w:cs="Lato"/>
              </w:rPr>
              <w:t xml:space="preserve">dotychczas nie istniała </w:t>
            </w:r>
            <w:r>
              <w:rPr>
                <w:rFonts w:eastAsia="Lato" w:cs="Lato"/>
              </w:rPr>
              <w:t>metodyka statystyczna na poziomie UE</w:t>
            </w:r>
            <w:r w:rsidR="00A808D5">
              <w:rPr>
                <w:rFonts w:eastAsia="Lato" w:cs="Lato"/>
              </w:rPr>
              <w:t xml:space="preserve">. Z tego względu </w:t>
            </w:r>
            <w:r w:rsidR="001A2A60">
              <w:rPr>
                <w:rFonts w:eastAsia="Lato" w:cs="Lato"/>
              </w:rPr>
              <w:t xml:space="preserve">wciąż </w:t>
            </w:r>
            <w:r w:rsidR="00EB4E75">
              <w:rPr>
                <w:rFonts w:eastAsia="Lato" w:cs="Lato"/>
              </w:rPr>
              <w:t>występują wątpliwości w zakresie ustalania tych wskaźników,</w:t>
            </w:r>
            <w:r>
              <w:rPr>
                <w:rFonts w:eastAsia="Lato" w:cs="Lato"/>
              </w:rPr>
              <w:t xml:space="preserve"> dlatego cele mogą ulec zmianie.</w:t>
            </w:r>
            <w:r w:rsidR="00EB4E75">
              <w:rPr>
                <w:rFonts w:eastAsia="Lato" w:cs="Lato"/>
              </w:rPr>
              <w:t xml:space="preserve"> </w:t>
            </w:r>
          </w:p>
          <w:p w14:paraId="106AD2DB" w14:textId="77777777" w:rsidR="00D8615F" w:rsidRDefault="00D8615F" w:rsidP="000A452C">
            <w:pPr>
              <w:spacing w:line="22" w:lineRule="atLeast"/>
            </w:pPr>
            <w:r>
              <w:t xml:space="preserve">(d) Polska zadeklarowała spełnienie celu w zakresie przyrostu udziału OZE w ciepłownictwie stosownie o 0,8 i 1,1 pkt proc. rok do roku w poszczególnych latach do 2030 r. </w:t>
            </w:r>
          </w:p>
          <w:p w14:paraId="6D27E117" w14:textId="1C15950B" w:rsidR="00D8615F" w:rsidRDefault="00D8615F" w:rsidP="000A452C">
            <w:pPr>
              <w:spacing w:line="22" w:lineRule="atLeast"/>
            </w:pPr>
            <w:r>
              <w:t>aKPEiK nadaje kierunek rozwoju sektora ciepłowniczego, ale r</w:t>
            </w:r>
            <w:r w:rsidRPr="00F74EB1">
              <w:t>ealizacj</w:t>
            </w:r>
            <w:r>
              <w:t>a</w:t>
            </w:r>
            <w:r w:rsidRPr="00F74EB1">
              <w:t xml:space="preserve"> dodatkowych zobowiązań określonych w załączniku IA do zmienionej dyrektywy (UE) 2018/2001 wymaga przeprowadzenia dalszych analiz dot</w:t>
            </w:r>
            <w:r w:rsidR="00D80EE2">
              <w:t>yczących</w:t>
            </w:r>
            <w:r w:rsidRPr="00F74EB1">
              <w:t xml:space="preserve"> potencjału wypełnienia dodatkowych zobowiązań.</w:t>
            </w:r>
            <w:r>
              <w:t xml:space="preserve"> </w:t>
            </w:r>
          </w:p>
          <w:p w14:paraId="2DF31EC6" w14:textId="3B12C966" w:rsidR="00D8615F" w:rsidRDefault="00D8615F" w:rsidP="000A452C">
            <w:pPr>
              <w:spacing w:line="22" w:lineRule="atLeast"/>
            </w:pPr>
            <w:r>
              <w:t xml:space="preserve">(e) Projekt regulacji prawnej w zakresie </w:t>
            </w:r>
            <w:r w:rsidRPr="00FF7F80">
              <w:t>nałożeni</w:t>
            </w:r>
            <w:r>
              <w:t>a</w:t>
            </w:r>
            <w:r w:rsidRPr="00FF7F80">
              <w:t xml:space="preserve"> obowiązku na dostawców paliw</w:t>
            </w:r>
            <w:r>
              <w:t xml:space="preserve"> w zakresie </w:t>
            </w:r>
            <w:r w:rsidRPr="005E550C">
              <w:t>zaawansowanych biopaliw i paliw odnawialnych pochodzenia niebiologicznego</w:t>
            </w:r>
            <w:r>
              <w:t xml:space="preserve"> jest w trakcie </w:t>
            </w:r>
            <w:r>
              <w:lastRenderedPageBreak/>
              <w:t xml:space="preserve">prac, dlatego nie jest możliwe określenie szczegółów na poziomie aKPEiK, który wyznacza kierunki obszarowe. </w:t>
            </w:r>
          </w:p>
          <w:p w14:paraId="62F91F47" w14:textId="2470F1E7" w:rsidR="00D8615F" w:rsidRPr="000F3C04" w:rsidRDefault="00D8615F" w:rsidP="000A452C">
            <w:pPr>
              <w:spacing w:line="22" w:lineRule="atLeast"/>
              <w:rPr>
                <w:rFonts w:eastAsia="Lato" w:cs="Lato"/>
              </w:rPr>
            </w:pPr>
            <w:r>
              <w:t xml:space="preserve">Jednocześnie należy podkreślić, że </w:t>
            </w:r>
            <w:r w:rsidRPr="4D796C50">
              <w:rPr>
                <w:rFonts w:eastAsia="Lato" w:cs="Lato"/>
              </w:rPr>
              <w:t>podnosząc cel nie osiągniemy automatycznie rezultatu, gdyż rozwój technologii RFNBO, RCF oraz skali stosowania pojazdów e</w:t>
            </w:r>
            <w:r>
              <w:rPr>
                <w:rFonts w:eastAsia="Lato" w:cs="Lato"/>
              </w:rPr>
              <w:t>lektrycznych</w:t>
            </w:r>
            <w:r w:rsidRPr="4D796C50">
              <w:rPr>
                <w:rFonts w:eastAsia="Lato" w:cs="Lato"/>
              </w:rPr>
              <w:t xml:space="preserve"> zależy ściśle o</w:t>
            </w:r>
            <w:r w:rsidR="007D174A">
              <w:rPr>
                <w:rFonts w:eastAsia="Lato" w:cs="Lato"/>
              </w:rPr>
              <w:t>d</w:t>
            </w:r>
            <w:r w:rsidRPr="4D796C50">
              <w:rPr>
                <w:rFonts w:eastAsia="Lato" w:cs="Lato"/>
              </w:rPr>
              <w:t xml:space="preserve"> poziomu dostępności energii elektrycznej z OZE.</w:t>
            </w:r>
            <w:r>
              <w:rPr>
                <w:rFonts w:eastAsia="Lato" w:cs="Lato"/>
              </w:rPr>
              <w:t xml:space="preserve"> Udział OZE w transporcie rośnie bardzo szybko, ale nie pozwala na pełne zaliczenie zużytej energii elektrycznej dla powyższych technologii. </w:t>
            </w:r>
          </w:p>
        </w:tc>
      </w:tr>
      <w:tr w:rsidR="00D8615F" w:rsidRPr="00410B57" w14:paraId="655B0BC6" w14:textId="77777777" w:rsidTr="00DA5F7C">
        <w:tc>
          <w:tcPr>
            <w:tcW w:w="6093" w:type="dxa"/>
          </w:tcPr>
          <w:p w14:paraId="28CA3259" w14:textId="77777777" w:rsidR="00D8615F" w:rsidRPr="00D25A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D25AE7">
              <w:rPr>
                <w:b/>
                <w:bCs/>
              </w:rPr>
              <w:lastRenderedPageBreak/>
              <w:t>[Różne aspekty OZE]</w:t>
            </w:r>
          </w:p>
          <w:p w14:paraId="6FFA3741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5E550C">
              <w:t>KE zaleca, aby Polska</w:t>
            </w:r>
            <w:r>
              <w:t>:</w:t>
            </w:r>
          </w:p>
          <w:p w14:paraId="6D26AEEC" w14:textId="77777777" w:rsidR="00D8615F" w:rsidRDefault="00D8615F" w:rsidP="00D43516">
            <w:pPr>
              <w:pStyle w:val="Akapitzlist"/>
              <w:numPr>
                <w:ilvl w:val="0"/>
                <w:numId w:val="7"/>
              </w:numPr>
              <w:spacing w:after="60" w:line="22" w:lineRule="atLeast"/>
            </w:pPr>
            <w:r>
              <w:t>R</w:t>
            </w:r>
            <w:r w:rsidRPr="00AC7562">
              <w:t xml:space="preserve">ozwinęła dalej szczegółowe i ilościowe polityki i środki w sposób umożliwiający terminowe i racjonalne pod względem kosztów osiągnięcie krajowego wkładu Polski w wiążący unijny cel w zakresie energii ze źródeł odnawialnych, zgodnie z którym w 2030 r. 42,5% energii ma pochodzić ze źródeł odnawialnych, przy wspólnym dążeniu do zwiększenia go do 45%. </w:t>
            </w:r>
          </w:p>
          <w:p w14:paraId="00118CBF" w14:textId="77777777" w:rsidR="00D8615F" w:rsidRDefault="00D8615F" w:rsidP="00D43516">
            <w:pPr>
              <w:pStyle w:val="Akapitzlist"/>
              <w:numPr>
                <w:ilvl w:val="0"/>
                <w:numId w:val="7"/>
              </w:numPr>
              <w:spacing w:after="60" w:line="22" w:lineRule="atLeast"/>
            </w:pPr>
            <w:r w:rsidRPr="00AC7562">
              <w:t xml:space="preserve">Opisała w szczególności, w jaki sposób zamierza przyspieszyć udzielanie pozwoleń, i wyszczególniła technologie energii odnawialnej, w odniesieniu do których planuje wyznaczyć „obszary przyspieszonego rozwoju odnawialnych źródeł energii” dzięki szybszym i prostszym procedurom. </w:t>
            </w:r>
          </w:p>
          <w:p w14:paraId="3C513C5A" w14:textId="77777777" w:rsidR="00D8615F" w:rsidRDefault="00D8615F" w:rsidP="00D43516">
            <w:pPr>
              <w:pStyle w:val="Akapitzlist"/>
              <w:numPr>
                <w:ilvl w:val="0"/>
                <w:numId w:val="7"/>
              </w:numPr>
              <w:spacing w:after="60" w:line="22" w:lineRule="atLeast"/>
            </w:pPr>
            <w:r w:rsidRPr="00AC7562">
              <w:t xml:space="preserve">Opisała, w jaki sposób zamierza przyspieszyć wykorzystywanie odnawialnych źródeł energii poprzez upowszechnianie umów zakupu energii elektrycznej ze źródeł odnawialnych lub środków wykorzystujących gwarancje pochodzenia oraz ramy umożliwiające propagowanie </w:t>
            </w:r>
            <w:proofErr w:type="spellStart"/>
            <w:r w:rsidRPr="00AC7562">
              <w:t>prosumpcji</w:t>
            </w:r>
            <w:proofErr w:type="spellEnd"/>
            <w:r w:rsidRPr="00AC7562">
              <w:t xml:space="preserve"> i społeczności energetycznych. </w:t>
            </w:r>
          </w:p>
          <w:p w14:paraId="7B11235E" w14:textId="77777777" w:rsidR="002D0846" w:rsidRDefault="002D0846" w:rsidP="002D0846">
            <w:pPr>
              <w:spacing w:after="60" w:line="22" w:lineRule="atLeast"/>
            </w:pPr>
          </w:p>
          <w:p w14:paraId="0BAEA75A" w14:textId="77777777" w:rsidR="002D0846" w:rsidRDefault="002D0846" w:rsidP="002D0846">
            <w:pPr>
              <w:spacing w:after="60" w:line="22" w:lineRule="atLeast"/>
            </w:pPr>
          </w:p>
          <w:p w14:paraId="0D42973D" w14:textId="77777777" w:rsidR="002D0846" w:rsidRDefault="002D0846" w:rsidP="002D0846">
            <w:pPr>
              <w:spacing w:after="60" w:line="22" w:lineRule="atLeast"/>
            </w:pPr>
          </w:p>
          <w:p w14:paraId="6AA555B0" w14:textId="77777777" w:rsidR="002D0846" w:rsidRDefault="002D0846" w:rsidP="002D0846">
            <w:pPr>
              <w:spacing w:after="60" w:line="22" w:lineRule="atLeast"/>
            </w:pPr>
          </w:p>
          <w:p w14:paraId="13850EAF" w14:textId="77777777" w:rsidR="00D8615F" w:rsidRDefault="00D8615F" w:rsidP="00D43516">
            <w:pPr>
              <w:pStyle w:val="Akapitzlist"/>
              <w:numPr>
                <w:ilvl w:val="0"/>
                <w:numId w:val="7"/>
              </w:numPr>
              <w:spacing w:after="60" w:line="22" w:lineRule="atLeast"/>
            </w:pPr>
            <w:r w:rsidRPr="00AC7562">
              <w:t xml:space="preserve">Przedstawiła dalsze informacje na temat sposobu, za pomocą którego zamierza przyspieszyć wykorzystywanie odnawialnych źródeł energii i stopniowe wycofywanie paliw kopalnych w systemach ciepłowniczych i chłodniczych zgodnie ze zmienioną dyrektywą (UE) 2018/2001. </w:t>
            </w:r>
          </w:p>
          <w:p w14:paraId="72910359" w14:textId="5AC51473" w:rsidR="00D8615F" w:rsidRDefault="00D8615F" w:rsidP="00D43516">
            <w:pPr>
              <w:pStyle w:val="Akapitzlist"/>
              <w:numPr>
                <w:ilvl w:val="0"/>
                <w:numId w:val="7"/>
              </w:numPr>
              <w:spacing w:after="60" w:line="22" w:lineRule="atLeast"/>
            </w:pPr>
            <w:r w:rsidRPr="00AC7562">
              <w:t xml:space="preserve">Uwzględniła dalsze środki szczegółowe dotyczące ram umożliwiających zwiększenie integracji między sieciami elektroenergetycznymi oraz ciepłowniczymi i chłodniczymi. </w:t>
            </w:r>
          </w:p>
          <w:p w14:paraId="403A5AE1" w14:textId="77777777" w:rsidR="00D8615F" w:rsidRPr="00AC7562" w:rsidRDefault="00D8615F" w:rsidP="00D43516">
            <w:pPr>
              <w:pStyle w:val="Akapitzlist"/>
              <w:numPr>
                <w:ilvl w:val="0"/>
                <w:numId w:val="7"/>
              </w:numPr>
              <w:spacing w:after="60" w:line="22" w:lineRule="atLeast"/>
            </w:pPr>
            <w:r w:rsidRPr="00AC7562">
              <w:t xml:space="preserve">Opisała, w jaki sposób obowiązek spoczywający na dostawcach paliw w sektorze transportu zostanie uwzględniony i będzie obejmował porównywalne środki na rzecz propagowania wodoru w przemyśle oraz przyczyni się do przygotowania UE do handlu wodorem odnawialnym. </w:t>
            </w:r>
          </w:p>
        </w:tc>
        <w:tc>
          <w:tcPr>
            <w:tcW w:w="8655" w:type="dxa"/>
          </w:tcPr>
          <w:p w14:paraId="3CF8AF84" w14:textId="77777777" w:rsidR="00D8615F" w:rsidRDefault="00D8615F" w:rsidP="000A452C">
            <w:pPr>
              <w:spacing w:after="0"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lastRenderedPageBreak/>
              <w:t>(</w:t>
            </w:r>
            <w:r w:rsidRPr="4D796C50">
              <w:rPr>
                <w:rFonts w:eastAsia="Lato" w:cs="Lato"/>
              </w:rPr>
              <w:t xml:space="preserve">a) </w:t>
            </w:r>
            <w:r>
              <w:rPr>
                <w:rFonts w:eastAsia="Lato" w:cs="Lato"/>
              </w:rPr>
              <w:t>G</w:t>
            </w:r>
            <w:r w:rsidRPr="4D796C50">
              <w:rPr>
                <w:rFonts w:eastAsia="Lato" w:cs="Lato"/>
              </w:rPr>
              <w:t>łównymi narzędziami, które umożliwią racjonalne i terminowe osiągnięcie krajowego wkładu w unijny cel w zakresie odnawialnych źródeł energii (OZE) są regulacje dotyczące określenia mechanizmów wsparcia OZE służące dynamizacji ich rozwoju, tj.:</w:t>
            </w:r>
          </w:p>
          <w:p w14:paraId="2B721DDE" w14:textId="77777777" w:rsidR="00D8615F" w:rsidRDefault="00D8615F" w:rsidP="00D43516">
            <w:pPr>
              <w:pStyle w:val="Akapitzlist"/>
              <w:numPr>
                <w:ilvl w:val="0"/>
                <w:numId w:val="21"/>
              </w:numPr>
              <w:spacing w:line="22" w:lineRule="atLeast"/>
            </w:pPr>
            <w:r w:rsidRPr="000F3C04">
              <w:rPr>
                <w:rFonts w:eastAsia="Lato" w:cs="Lato"/>
              </w:rPr>
              <w:t>system taryf gwarantowanych (FIT) przeznaczony dla instalacji o łącznej mocy zainstalowanej nie większej niż 500 kW,</w:t>
            </w:r>
          </w:p>
          <w:p w14:paraId="53F088FE" w14:textId="77777777" w:rsidR="00D8615F" w:rsidRDefault="00D8615F" w:rsidP="00D43516">
            <w:pPr>
              <w:pStyle w:val="Akapitzlist"/>
              <w:numPr>
                <w:ilvl w:val="0"/>
                <w:numId w:val="21"/>
              </w:numPr>
              <w:spacing w:line="22" w:lineRule="atLeast"/>
            </w:pPr>
            <w:r w:rsidRPr="000F3C04">
              <w:rPr>
                <w:rFonts w:eastAsia="Lato" w:cs="Lato"/>
              </w:rPr>
              <w:t>system dopłat do ceny rynkowej (FIP) dla instalacji o łącznej mocy zainstalowanej nie mniejszej niż 500 kW i nie większej niż 1 MW</w:t>
            </w:r>
            <w:r>
              <w:rPr>
                <w:rFonts w:eastAsia="Lato" w:cs="Lato"/>
              </w:rPr>
              <w:t>,</w:t>
            </w:r>
          </w:p>
          <w:p w14:paraId="4DC44CB8" w14:textId="77777777" w:rsidR="00D8615F" w:rsidRDefault="00D8615F" w:rsidP="00D43516">
            <w:pPr>
              <w:pStyle w:val="Akapitzlist"/>
              <w:numPr>
                <w:ilvl w:val="0"/>
                <w:numId w:val="21"/>
              </w:numPr>
              <w:spacing w:line="22" w:lineRule="atLeast"/>
            </w:pPr>
            <w:r w:rsidRPr="000F3C04">
              <w:rPr>
                <w:rFonts w:eastAsia="Lato" w:cs="Lato"/>
              </w:rPr>
              <w:t>system aukcyjny</w:t>
            </w:r>
            <w:r>
              <w:rPr>
                <w:rFonts w:eastAsia="Lato" w:cs="Lato"/>
              </w:rPr>
              <w:t>,</w:t>
            </w:r>
          </w:p>
          <w:p w14:paraId="7EBFFD84" w14:textId="77777777" w:rsidR="00D8615F" w:rsidRPr="000F3C04" w:rsidRDefault="00D8615F" w:rsidP="00D43516">
            <w:pPr>
              <w:pStyle w:val="Akapitzlist"/>
              <w:numPr>
                <w:ilvl w:val="0"/>
                <w:numId w:val="21"/>
              </w:numPr>
              <w:spacing w:line="22" w:lineRule="atLeast"/>
            </w:pPr>
            <w:r w:rsidRPr="000F3C04">
              <w:rPr>
                <w:rFonts w:eastAsia="Lato" w:cs="Lato"/>
              </w:rPr>
              <w:t>gwarancje pochodzenia</w:t>
            </w:r>
            <w:r>
              <w:rPr>
                <w:rFonts w:eastAsia="Lato" w:cs="Lato"/>
              </w:rPr>
              <w:t>,</w:t>
            </w:r>
          </w:p>
          <w:p w14:paraId="266DA684" w14:textId="77777777" w:rsidR="00D8615F" w:rsidRDefault="00D8615F" w:rsidP="00D43516">
            <w:pPr>
              <w:pStyle w:val="Akapitzlist"/>
              <w:numPr>
                <w:ilvl w:val="0"/>
                <w:numId w:val="21"/>
              </w:numPr>
              <w:spacing w:line="22" w:lineRule="atLeast"/>
            </w:pPr>
            <w:r>
              <w:t>obowiązek zakupu energii z OZE</w:t>
            </w:r>
            <w:r w:rsidRPr="4D796C50">
              <w:rPr>
                <w:rFonts w:eastAsia="Lato" w:cs="Lato"/>
              </w:rPr>
              <w:t xml:space="preserve"> z instalacji OZE poniżej 500</w:t>
            </w:r>
            <w:r>
              <w:rPr>
                <w:rFonts w:eastAsia="Lato" w:cs="Lato"/>
              </w:rPr>
              <w:t>/400/200</w:t>
            </w:r>
            <w:r w:rsidRPr="4D796C50">
              <w:rPr>
                <w:rFonts w:eastAsia="Lato" w:cs="Lato"/>
              </w:rPr>
              <w:t xml:space="preserve"> kW przez sprzedawcę zobowiązanego</w:t>
            </w:r>
            <w:r>
              <w:t>.</w:t>
            </w:r>
          </w:p>
          <w:p w14:paraId="5799EFA4" w14:textId="51B1F599" w:rsidR="00D8615F" w:rsidRDefault="00D8615F" w:rsidP="000A452C">
            <w:pPr>
              <w:spacing w:line="22" w:lineRule="atLeast"/>
              <w:rPr>
                <w:rFonts w:eastAsia="Lato" w:cs="Lato"/>
              </w:rPr>
            </w:pPr>
            <w:r w:rsidRPr="4D796C50">
              <w:rPr>
                <w:rFonts w:eastAsia="Lato" w:cs="Lato"/>
              </w:rPr>
              <w:t xml:space="preserve">Szczegółowe informacje dotyczące tych systemów zostały już zawarte w sprawozdaniu KPEiK </w:t>
            </w:r>
            <w:r>
              <w:rPr>
                <w:rFonts w:eastAsia="Lato" w:cs="Lato"/>
              </w:rPr>
              <w:t>oraz są wskazane w aKPEiK. Wskazano również dodatkowe rozwiązania polegające na rozwinięciu istniejących mechanizmów, ale także dynamizacji rozwoju poszczególnych technologii OZE</w:t>
            </w:r>
            <w:r w:rsidR="005D6DFB">
              <w:rPr>
                <w:rFonts w:eastAsia="Lato" w:cs="Lato"/>
              </w:rPr>
              <w:t>.</w:t>
            </w:r>
          </w:p>
          <w:p w14:paraId="478B50AD" w14:textId="1920099C" w:rsidR="00D8615F" w:rsidRDefault="00D8615F" w:rsidP="000A452C">
            <w:pPr>
              <w:spacing w:line="22" w:lineRule="atLeast"/>
            </w:pPr>
            <w:r>
              <w:t>Dokument uzupełniono także o pakiet dla rynku biometanu, morskiej energetyki wiatrowej oraz modyfikację zasad lokowania elektrowni wiatrowych na lądzie.</w:t>
            </w:r>
          </w:p>
          <w:p w14:paraId="4CABFB8A" w14:textId="68E08317" w:rsidR="00D02B3B" w:rsidRDefault="00D02B3B" w:rsidP="000A452C">
            <w:pPr>
              <w:spacing w:line="22" w:lineRule="atLeast"/>
            </w:pPr>
            <w:r>
              <w:t xml:space="preserve">(b) W </w:t>
            </w:r>
            <w:r w:rsidR="004D6AF2">
              <w:t xml:space="preserve">aKPEiK </w:t>
            </w:r>
            <w:r w:rsidR="00366ABF">
              <w:t>rozszerzono</w:t>
            </w:r>
            <w:r w:rsidR="001E22AB">
              <w:t xml:space="preserve"> </w:t>
            </w:r>
            <w:r w:rsidR="0033443F">
              <w:t xml:space="preserve">zapisy dotyczące </w:t>
            </w:r>
            <w:r w:rsidR="001A37DA" w:rsidRPr="006B7F2D">
              <w:rPr>
                <w:i/>
                <w:iCs/>
              </w:rPr>
              <w:t>obszar</w:t>
            </w:r>
            <w:r w:rsidR="006B7F2D" w:rsidRPr="006B7F2D">
              <w:rPr>
                <w:i/>
                <w:iCs/>
              </w:rPr>
              <w:t>ów</w:t>
            </w:r>
            <w:r w:rsidR="001A37DA" w:rsidRPr="006B7F2D">
              <w:rPr>
                <w:i/>
                <w:iCs/>
              </w:rPr>
              <w:t xml:space="preserve"> przyspieszonego rozwoju odnawialnych źródeł energii</w:t>
            </w:r>
            <w:r w:rsidR="001A37DA">
              <w:t xml:space="preserve">. </w:t>
            </w:r>
            <w:r w:rsidR="00980063">
              <w:t>W</w:t>
            </w:r>
            <w:r w:rsidR="0067176E">
              <w:t xml:space="preserve"> odniesieniu do wyszczególnienia technologii OZE warto wskazać na poszczególne pakiety rozwoju biogazu i biometanu, morskiej energetyki wiatrowej, cz</w:t>
            </w:r>
            <w:r w:rsidR="00EA767F">
              <w:t>y lądowej energetyki wi</w:t>
            </w:r>
            <w:r w:rsidR="00573317">
              <w:t>a</w:t>
            </w:r>
            <w:r w:rsidR="00EA767F">
              <w:t>t</w:t>
            </w:r>
            <w:r w:rsidR="00573317">
              <w:t>r</w:t>
            </w:r>
            <w:r w:rsidR="00EA767F">
              <w:t>owej</w:t>
            </w:r>
            <w:r w:rsidR="00573317">
              <w:t>.</w:t>
            </w:r>
          </w:p>
          <w:p w14:paraId="49D400FE" w14:textId="4CDEE0B8" w:rsidR="00E251FB" w:rsidRDefault="00D8615F" w:rsidP="000A452C">
            <w:pPr>
              <w:spacing w:after="60"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t>(</w:t>
            </w:r>
            <w:r w:rsidRPr="0091337A">
              <w:rPr>
                <w:rFonts w:eastAsia="Lato" w:cs="Lato"/>
              </w:rPr>
              <w:t xml:space="preserve">c) </w:t>
            </w:r>
            <w:r w:rsidR="00573317">
              <w:rPr>
                <w:rFonts w:eastAsia="Lato" w:cs="Lato"/>
              </w:rPr>
              <w:t>W</w:t>
            </w:r>
            <w:r w:rsidRPr="0091337A">
              <w:rPr>
                <w:rFonts w:eastAsia="Lato" w:cs="Lato"/>
              </w:rPr>
              <w:t xml:space="preserve"> celu</w:t>
            </w:r>
            <w:r w:rsidRPr="0091337A">
              <w:rPr>
                <w:rFonts w:eastAsia="Lato" w:cs="Lato"/>
                <w:color w:val="C00000"/>
              </w:rPr>
              <w:t xml:space="preserve"> </w:t>
            </w:r>
            <w:r w:rsidRPr="0091337A">
              <w:rPr>
                <w:rFonts w:eastAsia="Lato" w:cs="Lato"/>
              </w:rPr>
              <w:t xml:space="preserve">upowszechniania umów sprzedaży energii elektrycznej ze źródeł odnawialnych (PPA) nowelizacja ustawy OZE z 2023 r. wprowadziła przepisy stwarzające podstawy prawne do kontraktowania energii w oparciu o nowy typ umowy – sprzedaż energii elektrycznej z odnawialnych źródeł energii, bezpośrednio od wytwórcy (art. 5 ust. 2d ustawy – </w:t>
            </w:r>
            <w:r w:rsidR="00EB3CDE">
              <w:rPr>
                <w:rFonts w:eastAsia="Lato" w:cs="Lato"/>
              </w:rPr>
              <w:t>P</w:t>
            </w:r>
            <w:r w:rsidRPr="0091337A">
              <w:rPr>
                <w:rFonts w:eastAsia="Lato" w:cs="Lato"/>
              </w:rPr>
              <w:t xml:space="preserve">rawo </w:t>
            </w:r>
            <w:r w:rsidRPr="0091337A">
              <w:rPr>
                <w:rFonts w:eastAsia="Lato" w:cs="Lato"/>
              </w:rPr>
              <w:lastRenderedPageBreak/>
              <w:t>energetyczne). Dotychczas umowy PPA miały charakter tzw. umów nienazwanych.</w:t>
            </w:r>
            <w:r w:rsidR="00D032C9">
              <w:rPr>
                <w:rFonts w:eastAsia="Lato" w:cs="Lato"/>
              </w:rPr>
              <w:t xml:space="preserve"> </w:t>
            </w:r>
            <w:r w:rsidR="00EB3CDE">
              <w:rPr>
                <w:rFonts w:eastAsia="Lato" w:cs="Lato"/>
              </w:rPr>
              <w:t xml:space="preserve">Kwestie te zostały </w:t>
            </w:r>
            <w:r w:rsidR="003F6127">
              <w:rPr>
                <w:rFonts w:eastAsia="Lato" w:cs="Lato"/>
              </w:rPr>
              <w:t>przywołane w dokumencie głównym w Celu 1.2.1 oraz w Celu</w:t>
            </w:r>
            <w:r w:rsidR="00EB3CDE">
              <w:rPr>
                <w:rFonts w:eastAsia="Lato" w:cs="Lato"/>
              </w:rPr>
              <w:t xml:space="preserve"> </w:t>
            </w:r>
            <w:r w:rsidR="003F6127">
              <w:rPr>
                <w:rFonts w:eastAsia="Lato" w:cs="Lato"/>
              </w:rPr>
              <w:t>1.2.4.</w:t>
            </w:r>
            <w:r w:rsidR="00EC03C2">
              <w:rPr>
                <w:rFonts w:eastAsia="Lato" w:cs="Lato"/>
              </w:rPr>
              <w:t xml:space="preserve"> </w:t>
            </w:r>
            <w:r w:rsidR="00E251FB">
              <w:rPr>
                <w:rFonts w:eastAsia="Lato" w:cs="Lato"/>
              </w:rPr>
              <w:t xml:space="preserve">Natomiast </w:t>
            </w:r>
            <w:r w:rsidR="00E251FB" w:rsidRPr="00AC7562">
              <w:t xml:space="preserve">propagowanie </w:t>
            </w:r>
            <w:proofErr w:type="spellStart"/>
            <w:r w:rsidR="00E251FB" w:rsidRPr="00AC7562">
              <w:t>prosumpcji</w:t>
            </w:r>
            <w:proofErr w:type="spellEnd"/>
            <w:r w:rsidR="00E251FB" w:rsidRPr="00AC7562">
              <w:t xml:space="preserve"> i społeczności energetycznych</w:t>
            </w:r>
            <w:r w:rsidR="00672D95">
              <w:t xml:space="preserve"> zostały opisane w Celu 4.2.1 i Celu 4.2.2.</w:t>
            </w:r>
          </w:p>
          <w:p w14:paraId="713DE228" w14:textId="1B5FC4F5" w:rsidR="00D8615F" w:rsidRDefault="00D8615F" w:rsidP="000A452C">
            <w:pPr>
              <w:spacing w:after="60"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t>(d) W ocenie Polski już projekt aKPEiK przedstawiał wachlarz rozwiązań mających skutkować wycofywaniem węgla z gospodarstw domowych. Należą do nich przede wszystkim programy takie tak Czyste powietrze, Program TERMO, Ciepłownictwo powiatowe, etc., ale także obowiązek poprawy efektywność energetycznej</w:t>
            </w:r>
            <w:r w:rsidR="00FA0981">
              <w:rPr>
                <w:rFonts w:eastAsia="Lato" w:cs="Lato"/>
              </w:rPr>
              <w:t>. W ramach tych programów</w:t>
            </w:r>
            <w:r>
              <w:rPr>
                <w:rFonts w:eastAsia="Lato" w:cs="Lato"/>
              </w:rPr>
              <w:t xml:space="preserve"> możliwe jest wykonanie działań poprawy efektywności energetycznej u odbiorcy końcowego</w:t>
            </w:r>
            <w:r w:rsidR="00BF2DD3">
              <w:rPr>
                <w:rFonts w:eastAsia="Lato" w:cs="Lato"/>
              </w:rPr>
              <w:t>,</w:t>
            </w:r>
            <w:r>
              <w:rPr>
                <w:rFonts w:eastAsia="Lato" w:cs="Lato"/>
              </w:rPr>
              <w:t xml:space="preserve"> jakim jest gospodarstwo domowe. Nie jest możliwa wymiana pieców węglowych na tzw. kopciuchy, a w ramach wsparcia publicznego nie jest możliwe w ogóle otrzymanie środków na instalacje węglowe, co ma kluczowe znaczenie dla nierozwijania tego rynku.</w:t>
            </w:r>
          </w:p>
          <w:p w14:paraId="6E1A11B0" w14:textId="7B9C4372" w:rsidR="00D8615F" w:rsidRDefault="00D8615F" w:rsidP="000A452C">
            <w:pPr>
              <w:spacing w:after="60" w:line="22" w:lineRule="atLeast"/>
            </w:pPr>
            <w:r>
              <w:t xml:space="preserve">(e) </w:t>
            </w:r>
            <w:r w:rsidRPr="00104910">
              <w:t xml:space="preserve">Docelowo </w:t>
            </w:r>
            <w:r>
              <w:t xml:space="preserve">w ciepłownictwie </w:t>
            </w:r>
            <w:r w:rsidRPr="00104910">
              <w:t>dominując</w:t>
            </w:r>
            <w:r>
              <w:t>ą</w:t>
            </w:r>
            <w:r w:rsidRPr="00104910">
              <w:t xml:space="preserve"> technologią będzie </w:t>
            </w:r>
            <w:r w:rsidR="00F46592">
              <w:t xml:space="preserve">wykorzystanie energii elektrycznej połączone </w:t>
            </w:r>
            <w:r w:rsidRPr="00104910">
              <w:t xml:space="preserve">z systemami magazynowania ciepła, </w:t>
            </w:r>
            <w:r w:rsidR="00C81836">
              <w:t>co</w:t>
            </w:r>
            <w:r w:rsidRPr="00104910">
              <w:t xml:space="preserve"> będzie elementem współpracy z sektorem elektroenergetycznym („</w:t>
            </w:r>
            <w:proofErr w:type="spellStart"/>
            <w:r w:rsidRPr="00104910">
              <w:t>sector</w:t>
            </w:r>
            <w:proofErr w:type="spellEnd"/>
            <w:r w:rsidRPr="00104910">
              <w:t xml:space="preserve"> </w:t>
            </w:r>
            <w:proofErr w:type="spellStart"/>
            <w:r w:rsidRPr="00104910">
              <w:t>coupling</w:t>
            </w:r>
            <w:proofErr w:type="spellEnd"/>
            <w:r w:rsidRPr="00104910">
              <w:t xml:space="preserve">”).  Wymiana jednostek wytwórczych na wykorzystujące paliwa nisko- oraz zeroemisyjne ma znaczący wpływ na przebieg transformacji w sektorze ciepłownictwa.  </w:t>
            </w:r>
            <w:r>
              <w:t>Kluczową rolę w możliwości efektywnej współpracy międzysektorowej odegrają magazyny energii</w:t>
            </w:r>
            <w:r w:rsidR="00722222">
              <w:t xml:space="preserve"> elektrycznej i ciepła</w:t>
            </w:r>
            <w:r>
              <w:t>. P</w:t>
            </w:r>
            <w:r w:rsidRPr="00104910">
              <w:t xml:space="preserve">odejmowane są działania skutkujące efektywnym wsparciem przedsiębiorstw ciepłowniczych w budowie nowych oraz modernizacji istniejących jednostek wytwórczych. Kluczowymi mechanizmami będą programy priorytetowe finansowane z Funduszu Modernizacyjnego, program Fundusze Europejskie na Infrastrukturę, Klimat i Środowisko oraz projektowany Fundusz Transformacji Energetyki. </w:t>
            </w:r>
          </w:p>
          <w:p w14:paraId="79258232" w14:textId="34D478FB" w:rsidR="00D8615F" w:rsidRDefault="00D8615F" w:rsidP="000A452C">
            <w:pPr>
              <w:spacing w:after="60" w:line="22" w:lineRule="atLeast"/>
            </w:pPr>
            <w:r>
              <w:t xml:space="preserve">W </w:t>
            </w:r>
            <w:r w:rsidR="00C2234E">
              <w:t xml:space="preserve">aKPEiK </w:t>
            </w:r>
            <w:r>
              <w:t>odniesiono się także do u</w:t>
            </w:r>
            <w:r w:rsidRPr="00A31110">
              <w:t>sług DSR</w:t>
            </w:r>
            <w:r>
              <w:t xml:space="preserve">, które powinny być szczególnie (zwłaszcza dla przemysłu) skuteczne przy </w:t>
            </w:r>
            <w:r w:rsidRPr="00A31110">
              <w:t>niskich cen</w:t>
            </w:r>
            <w:r>
              <w:t>ach</w:t>
            </w:r>
            <w:r w:rsidRPr="00A31110">
              <w:t xml:space="preserve"> energii elektrycznej w przypadku wysokiej produkcji energii z niesterowalnych OZE.</w:t>
            </w:r>
            <w:r>
              <w:t xml:space="preserve"> Przemysł może zapewnić pewien wolumen ciepła odpadowego, co wesprze ciepłownictwo. </w:t>
            </w:r>
          </w:p>
          <w:p w14:paraId="2F00C2B5" w14:textId="1747DD2A" w:rsidR="00D8615F" w:rsidRDefault="00D8615F" w:rsidP="000A452C">
            <w:pPr>
              <w:spacing w:after="60" w:line="22" w:lineRule="atLeast"/>
            </w:pPr>
            <w:r>
              <w:t xml:space="preserve">Ważną rolę w łączeniu sektorów może odegrać </w:t>
            </w:r>
            <w:r w:rsidR="00761D53">
              <w:t xml:space="preserve">biometan i </w:t>
            </w:r>
            <w:r>
              <w:t xml:space="preserve">wodór. Dla takiego wykorzystania wodoru istotne znaczenie ma rozwijanie możliwości </w:t>
            </w:r>
            <w:r w:rsidR="00FA3A5E">
              <w:t xml:space="preserve">jego </w:t>
            </w:r>
            <w:r>
              <w:t>magazynowania</w:t>
            </w:r>
            <w:r w:rsidR="00FA3A5E">
              <w:t xml:space="preserve">. </w:t>
            </w:r>
            <w:r w:rsidR="00F165A5">
              <w:t>W ten sposób wodór</w:t>
            </w:r>
            <w:r>
              <w:t xml:space="preserve"> może służyć jako magazyn energii (magazyn nadwyżek OZE)</w:t>
            </w:r>
            <w:r w:rsidR="00F165A5">
              <w:t>,</w:t>
            </w:r>
            <w:r>
              <w:t xml:space="preserve"> który z kolei może następnie służyć </w:t>
            </w:r>
            <w:r w:rsidR="00F165A5">
              <w:t xml:space="preserve">– </w:t>
            </w:r>
            <w:r w:rsidR="00E97440">
              <w:t xml:space="preserve">podobnie jak biometan </w:t>
            </w:r>
            <w:r w:rsidR="00F165A5">
              <w:t xml:space="preserve">– </w:t>
            </w:r>
            <w:r>
              <w:t xml:space="preserve">do bilansowania sieci w czasie niedoborów OZE. Biorąc jednak pod uwagę ambitne zobowiązania UE w zakresie wykorzystania wodoru w przemyśle – w pierwszej kolejności będzie kierowany do </w:t>
            </w:r>
            <w:r w:rsidR="0083167A">
              <w:t>tego sektora</w:t>
            </w:r>
            <w:r>
              <w:t xml:space="preserve">. Dlatego regulacyjna rola wodoru jest bardziej oddalona w czasie. Niemniej jednak prognozy aKPEiK przedstawiają pozycje „elektrownie gaz </w:t>
            </w:r>
            <w:r>
              <w:lastRenderedPageBreak/>
              <w:t>ziemny/</w:t>
            </w:r>
            <w:r w:rsidR="002E4C45">
              <w:t>biometan/</w:t>
            </w:r>
            <w:r>
              <w:t xml:space="preserve">wodór”, aby pokazać potrzeby rozwojowe w tym obszarze, dla zapewnienia elastyczności systemu i wystarczalności mocy w systemie. </w:t>
            </w:r>
          </w:p>
          <w:p w14:paraId="4B3A6E0C" w14:textId="67673FDF" w:rsidR="00D8615F" w:rsidRDefault="00D8615F" w:rsidP="000A452C">
            <w:r>
              <w:t xml:space="preserve">(f) </w:t>
            </w:r>
            <w:r w:rsidRPr="4D796C50">
              <w:t xml:space="preserve">Na obecnym etapie rozwoju wskazanych technologii: paliw zaawansowanych, RCF czy RFNBO </w:t>
            </w:r>
            <w:r w:rsidR="00F41352">
              <w:t>–</w:t>
            </w:r>
            <w:r w:rsidRPr="4D796C50">
              <w:t xml:space="preserve"> przyjęte środki wydają się być wystarczające tj</w:t>
            </w:r>
            <w:r>
              <w:t>.</w:t>
            </w:r>
            <w:r w:rsidRPr="4D796C50">
              <w:t xml:space="preserve">: zdefiniowanie </w:t>
            </w:r>
            <w:proofErr w:type="spellStart"/>
            <w:r w:rsidRPr="4D796C50">
              <w:t>podcelów</w:t>
            </w:r>
            <w:proofErr w:type="spellEnd"/>
            <w:r w:rsidRPr="4D796C50">
              <w:t xml:space="preserve"> oraz ścieżki dojścia, wraz z propozycjami faworyzującymi inwestorów-producentów.</w:t>
            </w:r>
          </w:p>
          <w:p w14:paraId="35CE2973" w14:textId="1B9CA977" w:rsidR="00D8615F" w:rsidRPr="00AC7562" w:rsidRDefault="00D8615F" w:rsidP="000A452C">
            <w:r w:rsidRPr="4D796C50">
              <w:t>W przyszłości, w kolejnych regulacjach zależnych od stopnia rozwoju i perspektyw, uzasadnione jest przyjmowanie dodatkowych środków np. wsparcia wytwórców biometanu zaawansowanego wykorzystywanego w sektorach transportu.</w:t>
            </w:r>
          </w:p>
        </w:tc>
      </w:tr>
      <w:tr w:rsidR="00D8615F" w:rsidRPr="00410B57" w14:paraId="444B7A99" w14:textId="77777777" w:rsidTr="00DA5F7C">
        <w:tc>
          <w:tcPr>
            <w:tcW w:w="6093" w:type="dxa"/>
          </w:tcPr>
          <w:p w14:paraId="70DFA044" w14:textId="77777777" w:rsidR="00D8615F" w:rsidRPr="00D25A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D25AE7">
              <w:rPr>
                <w:b/>
                <w:bCs/>
              </w:rPr>
              <w:lastRenderedPageBreak/>
              <w:t>[Biomasa]</w:t>
            </w:r>
          </w:p>
          <w:p w14:paraId="4E143BC6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5E550C">
              <w:t>KE zaleca, aby Polska</w:t>
            </w:r>
            <w:r>
              <w:t>:</w:t>
            </w:r>
          </w:p>
          <w:p w14:paraId="79460A7F" w14:textId="1405ACA8" w:rsidR="00D8615F" w:rsidRDefault="00D8615F" w:rsidP="00D43516">
            <w:pPr>
              <w:pStyle w:val="Akapitzlist"/>
              <w:numPr>
                <w:ilvl w:val="0"/>
                <w:numId w:val="8"/>
              </w:numPr>
              <w:spacing w:after="60" w:line="22" w:lineRule="atLeast"/>
            </w:pPr>
            <w:r>
              <w:t>p</w:t>
            </w:r>
            <w:r w:rsidRPr="00AC7562">
              <w:t>rzedstawiła szacunkowe trajektorie dostaw biomasy w podziale na surowce i pochodzenie, z</w:t>
            </w:r>
            <w:r w:rsidR="00B73BEB">
              <w:t> </w:t>
            </w:r>
            <w:r w:rsidRPr="00AC7562">
              <w:t xml:space="preserve">rozróżnieniem na produkcję krajową i import. </w:t>
            </w:r>
          </w:p>
          <w:p w14:paraId="0F0D95BD" w14:textId="77777777" w:rsidR="00D8615F" w:rsidRDefault="00D8615F" w:rsidP="00D43516">
            <w:pPr>
              <w:pStyle w:val="Akapitzlist"/>
              <w:numPr>
                <w:ilvl w:val="0"/>
                <w:numId w:val="8"/>
              </w:numPr>
              <w:spacing w:after="60" w:line="22" w:lineRule="atLeast"/>
            </w:pPr>
            <w:r w:rsidRPr="00AC7562">
              <w:t xml:space="preserve">Uwzględniła ocenę krajowych dostaw biomasy leśnej do celów energetycznych w latach 2021–2030 zgodnie ze zwiększonymi kryteriami zrównoważonego rozwoju określonymi w zmienionej dyrektywie (UE) 2018/2001. </w:t>
            </w:r>
          </w:p>
          <w:p w14:paraId="173620D8" w14:textId="77777777" w:rsidR="00D8615F" w:rsidRDefault="00D8615F" w:rsidP="00D43516">
            <w:pPr>
              <w:pStyle w:val="Akapitzlist"/>
              <w:numPr>
                <w:ilvl w:val="0"/>
                <w:numId w:val="8"/>
              </w:numPr>
              <w:spacing w:after="60" w:line="22" w:lineRule="atLeast"/>
            </w:pPr>
            <w:r w:rsidRPr="00AC7562">
              <w:t xml:space="preserve">Uwzględniła ocenę zgodności przewidywanego wykorzystania biomasy leśnej do produkcji energii ze zobowiązaniami Polski wynikającymi ze zmienionego rozporządzenia LULUCF, w szczególności na lata 2026–2030, wraz ze środkami i politykami krajowymi mającymi na celu zapewnienie takiej zgodności. </w:t>
            </w:r>
          </w:p>
          <w:p w14:paraId="1296C641" w14:textId="77777777" w:rsidR="00D8615F" w:rsidRPr="00AC7562" w:rsidRDefault="00D8615F" w:rsidP="00D43516">
            <w:pPr>
              <w:pStyle w:val="Akapitzlist"/>
              <w:numPr>
                <w:ilvl w:val="0"/>
                <w:numId w:val="8"/>
              </w:numPr>
              <w:spacing w:after="60" w:line="22" w:lineRule="atLeast"/>
            </w:pPr>
            <w:r w:rsidRPr="00AC7562">
              <w:t>Uwzględniła dodatkowe środki mające na celu propagowanie zrównoważonej produkcji biometanu, biorąc pod uwagę potencjał i produkcję zrównoważonego biogazu/biometanu w Polsce oraz profil zużycia gazu ziemnego i istniejącą infrastrukturę, a także wykorzystanie produktu pofermentacyjnego i zastosowania biogenicznego CO</w:t>
            </w:r>
            <w:r w:rsidRPr="00AC7562">
              <w:rPr>
                <w:vertAlign w:val="subscript"/>
              </w:rPr>
              <w:t>2</w:t>
            </w:r>
            <w:r w:rsidRPr="00AC7562">
              <w:t xml:space="preserve">. </w:t>
            </w:r>
          </w:p>
        </w:tc>
        <w:tc>
          <w:tcPr>
            <w:tcW w:w="8655" w:type="dxa"/>
          </w:tcPr>
          <w:p w14:paraId="6AD90E90" w14:textId="48607A5A" w:rsidR="00D8615F" w:rsidRPr="00CA67FB" w:rsidRDefault="00D8615F" w:rsidP="000A452C">
            <w:pPr>
              <w:spacing w:line="22" w:lineRule="atLeast"/>
              <w:rPr>
                <w:color w:val="000000" w:themeColor="text1"/>
              </w:rPr>
            </w:pPr>
            <w:r w:rsidRPr="00CA67FB">
              <w:rPr>
                <w:color w:val="000000" w:themeColor="text1"/>
              </w:rPr>
              <w:t>(a)</w:t>
            </w:r>
            <w:r w:rsidR="00E95153">
              <w:rPr>
                <w:color w:val="000000" w:themeColor="text1"/>
              </w:rPr>
              <w:t xml:space="preserve">–(c) </w:t>
            </w:r>
            <w:r w:rsidR="006E606D">
              <w:rPr>
                <w:color w:val="000000" w:themeColor="text1"/>
              </w:rPr>
              <w:t xml:space="preserve">W </w:t>
            </w:r>
            <w:r w:rsidR="00BA6D39">
              <w:rPr>
                <w:color w:val="000000" w:themeColor="text1"/>
              </w:rPr>
              <w:t>końcowej wersji aKPEiK</w:t>
            </w:r>
            <w:r w:rsidR="006E606D">
              <w:rPr>
                <w:color w:val="000000" w:themeColor="text1"/>
              </w:rPr>
              <w:t xml:space="preserve"> zaktualizowana </w:t>
            </w:r>
            <w:r w:rsidR="00BA6D39">
              <w:rPr>
                <w:color w:val="000000" w:themeColor="text1"/>
              </w:rPr>
              <w:t xml:space="preserve">została </w:t>
            </w:r>
            <w:r w:rsidR="006E606D">
              <w:rPr>
                <w:color w:val="000000" w:themeColor="text1"/>
              </w:rPr>
              <w:t>ocena zasobów biomasy</w:t>
            </w:r>
            <w:r w:rsidR="00EC4D60">
              <w:rPr>
                <w:color w:val="000000" w:themeColor="text1"/>
              </w:rPr>
              <w:t xml:space="preserve"> w podziale na biomasę leśną</w:t>
            </w:r>
            <w:r w:rsidR="00811AA4">
              <w:rPr>
                <w:color w:val="000000" w:themeColor="text1"/>
              </w:rPr>
              <w:t xml:space="preserve">, produkty uboczne przerobu drewna oraz biomasę </w:t>
            </w:r>
            <w:proofErr w:type="spellStart"/>
            <w:r w:rsidR="00811AA4">
              <w:rPr>
                <w:color w:val="000000" w:themeColor="text1"/>
              </w:rPr>
              <w:t>agro</w:t>
            </w:r>
            <w:proofErr w:type="spellEnd"/>
            <w:r w:rsidR="006E606D">
              <w:rPr>
                <w:color w:val="000000" w:themeColor="text1"/>
              </w:rPr>
              <w:t xml:space="preserve">. Szacunek </w:t>
            </w:r>
            <w:r w:rsidR="00E20A92">
              <w:rPr>
                <w:color w:val="000000" w:themeColor="text1"/>
              </w:rPr>
              <w:t xml:space="preserve">potencjału zrównoważonego biomasy </w:t>
            </w:r>
            <w:r w:rsidR="006E606D">
              <w:rPr>
                <w:color w:val="000000" w:themeColor="text1"/>
              </w:rPr>
              <w:t>dla scenariusza WAM uwzględnia wymaganie osiągnięcia przez Polskę celu LULUCF</w:t>
            </w:r>
            <w:r w:rsidR="00E20A92">
              <w:rPr>
                <w:color w:val="000000" w:themeColor="text1"/>
              </w:rPr>
              <w:t xml:space="preserve"> oraz</w:t>
            </w:r>
            <w:r w:rsidR="00EC4D60">
              <w:rPr>
                <w:color w:val="000000" w:themeColor="text1"/>
              </w:rPr>
              <w:t xml:space="preserve"> wdrożenie zasady kaskadowego wykorzystania biomasy</w:t>
            </w:r>
            <w:r w:rsidR="00E20A92">
              <w:rPr>
                <w:color w:val="000000" w:themeColor="text1"/>
              </w:rPr>
              <w:t>.</w:t>
            </w:r>
            <w:r w:rsidR="00AD2333">
              <w:rPr>
                <w:color w:val="000000" w:themeColor="text1"/>
              </w:rPr>
              <w:t xml:space="preserve"> Polityka obejmuje działania dotyczące zwiększenia pochłaniania CO</w:t>
            </w:r>
            <w:r w:rsidR="00AD2333" w:rsidRPr="007650C0">
              <w:rPr>
                <w:color w:val="000000" w:themeColor="text1"/>
                <w:vertAlign w:val="subscript"/>
              </w:rPr>
              <w:t>2</w:t>
            </w:r>
            <w:r w:rsidR="00AD2333">
              <w:rPr>
                <w:color w:val="000000" w:themeColor="text1"/>
              </w:rPr>
              <w:t xml:space="preserve"> w lasach</w:t>
            </w:r>
            <w:r w:rsidR="00817BB6">
              <w:rPr>
                <w:color w:val="000000" w:themeColor="text1"/>
              </w:rPr>
              <w:t>, a także wprowadzenie zasady kaskadowego wykorzystania biomasy.</w:t>
            </w:r>
            <w:r w:rsidR="007650C0">
              <w:rPr>
                <w:color w:val="000000" w:themeColor="text1"/>
              </w:rPr>
              <w:t xml:space="preserve"> W dokumencie </w:t>
            </w:r>
            <w:r w:rsidR="00276739">
              <w:rPr>
                <w:color w:val="000000" w:themeColor="text1"/>
              </w:rPr>
              <w:t>głównym</w:t>
            </w:r>
            <w:r w:rsidR="007650C0">
              <w:rPr>
                <w:color w:val="000000" w:themeColor="text1"/>
              </w:rPr>
              <w:t xml:space="preserve"> </w:t>
            </w:r>
            <w:r w:rsidR="00276739">
              <w:rPr>
                <w:color w:val="000000" w:themeColor="text1"/>
              </w:rPr>
              <w:t xml:space="preserve">wprowadzono nowy podrozdział dotyczący biomasy (w ramach wymiaru „bezpieczeństwo energetyczne”). </w:t>
            </w:r>
            <w:r w:rsidR="007650C0">
              <w:rPr>
                <w:color w:val="000000" w:themeColor="text1"/>
              </w:rPr>
              <w:t xml:space="preserve">Szacunki </w:t>
            </w:r>
            <w:r w:rsidR="00276739">
              <w:rPr>
                <w:color w:val="000000" w:themeColor="text1"/>
              </w:rPr>
              <w:t>potenc</w:t>
            </w:r>
            <w:r w:rsidR="0070490B">
              <w:rPr>
                <w:color w:val="000000" w:themeColor="text1"/>
              </w:rPr>
              <w:t xml:space="preserve">jału </w:t>
            </w:r>
            <w:r w:rsidR="007650C0">
              <w:rPr>
                <w:color w:val="000000" w:themeColor="text1"/>
              </w:rPr>
              <w:t>zostały przedstawione w załączniku 1</w:t>
            </w:r>
            <w:r w:rsidR="00276739">
              <w:rPr>
                <w:color w:val="000000" w:themeColor="text1"/>
              </w:rPr>
              <w:t>.</w:t>
            </w:r>
          </w:p>
          <w:p w14:paraId="2B1D41B9" w14:textId="6EC1A1A4" w:rsidR="00D8615F" w:rsidRPr="00CA67FB" w:rsidRDefault="00D8615F" w:rsidP="000A452C">
            <w:pPr>
              <w:spacing w:line="22" w:lineRule="atLeast"/>
              <w:rPr>
                <w:color w:val="000000" w:themeColor="text1"/>
              </w:rPr>
            </w:pPr>
            <w:r w:rsidRPr="00CA67FB">
              <w:rPr>
                <w:color w:val="000000" w:themeColor="text1"/>
              </w:rPr>
              <w:t xml:space="preserve">(d) </w:t>
            </w:r>
            <w:r>
              <w:t xml:space="preserve">W ramach propagowania zrównoważonego wytwarzania biometanu prowadzone są prace legislacyjne mające na celu wprowadzenie systemu aukcyjnego dla wytwórców biometanu obejmując wsparciem operacyjnym także </w:t>
            </w:r>
            <w:proofErr w:type="spellStart"/>
            <w:r>
              <w:t>biometanownie</w:t>
            </w:r>
            <w:proofErr w:type="spellEnd"/>
            <w:r>
              <w:t xml:space="preserve"> </w:t>
            </w:r>
            <w:r w:rsidR="00725C27">
              <w:t xml:space="preserve">wytwarzające ilość paliwa odpowiadającą mocy zainstalowanej elektrycznej </w:t>
            </w:r>
            <w:r>
              <w:t>większej niż 1 MW</w:t>
            </w:r>
            <w:r w:rsidR="0013781E">
              <w:t xml:space="preserve"> </w:t>
            </w:r>
            <w:r w:rsidR="00725C27">
              <w:t>(&gt;20 GWh</w:t>
            </w:r>
            <w:r w:rsidR="008A0548">
              <w:t>/rok</w:t>
            </w:r>
            <w:r w:rsidR="00725C27">
              <w:t xml:space="preserve"> biometanu rocznie)</w:t>
            </w:r>
            <w:r>
              <w:t>. Wdrożenie tego rodzaju wsparcia wpłynie na zwiększenie ilości wytworzonego produktu pofermentacyjnego</w:t>
            </w:r>
            <w:r w:rsidR="002367CA">
              <w:t xml:space="preserve"> stosowanego w celach nawozowych</w:t>
            </w:r>
            <w:r>
              <w:t xml:space="preserve">. aKPEiK został uzupełniony także o szerszy </w:t>
            </w:r>
            <w:r w:rsidR="00B73BEB">
              <w:t>w</w:t>
            </w:r>
            <w:r>
              <w:t>achlarz rozwiązań w zakresie wsparcia rozwoju rynku biometanu</w:t>
            </w:r>
            <w:r w:rsidR="004D2D09">
              <w:t xml:space="preserve">, w tym w zakresie </w:t>
            </w:r>
            <w:r w:rsidR="00EA7059">
              <w:t>„otwarcia” sieci gazowych</w:t>
            </w:r>
            <w:r>
              <w:t>.</w:t>
            </w:r>
            <w:r w:rsidR="006E1D8F">
              <w:t xml:space="preserve"> </w:t>
            </w:r>
            <w:r w:rsidR="000F1865">
              <w:t xml:space="preserve">W </w:t>
            </w:r>
            <w:r w:rsidR="009829B1">
              <w:t>następstwie planowanych działań</w:t>
            </w:r>
            <w:r w:rsidR="000F1865">
              <w:t xml:space="preserve"> wskazano na rosnące </w:t>
            </w:r>
            <w:r w:rsidR="009702C6">
              <w:t>wykorzystanie</w:t>
            </w:r>
            <w:r w:rsidR="000F1865">
              <w:t xml:space="preserve"> biometanu</w:t>
            </w:r>
            <w:r w:rsidR="009702C6">
              <w:t>,</w:t>
            </w:r>
            <w:r w:rsidR="000F1865">
              <w:t xml:space="preserve"> dzięki </w:t>
            </w:r>
            <w:r w:rsidR="009702C6">
              <w:t>który pokryje część popytu na</w:t>
            </w:r>
            <w:r w:rsidR="000F1865">
              <w:t xml:space="preserve"> gazu ziemnego</w:t>
            </w:r>
            <w:r w:rsidR="009702C6">
              <w:t>. W</w:t>
            </w:r>
            <w:r w:rsidR="000F1865">
              <w:t xml:space="preserve"> kolejnych dekadach </w:t>
            </w:r>
            <w:r w:rsidR="00DE0F1C">
              <w:t xml:space="preserve">skala </w:t>
            </w:r>
            <w:r w:rsidR="000F1865">
              <w:t>zastępowan</w:t>
            </w:r>
            <w:r w:rsidR="00BF7A69">
              <w:t xml:space="preserve">ia gazu ziemnego przez </w:t>
            </w:r>
            <w:r w:rsidR="000F1865">
              <w:t xml:space="preserve">biometanem i wodorem </w:t>
            </w:r>
            <w:r w:rsidR="00BF7A69">
              <w:t>będzie rosnąć.</w:t>
            </w:r>
          </w:p>
          <w:p w14:paraId="1C6F2688" w14:textId="77777777" w:rsidR="00D8615F" w:rsidRPr="00CA67FB" w:rsidRDefault="00D8615F" w:rsidP="000A452C">
            <w:pPr>
              <w:spacing w:line="22" w:lineRule="atLeast"/>
              <w:rPr>
                <w:color w:val="000000" w:themeColor="text1"/>
              </w:rPr>
            </w:pPr>
          </w:p>
          <w:p w14:paraId="6F25FE74" w14:textId="77777777" w:rsidR="00D8615F" w:rsidRPr="00CA67FB" w:rsidRDefault="00D8615F" w:rsidP="000A452C">
            <w:pPr>
              <w:spacing w:line="22" w:lineRule="atLeast"/>
              <w:rPr>
                <w:color w:val="000000" w:themeColor="text1"/>
              </w:rPr>
            </w:pPr>
          </w:p>
          <w:p w14:paraId="1F9F9A2F" w14:textId="77777777" w:rsidR="00D8615F" w:rsidRPr="00CA67FB" w:rsidRDefault="00D8615F" w:rsidP="000A452C">
            <w:pPr>
              <w:spacing w:line="22" w:lineRule="atLeast"/>
              <w:rPr>
                <w:color w:val="000000" w:themeColor="text1"/>
              </w:rPr>
            </w:pPr>
          </w:p>
          <w:p w14:paraId="75AC9891" w14:textId="77777777" w:rsidR="00D8615F" w:rsidRPr="00AC7562" w:rsidRDefault="00D8615F" w:rsidP="000A452C">
            <w:pPr>
              <w:spacing w:line="22" w:lineRule="atLeast"/>
            </w:pPr>
          </w:p>
        </w:tc>
      </w:tr>
      <w:tr w:rsidR="00D8615F" w:rsidRPr="00410B57" w14:paraId="05FB9661" w14:textId="77777777" w:rsidTr="00DA5F7C">
        <w:tc>
          <w:tcPr>
            <w:tcW w:w="6093" w:type="dxa"/>
          </w:tcPr>
          <w:p w14:paraId="1EAB16A7" w14:textId="77777777" w:rsidR="00D8615F" w:rsidRPr="00F72CEA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F72CEA">
              <w:rPr>
                <w:b/>
                <w:bCs/>
              </w:rPr>
              <w:lastRenderedPageBreak/>
              <w:t>[Harmonogram wdrożenia RED III]</w:t>
            </w:r>
          </w:p>
          <w:p w14:paraId="2490BAB1" w14:textId="77777777" w:rsidR="00D8615F" w:rsidRPr="00AC7562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5E550C">
              <w:t xml:space="preserve">KE zaleca, aby Polska </w:t>
            </w:r>
            <w:r>
              <w:t>w</w:t>
            </w:r>
            <w:r w:rsidRPr="00AC7562">
              <w:t xml:space="preserve"> miarę możliwości przedstawiła przewidywany harmonogram działań prowadzących do przyjęcia ustawodawczych i </w:t>
            </w:r>
            <w:proofErr w:type="spellStart"/>
            <w:r w:rsidRPr="00AC7562">
              <w:t>pozaustawodawczych</w:t>
            </w:r>
            <w:proofErr w:type="spellEnd"/>
            <w:r w:rsidRPr="00AC7562">
              <w:t xml:space="preserve"> polityk i środków mających na celu transpozycję i wdrożenie przepisów zmienionej dyrektywy (UE) 2018/2001, w szczególności w odniesieniu do środków, o których mowa w poprzednich punktach. </w:t>
            </w:r>
          </w:p>
        </w:tc>
        <w:tc>
          <w:tcPr>
            <w:tcW w:w="8655" w:type="dxa"/>
          </w:tcPr>
          <w:p w14:paraId="712A445F" w14:textId="4A7F49A7" w:rsidR="00D8615F" w:rsidRDefault="00D8615F" w:rsidP="000A452C">
            <w:pPr>
              <w:spacing w:line="22" w:lineRule="atLeast"/>
              <w:rPr>
                <w:rFonts w:eastAsia="Lato" w:cs="Lato"/>
              </w:rPr>
            </w:pPr>
            <w:r w:rsidRPr="4D796C50">
              <w:rPr>
                <w:rFonts w:eastAsia="Lato" w:cs="Lato"/>
              </w:rPr>
              <w:t>W związku z prowadzonymi pracami analitycznymi pod kątem wdrożenia RED</w:t>
            </w:r>
            <w:r w:rsidR="0099456B">
              <w:rPr>
                <w:rFonts w:eastAsia="Lato" w:cs="Lato"/>
              </w:rPr>
              <w:t xml:space="preserve"> </w:t>
            </w:r>
            <w:r>
              <w:rPr>
                <w:rFonts w:eastAsia="Lato" w:cs="Lato"/>
              </w:rPr>
              <w:t>III</w:t>
            </w:r>
            <w:r w:rsidRPr="4D796C50">
              <w:rPr>
                <w:rFonts w:eastAsia="Lato" w:cs="Lato"/>
              </w:rPr>
              <w:t xml:space="preserve"> do prawa krajowego, nie jest możliwe na tym etapie przedstawienie harmonogramu działań implementacyjnych. </w:t>
            </w:r>
          </w:p>
          <w:p w14:paraId="4741C648" w14:textId="2B9313DC" w:rsidR="00D8615F" w:rsidRDefault="00393C5E" w:rsidP="000A452C">
            <w:pPr>
              <w:spacing w:line="22" w:lineRule="atLeast"/>
            </w:pPr>
            <w:r>
              <w:t>R</w:t>
            </w:r>
            <w:r w:rsidR="00D8615F">
              <w:t>egulacje prawne zawarte w dyrektywie RED III są często rozwiązaniami zupełnie nowymi dla obecnego systemu prawnego</w:t>
            </w:r>
            <w:r w:rsidR="00E5463B">
              <w:t xml:space="preserve"> i rynku energii</w:t>
            </w:r>
            <w:r w:rsidR="00D8615F">
              <w:t xml:space="preserve">. </w:t>
            </w:r>
            <w:r w:rsidR="00015363">
              <w:t>W</w:t>
            </w:r>
            <w:r w:rsidR="00D8615F">
              <w:t xml:space="preserve">pływa </w:t>
            </w:r>
            <w:r w:rsidR="00015363">
              <w:t xml:space="preserve">to </w:t>
            </w:r>
            <w:r w:rsidR="00D8615F">
              <w:t>chociażby na ograniczoną możliwość dokonania analizy wypracowanych dotychczas rozwiązań, w tym rozwiązań zastosowanych w innych państwach członkowskich, co istotnie ułatwiłoby opracowywanie krajowych przepisów wrażających dyrektywę RED III.</w:t>
            </w:r>
          </w:p>
          <w:p w14:paraId="58656500" w14:textId="40C03DBA" w:rsidR="00D8615F" w:rsidRPr="00AC7562" w:rsidRDefault="00D8615F" w:rsidP="000A452C">
            <w:pPr>
              <w:spacing w:line="22" w:lineRule="atLeast"/>
            </w:pPr>
            <w:r>
              <w:t>W związku z powyższym, projekty aktów prawnych dokonujących transpozycji dyrektywy RED III będą wynikiem długotrwałych konsultacji, które mają na celu stworzenie nowej koncepcji regulacyjnej w obszarach, które nie istniały w polskim systemie prawa.</w:t>
            </w:r>
          </w:p>
        </w:tc>
      </w:tr>
      <w:tr w:rsidR="00D8615F" w:rsidRPr="00410B57" w14:paraId="6F32431C" w14:textId="77777777" w:rsidTr="00DA5F7C">
        <w:tc>
          <w:tcPr>
            <w:tcW w:w="6093" w:type="dxa"/>
          </w:tcPr>
          <w:p w14:paraId="1FC4C5BB" w14:textId="2A0CE2EF" w:rsidR="00D8615F" w:rsidRPr="00F72CEA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F72CEA">
              <w:rPr>
                <w:b/>
                <w:bCs/>
              </w:rPr>
              <w:t>[Ef</w:t>
            </w:r>
            <w:r w:rsidR="00BC5D34">
              <w:rPr>
                <w:b/>
                <w:bCs/>
              </w:rPr>
              <w:t>ektywność</w:t>
            </w:r>
            <w:r w:rsidRPr="00F72CEA">
              <w:rPr>
                <w:b/>
                <w:bCs/>
              </w:rPr>
              <w:t xml:space="preserve"> energetyczna organów publicznych]</w:t>
            </w:r>
          </w:p>
          <w:p w14:paraId="5AE25D24" w14:textId="77777777" w:rsidR="00D8615F" w:rsidRPr="00AC7562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5E550C">
              <w:t xml:space="preserve">KE zaleca, aby Polska </w:t>
            </w:r>
            <w:r>
              <w:t>u</w:t>
            </w:r>
            <w:r w:rsidRPr="00AC7562">
              <w:t xml:space="preserve">względniła wielkość zmniejszenia zużycia energii, którą mają osiągnąć wszystkie organy publiczne, w podziale na sektory oraz skumulowane oszczędności energii, które mają zostać osiągnięte w okresie od 1 stycznia 2021 r. do 31 grudnia 2030 r., oraz, w stosownych przypadkach, wyjaśniła, w jaki sposób ustalono roczny wskaźnik oszczędności energii i podstawę obliczeń. </w:t>
            </w:r>
          </w:p>
        </w:tc>
        <w:tc>
          <w:tcPr>
            <w:tcW w:w="8655" w:type="dxa"/>
          </w:tcPr>
          <w:p w14:paraId="760A2276" w14:textId="63A2843F" w:rsidR="00D8615F" w:rsidRPr="00AC7562" w:rsidRDefault="00D8615F" w:rsidP="000A452C">
            <w:pPr>
              <w:spacing w:line="22" w:lineRule="atLeast"/>
            </w:pPr>
            <w:r>
              <w:t xml:space="preserve">Zalecenie zostało pokryte – w połowie 2024 r. Krajowa </w:t>
            </w:r>
            <w:r w:rsidR="000A452C">
              <w:t>Agencja</w:t>
            </w:r>
            <w:r>
              <w:t xml:space="preserve"> Poszanowania Energii wykonała </w:t>
            </w:r>
            <w:r w:rsidRPr="4D796C50">
              <w:rPr>
                <w:i/>
                <w:iCs/>
              </w:rPr>
              <w:t>Analiz</w:t>
            </w:r>
            <w:r>
              <w:rPr>
                <w:i/>
                <w:iCs/>
              </w:rPr>
              <w:t>ę</w:t>
            </w:r>
            <w:r w:rsidRPr="4D796C50">
              <w:rPr>
                <w:i/>
                <w:iCs/>
              </w:rPr>
              <w:t xml:space="preserve"> zużycia energii finalnej oraz potencjału jej redukcji w instytucjach publicznych w</w:t>
            </w:r>
            <w:r w:rsidR="000A452C">
              <w:rPr>
                <w:i/>
                <w:iCs/>
              </w:rPr>
              <w:t> </w:t>
            </w:r>
            <w:r w:rsidRPr="4D796C50">
              <w:rPr>
                <w:i/>
                <w:iCs/>
              </w:rPr>
              <w:t>Polsce w roku 2021 wraz z wyznaczeniem krajowego celu w tym zakresie oraz opracowaniem optymalnych scenariuszy realizacji wzorcowej roli sektora publicznego wraz z oszacowaniem skutków ich wdrożenia</w:t>
            </w:r>
            <w:r>
              <w:t xml:space="preserve">, co pozwoliło na określenie wielkości </w:t>
            </w:r>
            <w:r w:rsidRPr="00AC7562">
              <w:t>zmniejszenia zużycia energi</w:t>
            </w:r>
            <w:r>
              <w:t>i finalnej zgodnie z dyrektywą 2023/1791.</w:t>
            </w:r>
            <w:r w:rsidR="00BC5D34">
              <w:t xml:space="preserve"> Analiza pozwoliła na pokrycie tego tematu w aKPEiK.</w:t>
            </w:r>
          </w:p>
        </w:tc>
      </w:tr>
      <w:tr w:rsidR="00D8615F" w:rsidRPr="00410B57" w14:paraId="6459330B" w14:textId="77777777" w:rsidTr="00DA5F7C">
        <w:tc>
          <w:tcPr>
            <w:tcW w:w="6093" w:type="dxa"/>
          </w:tcPr>
          <w:p w14:paraId="76458DCB" w14:textId="77777777" w:rsidR="00D8615F" w:rsidRPr="00F72CEA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F72CEA">
              <w:rPr>
                <w:b/>
                <w:bCs/>
              </w:rPr>
              <w:t>[Ef. energetyczna przede wszystkim</w:t>
            </w:r>
            <w:r>
              <w:rPr>
                <w:b/>
                <w:bCs/>
              </w:rPr>
              <w:t xml:space="preserve"> i fundusz</w:t>
            </w:r>
            <w:r w:rsidRPr="00F72CEA">
              <w:rPr>
                <w:b/>
                <w:bCs/>
              </w:rPr>
              <w:t>]</w:t>
            </w:r>
          </w:p>
          <w:p w14:paraId="655D9211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5E550C">
              <w:t>KE zaleca, aby Polska</w:t>
            </w:r>
            <w:r>
              <w:t>:</w:t>
            </w:r>
          </w:p>
          <w:p w14:paraId="51B9709D" w14:textId="77777777" w:rsidR="00D8615F" w:rsidRDefault="00D8615F" w:rsidP="00D43516">
            <w:pPr>
              <w:pStyle w:val="Akapitzlist"/>
              <w:numPr>
                <w:ilvl w:val="0"/>
                <w:numId w:val="9"/>
              </w:numPr>
              <w:spacing w:after="60" w:line="22" w:lineRule="atLeast"/>
            </w:pPr>
            <w:r>
              <w:t>S</w:t>
            </w:r>
            <w:r w:rsidRPr="00AC7562">
              <w:t xml:space="preserve">zczegółowo określiła polityki i środki służące wdrożeniu zasady „efektywność energetyczna przede wszystkim”. </w:t>
            </w:r>
          </w:p>
          <w:p w14:paraId="52221A17" w14:textId="77777777" w:rsidR="00D8615F" w:rsidRDefault="00D8615F" w:rsidP="00D43516">
            <w:pPr>
              <w:pStyle w:val="Akapitzlist"/>
              <w:numPr>
                <w:ilvl w:val="0"/>
                <w:numId w:val="9"/>
              </w:numPr>
              <w:spacing w:after="60" w:line="22" w:lineRule="atLeast"/>
            </w:pPr>
            <w:r w:rsidRPr="00AC7562">
              <w:t xml:space="preserve">Określiła solidne programy finansowania i systemy wsparcia w zakresie efektywności energetycznej, umożliwiające pozyskiwanie inwestycji prywatnych i dodatkowego współfinansowania. </w:t>
            </w:r>
          </w:p>
          <w:p w14:paraId="014FC325" w14:textId="77777777" w:rsidR="00D8615F" w:rsidRPr="00AC7562" w:rsidRDefault="00D8615F" w:rsidP="00D43516">
            <w:pPr>
              <w:pStyle w:val="Akapitzlist"/>
              <w:numPr>
                <w:ilvl w:val="0"/>
                <w:numId w:val="9"/>
              </w:numPr>
              <w:spacing w:after="60" w:line="22" w:lineRule="atLeast"/>
            </w:pPr>
            <w:r w:rsidRPr="00AC7562">
              <w:t xml:space="preserve">Przedstawiła dalsze informacje na temat roli krajowego funduszu efektywności energetycznej, określonego w art. 30 dyrektywy (UE) 2023/1791, w przyczynianiu się do wnoszenia krajowych wkładów w zakresie </w:t>
            </w:r>
            <w:r w:rsidRPr="00AC7562">
              <w:lastRenderedPageBreak/>
              <w:t xml:space="preserve">efektywności energetycznej w realizację celów UE, w tym wykorzystania instrumentów finansowych w ramach funduszu. </w:t>
            </w:r>
          </w:p>
        </w:tc>
        <w:tc>
          <w:tcPr>
            <w:tcW w:w="8655" w:type="dxa"/>
          </w:tcPr>
          <w:p w14:paraId="598CBD65" w14:textId="4B6AC6E9" w:rsidR="00D8615F" w:rsidRPr="00A15FB7" w:rsidRDefault="00D8615F" w:rsidP="000A452C">
            <w:pPr>
              <w:spacing w:line="22" w:lineRule="atLeast"/>
              <w:rPr>
                <w:color w:val="000000" w:themeColor="text1"/>
              </w:rPr>
            </w:pPr>
            <w:r w:rsidRPr="00A15FB7">
              <w:rPr>
                <w:color w:val="000000" w:themeColor="text1"/>
              </w:rPr>
              <w:lastRenderedPageBreak/>
              <w:t xml:space="preserve">(a) Państwa członkowskie </w:t>
            </w:r>
            <w:r w:rsidR="00765395">
              <w:rPr>
                <w:color w:val="000000" w:themeColor="text1"/>
              </w:rPr>
              <w:t>mają wdrożyć</w:t>
            </w:r>
            <w:r w:rsidRPr="00A15FB7">
              <w:rPr>
                <w:color w:val="000000" w:themeColor="text1"/>
              </w:rPr>
              <w:t xml:space="preserve"> art. 3 ust. 5 dyrektywy 2023/1791 do swoich krajowych porządków prawnych w terminie do 11 października 2025 r. Pierwszym sprawozdaniem z postępów w dziedzinie energii i klimatu, które powinno zawierać sprawozdanie na temat tego jak uwzględniono zasadę „efektywność energetyczna przede wszystkim” będzie sprawozdanie przedłożone Komisji Europejskiej do 15 marca 2027 r. W związku z powyższym Polska deklaruje szczegółowe określenie polityk i środków </w:t>
            </w:r>
            <w:r w:rsidR="00A8443B">
              <w:rPr>
                <w:color w:val="000000" w:themeColor="text1"/>
              </w:rPr>
              <w:t xml:space="preserve">(działań) </w:t>
            </w:r>
            <w:r w:rsidRPr="00A15FB7">
              <w:rPr>
                <w:color w:val="000000" w:themeColor="text1"/>
              </w:rPr>
              <w:t>służących wdrożeniu zasady „efektywność energetyczna przede wszystkim” w wskazanym sprawozdaniu z postępów w dziedzinie energii i klimatu w 2027 r.</w:t>
            </w:r>
          </w:p>
          <w:p w14:paraId="074AB7D1" w14:textId="77777777" w:rsidR="00D8615F" w:rsidRPr="00A15FB7" w:rsidRDefault="00D8615F" w:rsidP="000A452C">
            <w:pPr>
              <w:spacing w:line="22" w:lineRule="atLeast"/>
              <w:rPr>
                <w:color w:val="000000" w:themeColor="text1"/>
              </w:rPr>
            </w:pPr>
            <w:r w:rsidRPr="00A15FB7">
              <w:rPr>
                <w:color w:val="000000" w:themeColor="text1"/>
              </w:rPr>
              <w:t>Niemniej jednak Polska podkreśliła w aKPEiK znaczenie wdrożenia zasady „efektywność energetyczna przede wszystkim” jako nadrzędnego instrumentu w realizacji ambitnych unijnych celów w zakresie efektywności energetycznej.</w:t>
            </w:r>
          </w:p>
          <w:p w14:paraId="587A8485" w14:textId="3EE1911F" w:rsidR="00D8615F" w:rsidRPr="00A15FB7" w:rsidRDefault="00D8615F" w:rsidP="000A452C">
            <w:pPr>
              <w:spacing w:line="22" w:lineRule="atLeast"/>
              <w:rPr>
                <w:color w:val="000000" w:themeColor="text1"/>
              </w:rPr>
            </w:pPr>
            <w:r w:rsidRPr="00A15FB7">
              <w:rPr>
                <w:color w:val="000000" w:themeColor="text1"/>
              </w:rPr>
              <w:lastRenderedPageBreak/>
              <w:t xml:space="preserve">(b) </w:t>
            </w:r>
            <w:r w:rsidR="008C2335">
              <w:rPr>
                <w:color w:val="000000" w:themeColor="text1"/>
              </w:rPr>
              <w:t>Poprawa e</w:t>
            </w:r>
            <w:r w:rsidR="00DC24B2" w:rsidRPr="00A15FB7">
              <w:rPr>
                <w:color w:val="000000" w:themeColor="text1"/>
              </w:rPr>
              <w:t>fektywnoś</w:t>
            </w:r>
            <w:r w:rsidR="008C2335">
              <w:rPr>
                <w:color w:val="000000" w:themeColor="text1"/>
              </w:rPr>
              <w:t>ci</w:t>
            </w:r>
            <w:r w:rsidR="00DC24B2" w:rsidRPr="00A15FB7">
              <w:rPr>
                <w:color w:val="000000" w:themeColor="text1"/>
              </w:rPr>
              <w:t xml:space="preserve"> energetyczn</w:t>
            </w:r>
            <w:r w:rsidR="008C2335">
              <w:rPr>
                <w:color w:val="000000" w:themeColor="text1"/>
              </w:rPr>
              <w:t>ej</w:t>
            </w:r>
            <w:r w:rsidR="00DC24B2" w:rsidRPr="00A15FB7">
              <w:rPr>
                <w:color w:val="000000" w:themeColor="text1"/>
              </w:rPr>
              <w:t xml:space="preserve"> </w:t>
            </w:r>
            <w:r w:rsidR="00DC24B2">
              <w:rPr>
                <w:color w:val="000000" w:themeColor="text1"/>
              </w:rPr>
              <w:t>jest</w:t>
            </w:r>
            <w:r w:rsidR="00605886">
              <w:rPr>
                <w:color w:val="000000" w:themeColor="text1"/>
              </w:rPr>
              <w:t xml:space="preserve"> jednym z głównych obszarów, które </w:t>
            </w:r>
            <w:r w:rsidR="008C2335">
              <w:rPr>
                <w:color w:val="000000" w:themeColor="text1"/>
              </w:rPr>
              <w:t xml:space="preserve">mają pokrywać programy priorytetowe </w:t>
            </w:r>
            <w:r w:rsidR="00737E41">
              <w:rPr>
                <w:color w:val="000000" w:themeColor="text1"/>
              </w:rPr>
              <w:t>Narodowego</w:t>
            </w:r>
            <w:r w:rsidR="008C2335">
              <w:rPr>
                <w:color w:val="000000" w:themeColor="text1"/>
              </w:rPr>
              <w:t xml:space="preserve"> </w:t>
            </w:r>
            <w:r w:rsidR="00737E41">
              <w:rPr>
                <w:color w:val="000000" w:themeColor="text1"/>
              </w:rPr>
              <w:t>Funduszu Ochrony Środowiska i Gospodarki Wodnej (NFOŚiGW).</w:t>
            </w:r>
            <w:r w:rsidRPr="00A15FB7">
              <w:rPr>
                <w:color w:val="000000" w:themeColor="text1"/>
              </w:rPr>
              <w:t xml:space="preserve"> Program priorytetowy „Czyste Powietrze” zawiera istotny element zwiększonego wsparcia finansowego dla przedsięwzięć, które obok wymiany nieefektywnego, wysokoemisyjnego źródła ciepła, obejmują kompleksową termomodernizację budynku. Dotacja do przedsięwzięcia z kompleksową termomodernizacją budynku/lokalu mieszkalnego, należna jest po spełnieniu </w:t>
            </w:r>
            <w:r w:rsidR="004E5D1E">
              <w:rPr>
                <w:color w:val="000000" w:themeColor="text1"/>
              </w:rPr>
              <w:t>licznych warunków</w:t>
            </w:r>
            <w:r w:rsidR="00200BBF">
              <w:rPr>
                <w:color w:val="000000" w:themeColor="text1"/>
              </w:rPr>
              <w:t xml:space="preserve"> technicznych.</w:t>
            </w:r>
          </w:p>
          <w:p w14:paraId="3C7D857F" w14:textId="7BC64655" w:rsidR="00D8615F" w:rsidRPr="00A15FB7" w:rsidRDefault="00D8615F" w:rsidP="000A452C">
            <w:pPr>
              <w:spacing w:line="22" w:lineRule="atLeast"/>
              <w:rPr>
                <w:color w:val="000000" w:themeColor="text1"/>
              </w:rPr>
            </w:pPr>
            <w:r w:rsidRPr="00A15FB7">
              <w:rPr>
                <w:color w:val="000000" w:themeColor="text1"/>
              </w:rPr>
              <w:t>Ponadto 18 kwietnia 2024</w:t>
            </w:r>
            <w:r>
              <w:rPr>
                <w:color w:val="000000" w:themeColor="text1"/>
              </w:rPr>
              <w:t xml:space="preserve"> r.</w:t>
            </w:r>
            <w:r w:rsidRPr="00A15FB7">
              <w:rPr>
                <w:color w:val="000000" w:themeColor="text1"/>
              </w:rPr>
              <w:t xml:space="preserve"> Polska sfinalizowała z Bankiem Światowym umowę pożyczki na kwotę 250 mln EUR. Podpisana umowa pożyczki „Program Czyste Powietrze: ekologiczne źródła ogrzewania w sektorze mieszkaniowym” (pożyczka </w:t>
            </w:r>
            <w:proofErr w:type="spellStart"/>
            <w:r w:rsidRPr="00A15FB7">
              <w:rPr>
                <w:color w:val="000000" w:themeColor="text1"/>
              </w:rPr>
              <w:t>MBOiR</w:t>
            </w:r>
            <w:proofErr w:type="spellEnd"/>
            <w:r w:rsidRPr="00A15FB7">
              <w:rPr>
                <w:color w:val="000000" w:themeColor="text1"/>
              </w:rPr>
              <w:t xml:space="preserve"> nr 9310-PL) niesie za sobą finansowe wsparcie dla Polski, ale również wsparcie doradcze ekspertów Banku Światowego w zakresie skutecznej realizacji i dalszego rozwoju programu priorytetowego „Czyste Powietrze”</w:t>
            </w:r>
            <w:r w:rsidR="000A452C">
              <w:rPr>
                <w:color w:val="000000" w:themeColor="text1"/>
              </w:rPr>
              <w:t>.</w:t>
            </w:r>
            <w:r w:rsidRPr="00A15FB7">
              <w:rPr>
                <w:color w:val="000000" w:themeColor="text1"/>
              </w:rPr>
              <w:t xml:space="preserve"> Dzięki mechanizmowi doradczemu udało się zaangażować w </w:t>
            </w:r>
            <w:r w:rsidR="00D1713A">
              <w:rPr>
                <w:color w:val="000000" w:themeColor="text1"/>
              </w:rPr>
              <w:t>tym p</w:t>
            </w:r>
            <w:r w:rsidRPr="00A15FB7">
              <w:rPr>
                <w:color w:val="000000" w:themeColor="text1"/>
              </w:rPr>
              <w:t>rogramie sektor bankowy</w:t>
            </w:r>
            <w:r w:rsidR="00176335">
              <w:rPr>
                <w:color w:val="000000" w:themeColor="text1"/>
              </w:rPr>
              <w:t>.</w:t>
            </w:r>
            <w:r w:rsidR="004578A4">
              <w:rPr>
                <w:color w:val="000000" w:themeColor="text1"/>
              </w:rPr>
              <w:t xml:space="preserve"> </w:t>
            </w:r>
            <w:r w:rsidRPr="00A15FB7">
              <w:rPr>
                <w:color w:val="000000" w:themeColor="text1"/>
              </w:rPr>
              <w:t xml:space="preserve">Pożyczka Banku Światowego udzielona zostaje </w:t>
            </w:r>
            <w:r w:rsidR="000A452C">
              <w:rPr>
                <w:color w:val="000000" w:themeColor="text1"/>
              </w:rPr>
              <w:t>Polsce</w:t>
            </w:r>
            <w:r w:rsidRPr="00A15FB7">
              <w:rPr>
                <w:color w:val="000000" w:themeColor="text1"/>
              </w:rPr>
              <w:t xml:space="preserve"> na okres do 5 lat (2022-2027). Pożyczka ma zasilić budżet państwa na poczet utraconych wpływów podatkowych w ramach ulgi termomodernizacyjnej komplementarnej do </w:t>
            </w:r>
            <w:r w:rsidR="00337E80">
              <w:rPr>
                <w:color w:val="000000" w:themeColor="text1"/>
              </w:rPr>
              <w:t>„</w:t>
            </w:r>
            <w:r w:rsidR="000A452C">
              <w:rPr>
                <w:color w:val="000000" w:themeColor="text1"/>
              </w:rPr>
              <w:t>Czystego Powietrza</w:t>
            </w:r>
            <w:r w:rsidR="00337E80">
              <w:rPr>
                <w:color w:val="000000" w:themeColor="text1"/>
              </w:rPr>
              <w:t>”</w:t>
            </w:r>
            <w:r w:rsidRPr="00A15FB7">
              <w:rPr>
                <w:color w:val="000000" w:themeColor="text1"/>
              </w:rPr>
              <w:t>.</w:t>
            </w:r>
          </w:p>
          <w:p w14:paraId="367735F9" w14:textId="77777777" w:rsidR="00D8615F" w:rsidRPr="00A15FB7" w:rsidRDefault="00D8615F" w:rsidP="000A452C">
            <w:pPr>
              <w:spacing w:line="22" w:lineRule="atLeast"/>
              <w:rPr>
                <w:color w:val="000000" w:themeColor="text1"/>
              </w:rPr>
            </w:pPr>
            <w:r w:rsidRPr="00A15FB7">
              <w:rPr>
                <w:color w:val="000000" w:themeColor="text1"/>
              </w:rPr>
              <w:t>Polska ocenia jednak, że podane powyżej informacje są zbyt szczegółowe, by podawać je w aKPEiK, przy czym podkreślenia wymaga fakt, że opracowano bardzo obszerny katalog finansowania, który stanowi załącznik 5</w:t>
            </w:r>
            <w:r>
              <w:rPr>
                <w:color w:val="000000" w:themeColor="text1"/>
              </w:rPr>
              <w:t>.</w:t>
            </w:r>
            <w:r w:rsidRPr="00A15FB7">
              <w:rPr>
                <w:color w:val="000000" w:themeColor="text1"/>
              </w:rPr>
              <w:t xml:space="preserve"> do aKPEiK.</w:t>
            </w:r>
          </w:p>
          <w:p w14:paraId="0BB3787A" w14:textId="1C7F2BA9" w:rsidR="00D8615F" w:rsidRPr="00AC7562" w:rsidRDefault="00D8615F" w:rsidP="000A452C">
            <w:pPr>
              <w:spacing w:line="22" w:lineRule="atLeast"/>
            </w:pPr>
            <w:r w:rsidRPr="00A15FB7">
              <w:rPr>
                <w:color w:val="000000" w:themeColor="text1"/>
              </w:rPr>
              <w:t xml:space="preserve">(c) Zgodnie z art. 30 ust. 11 dyrektywy (UE) 2023/1791 państwa członkowskie </w:t>
            </w:r>
            <w:r w:rsidRPr="00544285">
              <w:rPr>
                <w:color w:val="000000" w:themeColor="text1"/>
                <w:u w:val="single"/>
              </w:rPr>
              <w:t>mogą</w:t>
            </w:r>
            <w:r w:rsidRPr="00A15FB7">
              <w:rPr>
                <w:color w:val="000000" w:themeColor="text1"/>
              </w:rPr>
              <w:t xml:space="preserve"> utworzyć krajowy fundusz efektywności energetycznej. Polska nie skorzystała z tej możliwości i</w:t>
            </w:r>
            <w:r w:rsidR="00544285">
              <w:rPr>
                <w:color w:val="000000" w:themeColor="text1"/>
              </w:rPr>
              <w:t> </w:t>
            </w:r>
            <w:r w:rsidRPr="00A15FB7">
              <w:rPr>
                <w:color w:val="000000" w:themeColor="text1"/>
              </w:rPr>
              <w:t>nie</w:t>
            </w:r>
            <w:r w:rsidR="00544285">
              <w:rPr>
                <w:color w:val="000000" w:themeColor="text1"/>
              </w:rPr>
              <w:t> </w:t>
            </w:r>
            <w:r w:rsidRPr="00A15FB7">
              <w:rPr>
                <w:color w:val="000000" w:themeColor="text1"/>
              </w:rPr>
              <w:t>deklaruje utworzenia krajowego funduszu efektywności energetycznej w przyszłości. W</w:t>
            </w:r>
            <w:r w:rsidR="00544285">
              <w:rPr>
                <w:color w:val="000000" w:themeColor="text1"/>
              </w:rPr>
              <w:t> </w:t>
            </w:r>
            <w:r w:rsidRPr="00A15FB7">
              <w:rPr>
                <w:color w:val="000000" w:themeColor="text1"/>
              </w:rPr>
              <w:t xml:space="preserve">związku z powyższym nie </w:t>
            </w:r>
            <w:r w:rsidR="003D575E" w:rsidRPr="00A15FB7">
              <w:rPr>
                <w:color w:val="000000" w:themeColor="text1"/>
              </w:rPr>
              <w:t xml:space="preserve">jest </w:t>
            </w:r>
            <w:r w:rsidRPr="00A15FB7">
              <w:rPr>
                <w:color w:val="000000" w:themeColor="text1"/>
              </w:rPr>
              <w:t>możliwe przekazanie informacji na temat roli ww. funduszu w</w:t>
            </w:r>
            <w:r w:rsidR="00544285">
              <w:rPr>
                <w:color w:val="000000" w:themeColor="text1"/>
              </w:rPr>
              <w:t> </w:t>
            </w:r>
            <w:r w:rsidRPr="00A15FB7">
              <w:rPr>
                <w:color w:val="000000" w:themeColor="text1"/>
              </w:rPr>
              <w:t>przyczynianiu się do wnoszenia krajowych wkładów w zakresie efektywności energetycznej w</w:t>
            </w:r>
            <w:r w:rsidR="003D575E">
              <w:rPr>
                <w:color w:val="000000" w:themeColor="text1"/>
              </w:rPr>
              <w:t> </w:t>
            </w:r>
            <w:r w:rsidRPr="00A15FB7">
              <w:rPr>
                <w:color w:val="000000" w:themeColor="text1"/>
              </w:rPr>
              <w:t>realizację celów UE.</w:t>
            </w:r>
          </w:p>
        </w:tc>
      </w:tr>
      <w:tr w:rsidR="00D8615F" w:rsidRPr="00410B57" w14:paraId="65799572" w14:textId="77777777" w:rsidTr="00DA5F7C">
        <w:tc>
          <w:tcPr>
            <w:tcW w:w="6093" w:type="dxa"/>
          </w:tcPr>
          <w:p w14:paraId="4D082508" w14:textId="77777777" w:rsidR="00D8615F" w:rsidRPr="004059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4059E7">
              <w:rPr>
                <w:b/>
                <w:bCs/>
              </w:rPr>
              <w:lastRenderedPageBreak/>
              <w:t>[Budownictwo]</w:t>
            </w:r>
          </w:p>
          <w:p w14:paraId="4C817D4C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757849">
              <w:t>KE zaleca, aby Polska</w:t>
            </w:r>
            <w:r>
              <w:t>:</w:t>
            </w:r>
          </w:p>
          <w:p w14:paraId="1EB09AD6" w14:textId="77777777" w:rsidR="00D8615F" w:rsidRDefault="00D8615F" w:rsidP="00D43516">
            <w:pPr>
              <w:pStyle w:val="Akapitzlist"/>
              <w:numPr>
                <w:ilvl w:val="0"/>
                <w:numId w:val="10"/>
              </w:numPr>
              <w:spacing w:after="60" w:line="22" w:lineRule="atLeast"/>
            </w:pPr>
            <w:r w:rsidRPr="00AC7562">
              <w:t xml:space="preserve">Uwzględniła zaktualizowany poziom ambicji w celu zapewnienia wysoce energooszczędnych i niskoemisyjnych krajowych zasobów budowlanych oraz przekształcenia istniejących budynków w budynki bezemisyjne do 2050 r., w tym pośrednie kamienie </w:t>
            </w:r>
            <w:r w:rsidRPr="00AC7562">
              <w:lastRenderedPageBreak/>
              <w:t xml:space="preserve">milowe na lata 2030 i 2040 oraz porównanie z najnowszą długoterminową strategią renowacji. </w:t>
            </w:r>
          </w:p>
          <w:p w14:paraId="7830CF7E" w14:textId="77777777" w:rsidR="00D8615F" w:rsidRPr="00AC7562" w:rsidRDefault="00D8615F" w:rsidP="00D43516">
            <w:pPr>
              <w:pStyle w:val="Akapitzlist"/>
              <w:numPr>
                <w:ilvl w:val="0"/>
                <w:numId w:val="10"/>
              </w:numPr>
              <w:spacing w:after="60" w:line="22" w:lineRule="atLeast"/>
            </w:pPr>
            <w:r w:rsidRPr="00AC7562">
              <w:t xml:space="preserve">Wsparła cele dotyczące niskoemisyjności budynków poprzez dostarczenie dalszych informacji na temat polityk i środków, w tym ich kosztów oraz ich przewidywanego wpływu na oszczędność energii, z myślą o wdrożeniu spójnej długoterminowej strategii renowacji. </w:t>
            </w:r>
          </w:p>
        </w:tc>
        <w:tc>
          <w:tcPr>
            <w:tcW w:w="8655" w:type="dxa"/>
          </w:tcPr>
          <w:p w14:paraId="3F94B0CA" w14:textId="59B9BC4D" w:rsidR="00D8615F" w:rsidRDefault="00551806" w:rsidP="000A452C">
            <w:pPr>
              <w:spacing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lastRenderedPageBreak/>
              <w:t>To z</w:t>
            </w:r>
            <w:r w:rsidR="00D8615F" w:rsidRPr="4D796C50">
              <w:rPr>
                <w:rFonts w:eastAsia="Lato" w:cs="Lato"/>
              </w:rPr>
              <w:t xml:space="preserve">alecenie KE nawiązuje do postanowień nowej dyrektywy </w:t>
            </w:r>
            <w:r w:rsidR="0030798F" w:rsidRPr="4D796C50">
              <w:rPr>
                <w:rFonts w:eastAsia="Lato" w:cs="Lato"/>
              </w:rPr>
              <w:t xml:space="preserve">2024/1275/UE </w:t>
            </w:r>
            <w:r w:rsidR="00D8615F" w:rsidRPr="4D796C50">
              <w:rPr>
                <w:rFonts w:eastAsia="Lato" w:cs="Lato"/>
              </w:rPr>
              <w:t>w sprawie charakterystyki energetycznej budynków (</w:t>
            </w:r>
            <w:r w:rsidR="0030798F">
              <w:rPr>
                <w:rFonts w:eastAsia="Lato" w:cs="Lato"/>
              </w:rPr>
              <w:t>EPBD</w:t>
            </w:r>
            <w:r w:rsidR="00D8615F" w:rsidRPr="4D796C50">
              <w:rPr>
                <w:rFonts w:eastAsia="Lato" w:cs="Lato"/>
              </w:rPr>
              <w:t xml:space="preserve">), która została opublikowana 8 maja </w:t>
            </w:r>
            <w:r w:rsidR="00D8615F">
              <w:rPr>
                <w:rFonts w:eastAsia="Lato" w:cs="Lato"/>
              </w:rPr>
              <w:t xml:space="preserve">2024 </w:t>
            </w:r>
            <w:r w:rsidR="00D8615F" w:rsidRPr="4D796C50">
              <w:rPr>
                <w:rFonts w:eastAsia="Lato" w:cs="Lato"/>
              </w:rPr>
              <w:t xml:space="preserve">r. </w:t>
            </w:r>
            <w:r w:rsidR="00AD5153">
              <w:rPr>
                <w:rFonts w:eastAsia="Lato" w:cs="Lato"/>
              </w:rPr>
              <w:t>Art.</w:t>
            </w:r>
            <w:r w:rsidR="001B6EF9">
              <w:rPr>
                <w:rFonts w:eastAsia="Lato" w:cs="Lato"/>
              </w:rPr>
              <w:t> </w:t>
            </w:r>
            <w:r w:rsidR="00AD5153">
              <w:rPr>
                <w:rFonts w:eastAsia="Lato" w:cs="Lato"/>
              </w:rPr>
              <w:t xml:space="preserve">3 </w:t>
            </w:r>
            <w:r w:rsidR="0030798F">
              <w:rPr>
                <w:rFonts w:eastAsia="Lato" w:cs="Lato"/>
              </w:rPr>
              <w:t xml:space="preserve">dyrektywy EPBD </w:t>
            </w:r>
            <w:r w:rsidR="0030798F">
              <w:t>wskazuje, że</w:t>
            </w:r>
            <w:r w:rsidR="0030798F" w:rsidRPr="00F765B0">
              <w:t xml:space="preserve"> </w:t>
            </w:r>
            <w:r w:rsidR="0030798F">
              <w:t xml:space="preserve">państwa członkowskie powinny przekazać Komisji Europejskiej do końca </w:t>
            </w:r>
            <w:r w:rsidR="0030798F" w:rsidRPr="00F765B0">
              <w:t>2025 r.</w:t>
            </w:r>
            <w:r w:rsidR="0030798F" w:rsidDel="003F4D7D">
              <w:t xml:space="preserve"> </w:t>
            </w:r>
            <w:r w:rsidR="0030798F" w:rsidRPr="00445859">
              <w:rPr>
                <w:u w:val="single"/>
              </w:rPr>
              <w:t>projekt</w:t>
            </w:r>
            <w:r w:rsidR="0030798F" w:rsidRPr="00445859">
              <w:t xml:space="preserve"> </w:t>
            </w:r>
            <w:r w:rsidR="0030798F" w:rsidRPr="00445859">
              <w:rPr>
                <w:i/>
                <w:iCs/>
              </w:rPr>
              <w:t>krajowego planu renowacji budynków</w:t>
            </w:r>
            <w:r w:rsidR="0030798F" w:rsidRPr="00445859">
              <w:t xml:space="preserve"> (KPRB), </w:t>
            </w:r>
            <w:r w:rsidR="0030798F">
              <w:t xml:space="preserve">a do końca 2026 r. jego finalną wersję. </w:t>
            </w:r>
            <w:r w:rsidR="001B6EF9">
              <w:t xml:space="preserve">Tym samym zalecenie wykracza poza </w:t>
            </w:r>
            <w:r w:rsidR="006A53BC">
              <w:t>regulacje</w:t>
            </w:r>
            <w:r w:rsidR="00445859">
              <w:t xml:space="preserve">. Obszar budownictwa </w:t>
            </w:r>
            <w:r w:rsidR="003A7578">
              <w:t xml:space="preserve">wymaga bardzo dobrej identyfikacji aktualnego stanu i weryfikacji potencjału, </w:t>
            </w:r>
            <w:r w:rsidR="005259B1">
              <w:t xml:space="preserve">dlatego </w:t>
            </w:r>
            <w:r w:rsidR="006F78CB">
              <w:t xml:space="preserve">założenia zaimplementowane do aKPEiK mają charakter </w:t>
            </w:r>
            <w:r w:rsidR="007B2AD8">
              <w:t>kierunkowy</w:t>
            </w:r>
            <w:r w:rsidR="00A64DC8">
              <w:t>.</w:t>
            </w:r>
          </w:p>
          <w:p w14:paraId="464F1298" w14:textId="3CBF73EF" w:rsidR="00D8615F" w:rsidRDefault="00D8615F" w:rsidP="000A452C">
            <w:pPr>
              <w:spacing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lastRenderedPageBreak/>
              <w:t>Scenariusz WAM przyjmuje w niektórych obszarach ambitniejsze efekty wdrażanych działań termomodernizacyjnych</w:t>
            </w:r>
            <w:r w:rsidR="00A64DC8">
              <w:rPr>
                <w:rFonts w:eastAsia="Lato" w:cs="Lato"/>
              </w:rPr>
              <w:t xml:space="preserve"> niż obowiązująca </w:t>
            </w:r>
            <w:r w:rsidR="000133BC" w:rsidRPr="000133BC">
              <w:rPr>
                <w:rFonts w:eastAsia="Lato" w:cs="Lato"/>
                <w:i/>
                <w:iCs/>
              </w:rPr>
              <w:t>Długoterminowa s</w:t>
            </w:r>
            <w:r w:rsidR="00A64DC8" w:rsidRPr="00A64DC8">
              <w:rPr>
                <w:rFonts w:eastAsia="Lato" w:cs="Lato"/>
                <w:i/>
                <w:iCs/>
              </w:rPr>
              <w:t>trategia renowacji budynków</w:t>
            </w:r>
            <w:r w:rsidR="00A64DC8">
              <w:rPr>
                <w:rFonts w:eastAsia="Lato" w:cs="Lato"/>
              </w:rPr>
              <w:t xml:space="preserve"> z 2022 r.</w:t>
            </w:r>
            <w:r w:rsidR="00E1751C">
              <w:rPr>
                <w:rFonts w:eastAsia="Lato" w:cs="Lato"/>
              </w:rPr>
              <w:t xml:space="preserve"> Natomiast </w:t>
            </w:r>
            <w:r w:rsidRPr="00A15FB7">
              <w:rPr>
                <w:rFonts w:eastAsia="Lato" w:cs="Lato"/>
              </w:rPr>
              <w:t>zaktualizowan</w:t>
            </w:r>
            <w:r w:rsidR="004A7CDB">
              <w:rPr>
                <w:rFonts w:eastAsia="Lato" w:cs="Lato"/>
              </w:rPr>
              <w:t>y</w:t>
            </w:r>
            <w:r w:rsidRPr="00A15FB7">
              <w:rPr>
                <w:rFonts w:eastAsia="Lato" w:cs="Lato"/>
              </w:rPr>
              <w:t xml:space="preserve"> poziom ambicji w celu zapewnienia wysoce energooszczędnych i</w:t>
            </w:r>
            <w:r w:rsidR="004A7CDB">
              <w:rPr>
                <w:rFonts w:eastAsia="Lato" w:cs="Lato"/>
              </w:rPr>
              <w:t> </w:t>
            </w:r>
            <w:r w:rsidRPr="00A15FB7">
              <w:rPr>
                <w:rFonts w:eastAsia="Lato" w:cs="Lato"/>
              </w:rPr>
              <w:t xml:space="preserve">niskoemisyjnych krajowych zasobów budowlanych oraz przekształcenia istniejących budynków w budynki bezemisyjne do 2050 r., tym pośrednich kamieni milowych na lata 2030 i 2040 znajdzie się w </w:t>
            </w:r>
            <w:r w:rsidRPr="004A7CDB">
              <w:rPr>
                <w:rFonts w:eastAsia="Lato" w:cs="Lato"/>
                <w:i/>
                <w:iCs/>
              </w:rPr>
              <w:t>Krajowym planie renowacji budynków</w:t>
            </w:r>
            <w:r w:rsidRPr="4D796C50">
              <w:rPr>
                <w:rFonts w:eastAsia="Lato" w:cs="Lato"/>
              </w:rPr>
              <w:t xml:space="preserve">, który zastąpi </w:t>
            </w:r>
            <w:r w:rsidR="004A7CDB" w:rsidRPr="004A7CDB">
              <w:rPr>
                <w:rFonts w:eastAsia="Lato" w:cs="Lato"/>
                <w:i/>
                <w:iCs/>
              </w:rPr>
              <w:t>D</w:t>
            </w:r>
            <w:r w:rsidRPr="004A7CDB">
              <w:rPr>
                <w:rFonts w:eastAsia="Lato" w:cs="Lato"/>
                <w:i/>
                <w:iCs/>
              </w:rPr>
              <w:t>ługoterminową strategię renowacji budynków</w:t>
            </w:r>
            <w:r w:rsidRPr="4D796C50">
              <w:rPr>
                <w:rFonts w:eastAsia="Lato" w:cs="Lato"/>
              </w:rPr>
              <w:t xml:space="preserve"> oraz w ramach</w:t>
            </w:r>
            <w:r>
              <w:rPr>
                <w:rFonts w:eastAsia="Lato" w:cs="Lato"/>
              </w:rPr>
              <w:t xml:space="preserve"> </w:t>
            </w:r>
            <w:r w:rsidRPr="4D796C50">
              <w:rPr>
                <w:rFonts w:eastAsia="Lato" w:cs="Lato"/>
              </w:rPr>
              <w:t>środków transponujących dyrektywę 2024/1275/UE.</w:t>
            </w:r>
          </w:p>
          <w:p w14:paraId="47607D13" w14:textId="17CF7E07" w:rsidR="00D8615F" w:rsidRPr="00AC7562" w:rsidRDefault="00D8615F" w:rsidP="000A452C">
            <w:pPr>
              <w:spacing w:line="22" w:lineRule="atLeast"/>
            </w:pPr>
            <w:r>
              <w:t xml:space="preserve">Zarówno w aKPEIK, jak i w odniesieniu do zalecenia 1 wskazano na problemy związane możliwością przyspieszenia termomodernizacji, które mają </w:t>
            </w:r>
            <w:r w:rsidR="005757E9">
              <w:t xml:space="preserve">tak </w:t>
            </w:r>
            <w:r>
              <w:t>charakter technologiczny, jak i ekonomiczny, ale także rynkowy (dostępność materiałów i fachowców).</w:t>
            </w:r>
          </w:p>
        </w:tc>
      </w:tr>
      <w:tr w:rsidR="00D8615F" w:rsidRPr="00410B57" w14:paraId="0F25AE1B" w14:textId="77777777" w:rsidTr="00DA5F7C">
        <w:tc>
          <w:tcPr>
            <w:tcW w:w="6093" w:type="dxa"/>
          </w:tcPr>
          <w:p w14:paraId="04672EE7" w14:textId="77777777" w:rsidR="00D8615F" w:rsidRPr="004059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4059E7">
              <w:rPr>
                <w:b/>
                <w:bCs/>
              </w:rPr>
              <w:lastRenderedPageBreak/>
              <w:t>[Gaz ziemny</w:t>
            </w:r>
            <w:r>
              <w:rPr>
                <w:b/>
                <w:bCs/>
              </w:rPr>
              <w:t>, en. jądrowa i inne</w:t>
            </w:r>
            <w:r w:rsidRPr="004059E7">
              <w:rPr>
                <w:b/>
                <w:bCs/>
              </w:rPr>
              <w:t>]</w:t>
            </w:r>
          </w:p>
          <w:p w14:paraId="057F0A65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757849">
              <w:t>KE zaleca, aby Polska</w:t>
            </w:r>
          </w:p>
          <w:p w14:paraId="75BE7A30" w14:textId="04FDB93D" w:rsidR="00D8615F" w:rsidRDefault="00D8615F" w:rsidP="00D43516">
            <w:pPr>
              <w:pStyle w:val="Akapitzlist"/>
              <w:numPr>
                <w:ilvl w:val="0"/>
                <w:numId w:val="11"/>
              </w:numPr>
              <w:spacing w:after="60" w:line="22" w:lineRule="atLeast"/>
            </w:pPr>
            <w:r w:rsidRPr="00AC7562">
              <w:t xml:space="preserve">Zapewniła dodatkowe wyjaśnienia na temat sposobu, w jaki Polska będzie dalej zachęcać do zmniejszenia zapotrzebowania na gaz </w:t>
            </w:r>
            <w:r w:rsidR="006A2971">
              <w:t xml:space="preserve">(ziemny) </w:t>
            </w:r>
            <w:r w:rsidRPr="00AC7562">
              <w:t xml:space="preserve">do 2030 r. </w:t>
            </w:r>
          </w:p>
          <w:p w14:paraId="276277CE" w14:textId="77777777" w:rsidR="00D8615F" w:rsidRDefault="00D8615F" w:rsidP="00F63A71">
            <w:pPr>
              <w:pStyle w:val="Akapitzlist"/>
              <w:numPr>
                <w:ilvl w:val="0"/>
                <w:numId w:val="11"/>
              </w:numPr>
              <w:spacing w:after="60" w:line="22" w:lineRule="atLeast"/>
            </w:pPr>
            <w:r w:rsidRPr="00AC7562">
              <w:t xml:space="preserve">Wzmocniła odporność swojego systemu energetycznego poprzez przedstawienie polityk i środków mających na celu włączenie wymogów związanych z przystosowaniem się do zmiany klimatu do systemu energetycznego. </w:t>
            </w:r>
          </w:p>
          <w:p w14:paraId="079AD0C3" w14:textId="77777777" w:rsidR="00D8615F" w:rsidRDefault="00D8615F" w:rsidP="00D43516">
            <w:pPr>
              <w:pStyle w:val="Akapitzlist"/>
              <w:numPr>
                <w:ilvl w:val="0"/>
                <w:numId w:val="11"/>
              </w:numPr>
              <w:spacing w:after="60" w:line="22" w:lineRule="atLeast"/>
            </w:pPr>
            <w:r w:rsidRPr="00AC7562">
              <w:t xml:space="preserve">Przekazała bardziej szczegółowe informacje na temat roli energii jądrowej w jej koszyku energetycznym oraz ambicji w zakresie rozwoju małych reaktorów modułowych, w szczególności poprzez przedstawienie konkretnych etapów i harmonogramu dla nowych projektów budowy, biorąc pod uwagę dywersyfikację i długoterminowe dostawy materiałów jądrowych, paliwa, części zamiennych i usług na potrzeby tych projektów oraz długoterminowe gospodarowanie odpadami jądrowymi. </w:t>
            </w:r>
          </w:p>
          <w:p w14:paraId="594781C9" w14:textId="77777777" w:rsidR="00D8615F" w:rsidRPr="00AC7562" w:rsidRDefault="00D8615F" w:rsidP="00D43516">
            <w:pPr>
              <w:pStyle w:val="Akapitzlist"/>
              <w:numPr>
                <w:ilvl w:val="0"/>
                <w:numId w:val="11"/>
              </w:numPr>
              <w:spacing w:after="60" w:line="22" w:lineRule="atLeast"/>
            </w:pPr>
            <w:r w:rsidRPr="00AC7562">
              <w:t xml:space="preserve">Oceniła adekwatność infrastruktury naftowej (rafinerii, zapasów ropy naftowej, portów, ropociągów) względem przewidywanego spadku popytu na ropę </w:t>
            </w:r>
            <w:r w:rsidRPr="00AC7562">
              <w:lastRenderedPageBreak/>
              <w:t xml:space="preserve">naftową i przejścia na alternatywne rozwiązania o niższej emisyjności. </w:t>
            </w:r>
          </w:p>
        </w:tc>
        <w:tc>
          <w:tcPr>
            <w:tcW w:w="8655" w:type="dxa"/>
          </w:tcPr>
          <w:p w14:paraId="430C32B5" w14:textId="61D78D4F" w:rsidR="00D8615F" w:rsidRDefault="00D8615F" w:rsidP="000A452C">
            <w:pPr>
              <w:spacing w:line="22" w:lineRule="atLeast"/>
            </w:pPr>
            <w:r>
              <w:lastRenderedPageBreak/>
              <w:t xml:space="preserve">(a) Dostępny wachlarz rozwiązań oraz niedojrzałość ekonomiczna wielu z nich, jak również uwarunkowania techniczne i organizacyjne uniemożliwiają osiągnięcie neutralności klimatycznej w krótkim i średnim okresie. Gaz ziemny jako paliwo o znacznie niższej emisyjności niż węgiel kamienny i brunatny został wyraźnie określony w KPEiK </w:t>
            </w:r>
            <w:r w:rsidRPr="00913AF7">
              <w:rPr>
                <w:b/>
                <w:bCs/>
              </w:rPr>
              <w:t>jako paliwo przejściowe</w:t>
            </w:r>
            <w:r>
              <w:t xml:space="preserve">. </w:t>
            </w:r>
            <w:r w:rsidRPr="00903ABF">
              <w:t>Warto zauważyć, że inwestycje w źródła gazowe są bardzo często jednymi z niewielu rozwiązań, które skutecznie mogą przyśpieszyć transformację systemów dużych miast wojewódzkich, nie narażając przy tym odbiorców końcowych.</w:t>
            </w:r>
            <w:r>
              <w:t xml:space="preserve"> Podobnie w elektroenergetyce moce gazowe stanowią w najbliższej perspektywie kluczowe źródło zapewniające jednocześnie wystarczalność mocy i elastyczność systemu.</w:t>
            </w:r>
          </w:p>
          <w:p w14:paraId="460228D6" w14:textId="4756505F" w:rsidR="00D8615F" w:rsidRDefault="00D8615F" w:rsidP="000A452C">
            <w:pPr>
              <w:spacing w:line="22" w:lineRule="atLeast"/>
            </w:pPr>
            <w:r>
              <w:t xml:space="preserve">Trzeba podkreślić, że inwestycje w instalacje i infrastrukturę gazową </w:t>
            </w:r>
            <w:r w:rsidRPr="00913AF7">
              <w:rPr>
                <w:b/>
                <w:bCs/>
              </w:rPr>
              <w:t>nie powodują</w:t>
            </w:r>
            <w:r>
              <w:t xml:space="preserve"> „pułapki gazowej”. W dalszej perspektywie zarówno w energetyce, jak i przemyśle gaz ziemny </w:t>
            </w:r>
            <w:r w:rsidR="009612EE">
              <w:t>będzie zastępowany</w:t>
            </w:r>
            <w:r>
              <w:t xml:space="preserve"> gazami zdekarbonizowanymi</w:t>
            </w:r>
            <w:r w:rsidR="00D8786E">
              <w:t xml:space="preserve"> i </w:t>
            </w:r>
            <w:r w:rsidR="00E96805">
              <w:t>odnawialnymi</w:t>
            </w:r>
            <w:r>
              <w:t xml:space="preserve">. Będzie się to odbywać w następstwie działań podejmowanych w celu popularyzacji </w:t>
            </w:r>
            <w:r w:rsidR="00586770">
              <w:t xml:space="preserve">biometanu oraz </w:t>
            </w:r>
            <w:r>
              <w:t xml:space="preserve">wodoru, opisanych w dokumencie. W gospodarstwach domowych część instalacji ulegnie naturalnemu wyeksploatowaniu w krótkim okresie, a instalacje wprowadzone do użytku w ostatnim czasie cechują się wysokimi parametrami technicznymi, dlatego ich przedwczesne wycofywanie nie byłoby racjonalne. </w:t>
            </w:r>
          </w:p>
          <w:p w14:paraId="5BE586D6" w14:textId="77777777" w:rsidR="00D8615F" w:rsidRDefault="00D8615F" w:rsidP="000A452C">
            <w:pPr>
              <w:spacing w:line="22" w:lineRule="atLeast"/>
            </w:pPr>
            <w:r>
              <w:t xml:space="preserve">(b) W aKPEiK – pomimo braku obowiązku – opisano kierunkowo kwestie adaptacji do zmian klimatu, w tym w odniesieniu do energetyki. </w:t>
            </w:r>
          </w:p>
          <w:p w14:paraId="0F72AB91" w14:textId="3D1B39A7" w:rsidR="00D8615F" w:rsidRDefault="00D8615F" w:rsidP="000A452C">
            <w:pPr>
              <w:spacing w:line="22" w:lineRule="atLeast"/>
            </w:pPr>
            <w:r w:rsidRPr="00F31F51">
              <w:t xml:space="preserve">Adaptacja w sektorze energetycznym dotyczy w największym stopniu infrastruktury przesyłu i dystrybucji energii, szczególnie narażonej na ekstremalne zjawiska pogodowe. </w:t>
            </w:r>
            <w:r>
              <w:t xml:space="preserve">Te aspekty są uwzględniane w ramach </w:t>
            </w:r>
            <w:r w:rsidRPr="00F31F51">
              <w:t>wdrażania standardów wspierających odporność infrastruktury liniowej</w:t>
            </w:r>
            <w:r>
              <w:t>. Ponadto aKPEiK podkreśla r</w:t>
            </w:r>
            <w:r w:rsidRPr="00F31F51">
              <w:t>ozwijanie energetyki rozproszonej</w:t>
            </w:r>
            <w:r>
              <w:t xml:space="preserve">. Dużą wagę w aKPEiK </w:t>
            </w:r>
            <w:r w:rsidR="000A452C">
              <w:t>przykłada</w:t>
            </w:r>
            <w:r>
              <w:t xml:space="preserve"> </w:t>
            </w:r>
            <w:r>
              <w:lastRenderedPageBreak/>
              <w:t>się do</w:t>
            </w:r>
            <w:r w:rsidRPr="00F31F51">
              <w:t xml:space="preserve"> magazynowani</w:t>
            </w:r>
            <w:r>
              <w:t>a</w:t>
            </w:r>
            <w:r w:rsidRPr="00F31F51">
              <w:t xml:space="preserve"> energii, rozw</w:t>
            </w:r>
            <w:r>
              <w:t>oju</w:t>
            </w:r>
            <w:r w:rsidRPr="00F31F51">
              <w:t xml:space="preserve"> narzędzi zarządzania popytem oraz dodatkowych źródeł energii, które pozwolą na ciągłość dostaw przy niesprzyjającej pogodzie oraz w sytuacji zwiększonego zapotrzebowania na energię. </w:t>
            </w:r>
          </w:p>
          <w:p w14:paraId="3D2C9BC3" w14:textId="77777777" w:rsidR="00D8615F" w:rsidRDefault="00D8615F" w:rsidP="000A452C">
            <w:pPr>
              <w:spacing w:line="22" w:lineRule="atLeast"/>
            </w:pPr>
            <w:r w:rsidRPr="00F31F51">
              <w:t>W ciepłownictwie systemowym obok rozwoju zeroemisyjnych źródeł, pozytywnym działaniem jest dostosowywanie istniejących i budowa nowych sieci w systemie niskotemperaturowym.</w:t>
            </w:r>
          </w:p>
          <w:p w14:paraId="7360699E" w14:textId="6C638BBE" w:rsidR="00D8615F" w:rsidRDefault="00D8615F" w:rsidP="000A452C">
            <w:pPr>
              <w:spacing w:line="22" w:lineRule="atLeast"/>
            </w:pPr>
            <w:r>
              <w:t>(c) Polska przedstawiła prognozowaną moc zainstalowaną w energetyce jądrowej w załączniku 1 do aKPEiK oraz kierunkowo w aKPEiK</w:t>
            </w:r>
            <w:r w:rsidR="00286FDD">
              <w:t xml:space="preserve"> (Cel 1.1.2 oraz Cel 3.8.</w:t>
            </w:r>
            <w:r w:rsidR="009B64EB">
              <w:t>1</w:t>
            </w:r>
            <w:r w:rsidR="00286FDD">
              <w:t>)</w:t>
            </w:r>
            <w:r>
              <w:t xml:space="preserve">. </w:t>
            </w:r>
          </w:p>
          <w:p w14:paraId="54C0D42C" w14:textId="25E30DA8" w:rsidR="00D8615F" w:rsidRDefault="00D8615F" w:rsidP="000A452C">
            <w:pPr>
              <w:spacing w:line="22" w:lineRule="atLeast"/>
              <w:rPr>
                <w:rFonts w:eastAsia="Lato" w:cs="Lato"/>
              </w:rPr>
            </w:pPr>
            <w:r w:rsidRPr="4D796C50">
              <w:rPr>
                <w:rFonts w:eastAsia="Lato" w:cs="Lato"/>
              </w:rPr>
              <w:t xml:space="preserve">Przedstawienie „konkretnych etapów i harmonogramu dla nowych projektów budowy” </w:t>
            </w:r>
            <w:r>
              <w:rPr>
                <w:rFonts w:eastAsia="Lato" w:cs="Lato"/>
              </w:rPr>
              <w:t xml:space="preserve">jest przedmiotem </w:t>
            </w:r>
            <w:r w:rsidRPr="000A2EA9">
              <w:rPr>
                <w:rFonts w:eastAsia="Lato" w:cs="Lato"/>
                <w:i/>
                <w:iCs/>
              </w:rPr>
              <w:t>Polskiego programu energetyki jądrowej</w:t>
            </w:r>
            <w:r>
              <w:rPr>
                <w:rFonts w:eastAsia="Lato" w:cs="Lato"/>
              </w:rPr>
              <w:t>, w takim zakresie, w jakim dozwala na to tajemnica przedsiębiorstwa.</w:t>
            </w:r>
            <w:r w:rsidR="000A2EA9">
              <w:rPr>
                <w:rFonts w:eastAsia="Lato" w:cs="Lato"/>
              </w:rPr>
              <w:t xml:space="preserve"> </w:t>
            </w:r>
          </w:p>
          <w:p w14:paraId="04988CE8" w14:textId="77777777" w:rsidR="00D8615F" w:rsidRDefault="00D8615F" w:rsidP="000A452C">
            <w:r>
              <w:t xml:space="preserve">(d) </w:t>
            </w:r>
            <w:r w:rsidRPr="4D796C50">
              <w:t xml:space="preserve">W perspektywie kilkuletniej istnieje prawdopodobieństwo </w:t>
            </w:r>
            <w:r>
              <w:t xml:space="preserve">(lub ryzyko) </w:t>
            </w:r>
            <w:r w:rsidRPr="4D796C50">
              <w:t xml:space="preserve">dalszego wzrostu konsumpcji paliw w </w:t>
            </w:r>
            <w:r>
              <w:t>Polsce</w:t>
            </w:r>
            <w:r w:rsidRPr="4D796C50">
              <w:t xml:space="preserve">, co </w:t>
            </w:r>
            <w:r>
              <w:t xml:space="preserve">wpływa również na </w:t>
            </w:r>
            <w:r w:rsidRPr="4D796C50">
              <w:t>realizację celów OZE w transporcie oraz podnosi koszt transformacji (</w:t>
            </w:r>
            <w:r>
              <w:t xml:space="preserve">ze względu na </w:t>
            </w:r>
            <w:r w:rsidRPr="4D796C50">
              <w:t>skal</w:t>
            </w:r>
            <w:r>
              <w:t>ę</w:t>
            </w:r>
            <w:r w:rsidRPr="4D796C50">
              <w:t xml:space="preserve"> koniecznych inwestycji). </w:t>
            </w:r>
          </w:p>
          <w:p w14:paraId="6B62497D" w14:textId="77777777" w:rsidR="00D8615F" w:rsidRDefault="00D8615F" w:rsidP="000A452C">
            <w:r w:rsidRPr="4D796C50">
              <w:t>Wykorzystanie obecnej infrastruktury: rafineryjnej, baz paliw czy rurociągowej jest możliwe w dużym zakresie, w przypadku realizacji rozwoju wskazanych wyżej rozwiązań: stosowania biopaliw, w tym zaawansowanych (</w:t>
            </w:r>
            <w:proofErr w:type="spellStart"/>
            <w:r w:rsidRPr="4D796C50">
              <w:t>blending</w:t>
            </w:r>
            <w:proofErr w:type="spellEnd"/>
            <w:r w:rsidRPr="4D796C50">
              <w:t xml:space="preserve">), biopaliw samoistnych (HVO), paliw RCF czy RFNBO. </w:t>
            </w:r>
          </w:p>
          <w:p w14:paraId="34AA3CDE" w14:textId="77777777" w:rsidR="00D8615F" w:rsidRDefault="00D8615F" w:rsidP="000A452C">
            <w:r w:rsidRPr="4D796C50">
              <w:t>Z względów bezpieczeństwa oraz ekonomicznych zasadne jest utrzymywanie odpowiednich poziomów zapasów paliw (w tym odnawialnych) z wykorzystaniem posiadanej infrastruktury produkcji i komponowania paliw.</w:t>
            </w:r>
          </w:p>
          <w:p w14:paraId="4C09B414" w14:textId="555626F3" w:rsidR="00D8615F" w:rsidRPr="00903ABF" w:rsidRDefault="00D8615F" w:rsidP="000A452C">
            <w:pPr>
              <w:spacing w:line="22" w:lineRule="atLeast"/>
              <w:rPr>
                <w:rFonts w:eastAsia="Lato" w:cs="Lato"/>
              </w:rPr>
            </w:pPr>
            <w:r w:rsidRPr="4D796C50">
              <w:t>Także infrastruktura paliw gazowych może być wykorzystana</w:t>
            </w:r>
            <w:r w:rsidR="0046353F">
              <w:t>,</w:t>
            </w:r>
            <w:r w:rsidRPr="4D796C50">
              <w:t xml:space="preserve"> a paliwo np. autogaz czy gaz ziemny, może być zastąpione odnawialnym, niskoemisyjnym paliwem, odpowiednio: </w:t>
            </w:r>
            <w:proofErr w:type="spellStart"/>
            <w:r w:rsidRPr="4D796C50">
              <w:t>bioLPG</w:t>
            </w:r>
            <w:proofErr w:type="spellEnd"/>
            <w:r w:rsidRPr="4D796C50">
              <w:t xml:space="preserve"> lub </w:t>
            </w:r>
            <w:proofErr w:type="spellStart"/>
            <w:r w:rsidRPr="4D796C50">
              <w:t>bioLNG</w:t>
            </w:r>
            <w:proofErr w:type="spellEnd"/>
            <w:r w:rsidRPr="4D796C50">
              <w:t xml:space="preserve">/CNG </w:t>
            </w:r>
            <w:r>
              <w:t>–</w:t>
            </w:r>
            <w:r w:rsidRPr="4D796C50">
              <w:t xml:space="preserve"> zwłaszcza w sektorze transportu ciężkiego.</w:t>
            </w:r>
          </w:p>
        </w:tc>
      </w:tr>
      <w:tr w:rsidR="00D8615F" w:rsidRPr="00410B57" w14:paraId="1A178D4B" w14:textId="77777777" w:rsidTr="00DA5F7C">
        <w:tc>
          <w:tcPr>
            <w:tcW w:w="6093" w:type="dxa"/>
          </w:tcPr>
          <w:p w14:paraId="3394ECBE" w14:textId="77777777" w:rsidR="00D8615F" w:rsidRPr="004059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4059E7">
              <w:rPr>
                <w:b/>
                <w:bCs/>
              </w:rPr>
              <w:lastRenderedPageBreak/>
              <w:t>[DSR]</w:t>
            </w:r>
          </w:p>
          <w:p w14:paraId="734B11EF" w14:textId="77777777" w:rsidR="00D8615F" w:rsidRPr="00AC7562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757849">
              <w:t xml:space="preserve">KE zaleca, aby Polska </w:t>
            </w:r>
            <w:r>
              <w:t>p</w:t>
            </w:r>
            <w:r w:rsidRPr="00AC7562">
              <w:t xml:space="preserve">rzedstawiła jasne założenia i cele dotyczące odpowiedzi odbioru z myślą o zwiększeniu elastyczności systemu energetycznego w świetle oceny potrzeb w zakresie elastyczności oraz opisała, jak Polska zamierza ułatwiać integrację systemu energetycznego w kontekście art. 20a zmienionej dyrektywy (UE) 2018/2001.  </w:t>
            </w:r>
          </w:p>
        </w:tc>
        <w:tc>
          <w:tcPr>
            <w:tcW w:w="8655" w:type="dxa"/>
          </w:tcPr>
          <w:p w14:paraId="1D9A627C" w14:textId="77777777" w:rsidR="00D8615F" w:rsidRDefault="00D8615F" w:rsidP="00AD392E">
            <w:pPr>
              <w:spacing w:after="60" w:line="22" w:lineRule="atLeast"/>
              <w:rPr>
                <w:rFonts w:eastAsia="Lato" w:cs="Lato"/>
              </w:rPr>
            </w:pPr>
            <w:r>
              <w:rPr>
                <w:rFonts w:eastAsia="Lato" w:cs="Lato"/>
              </w:rPr>
              <w:t>U</w:t>
            </w:r>
            <w:r w:rsidRPr="4D796C50">
              <w:rPr>
                <w:rFonts w:eastAsia="Lato" w:cs="Lato"/>
              </w:rPr>
              <w:t xml:space="preserve">stawą z dnia 28 lipca 2023 r. </w:t>
            </w:r>
            <w:r w:rsidRPr="4D796C50">
              <w:rPr>
                <w:rFonts w:eastAsia="Lato" w:cs="Lato"/>
                <w:i/>
                <w:iCs/>
              </w:rPr>
              <w:t>o zmianie ustawy – Prawo energetyczne oraz niektórych innych ustaw</w:t>
            </w:r>
            <w:r w:rsidRPr="4D796C50">
              <w:rPr>
                <w:rFonts w:eastAsia="Lato" w:cs="Lato"/>
              </w:rPr>
              <w:t xml:space="preserve"> wprowadzono do polskiego prawa:</w:t>
            </w:r>
          </w:p>
          <w:p w14:paraId="46C0E66C" w14:textId="77777777" w:rsidR="00D8615F" w:rsidRPr="001F0099" w:rsidRDefault="00D8615F" w:rsidP="00D43516">
            <w:pPr>
              <w:pStyle w:val="Akapitzlist"/>
              <w:numPr>
                <w:ilvl w:val="0"/>
                <w:numId w:val="23"/>
              </w:numPr>
              <w:spacing w:line="22" w:lineRule="atLeast"/>
              <w:ind w:left="412"/>
            </w:pPr>
            <w:r w:rsidRPr="001F0099">
              <w:rPr>
                <w:rFonts w:eastAsia="Lato" w:cs="Lato"/>
              </w:rPr>
              <w:t xml:space="preserve">definicję usług elastyczności (art. 3 pkt 11k), </w:t>
            </w:r>
          </w:p>
          <w:p w14:paraId="715490A0" w14:textId="77777777" w:rsidR="00D8615F" w:rsidRPr="001F0099" w:rsidRDefault="00D8615F" w:rsidP="00D43516">
            <w:pPr>
              <w:pStyle w:val="Akapitzlist"/>
              <w:numPr>
                <w:ilvl w:val="0"/>
                <w:numId w:val="23"/>
              </w:numPr>
              <w:spacing w:line="22" w:lineRule="atLeast"/>
              <w:ind w:left="412"/>
            </w:pPr>
            <w:r w:rsidRPr="001F0099">
              <w:rPr>
                <w:rFonts w:eastAsia="Lato" w:cs="Lato"/>
              </w:rPr>
              <w:t xml:space="preserve">agregacji (pkt 6e) i agregatora (pkt 6f) precyzując jego zadania i uprawnienia, </w:t>
            </w:r>
          </w:p>
          <w:p w14:paraId="543D50B2" w14:textId="77777777" w:rsidR="00D8615F" w:rsidRPr="001F0099" w:rsidRDefault="00D8615F" w:rsidP="00D43516">
            <w:pPr>
              <w:pStyle w:val="Akapitzlist"/>
              <w:numPr>
                <w:ilvl w:val="0"/>
                <w:numId w:val="23"/>
              </w:numPr>
              <w:spacing w:line="22" w:lineRule="atLeast"/>
              <w:ind w:left="412"/>
            </w:pPr>
            <w:r w:rsidRPr="001F0099">
              <w:rPr>
                <w:rFonts w:eastAsia="Lato" w:cs="Lato"/>
              </w:rPr>
              <w:t xml:space="preserve">przepisy dotyczące odpowiedzi odbioru (pkt 11j) </w:t>
            </w:r>
          </w:p>
          <w:p w14:paraId="4F4D9F32" w14:textId="77777777" w:rsidR="00D8615F" w:rsidRPr="001F0099" w:rsidRDefault="00D8615F" w:rsidP="00D43516">
            <w:pPr>
              <w:pStyle w:val="Akapitzlist"/>
              <w:numPr>
                <w:ilvl w:val="0"/>
                <w:numId w:val="23"/>
              </w:numPr>
              <w:spacing w:line="22" w:lineRule="atLeast"/>
              <w:ind w:left="412"/>
            </w:pPr>
            <w:r w:rsidRPr="001F0099">
              <w:rPr>
                <w:rFonts w:eastAsia="Lato" w:cs="Lato"/>
              </w:rPr>
              <w:t xml:space="preserve">odbiorcy aktywnego na rynku energii (pkt 13e). </w:t>
            </w:r>
          </w:p>
          <w:p w14:paraId="72FB4CF2" w14:textId="6FE11588" w:rsidR="00D8615F" w:rsidRPr="00AC7562" w:rsidRDefault="00D8615F" w:rsidP="000A452C">
            <w:pPr>
              <w:spacing w:line="22" w:lineRule="atLeast"/>
            </w:pPr>
            <w:r w:rsidRPr="001F0099">
              <w:rPr>
                <w:rFonts w:eastAsia="Lato" w:cs="Lato"/>
              </w:rPr>
              <w:lastRenderedPageBreak/>
              <w:t>Przepisy te wzmacniają rolę odbiorcy końcowego energii elektrycznej jako aktywnego uczestnika rynku energii i umożliwiają mu świadczenie usług elastyczności na rzecz operatora systemu elektroenergetycznego.</w:t>
            </w:r>
          </w:p>
        </w:tc>
      </w:tr>
      <w:tr w:rsidR="00D8615F" w:rsidRPr="00410B57" w14:paraId="7BC254AB" w14:textId="77777777" w:rsidTr="00DA5F7C">
        <w:tc>
          <w:tcPr>
            <w:tcW w:w="6093" w:type="dxa"/>
          </w:tcPr>
          <w:p w14:paraId="1494236E" w14:textId="77777777" w:rsidR="00D8615F" w:rsidRPr="004059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4059E7">
              <w:rPr>
                <w:b/>
                <w:bCs/>
              </w:rPr>
              <w:lastRenderedPageBreak/>
              <w:t>[Ubóstwo energetyczne]</w:t>
            </w:r>
          </w:p>
          <w:p w14:paraId="121FFABF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757849">
              <w:t>KE zaleca, aby Polska</w:t>
            </w:r>
          </w:p>
          <w:p w14:paraId="6FE3254F" w14:textId="77777777" w:rsidR="00D8615F" w:rsidRDefault="00D8615F" w:rsidP="00D43516">
            <w:pPr>
              <w:pStyle w:val="Akapitzlist"/>
              <w:numPr>
                <w:ilvl w:val="0"/>
                <w:numId w:val="12"/>
              </w:numPr>
              <w:spacing w:after="60" w:line="22" w:lineRule="atLeast"/>
            </w:pPr>
            <w:r>
              <w:t>R</w:t>
            </w:r>
            <w:r w:rsidRPr="00AC7562">
              <w:t xml:space="preserve">ozwinęła dalej podejście do rozwiązania problemu ubóstwa energetycznego poprzez uwzględnienie oceny sytuacji gospodarstw domowych obecnie dotkniętych takim ubóstwem. </w:t>
            </w:r>
          </w:p>
          <w:p w14:paraId="781B432E" w14:textId="77777777" w:rsidR="00D8615F" w:rsidRDefault="00D8615F" w:rsidP="00D43516">
            <w:pPr>
              <w:pStyle w:val="Akapitzlist"/>
              <w:numPr>
                <w:ilvl w:val="0"/>
                <w:numId w:val="12"/>
              </w:numPr>
              <w:spacing w:after="60" w:line="22" w:lineRule="atLeast"/>
            </w:pPr>
            <w:r w:rsidRPr="00AC7562">
              <w:t xml:space="preserve">Dokładniej opisała konkretny wymierny cel ograniczenia tego ubóstwa zgodnie z wymogami rozporządzenia (UE) 2018/1999 i z uwzględnieniem zalecenia Komisji (UE) 2023/2407. </w:t>
            </w:r>
          </w:p>
          <w:p w14:paraId="48ED22BD" w14:textId="77777777" w:rsidR="00D8615F" w:rsidRPr="00AC7562" w:rsidRDefault="00D8615F" w:rsidP="00D43516">
            <w:pPr>
              <w:pStyle w:val="Akapitzlist"/>
              <w:numPr>
                <w:ilvl w:val="0"/>
                <w:numId w:val="12"/>
              </w:numPr>
              <w:spacing w:after="60" w:line="22" w:lineRule="atLeast"/>
            </w:pPr>
            <w:r w:rsidRPr="00AC7562">
              <w:t xml:space="preserve">Przedstawiła dodatkowe szczegółowe informacje na temat istniejących i potencjalnych środków służących rozwiązaniu problemu ubóstwa energetycznego oraz na temat zasobów finansowych przeznaczonych na ten cel zarówno z perspektywy polityki społecznej (przystępność cenowa), jak i strukturalnych środków na rzecz energii. </w:t>
            </w:r>
          </w:p>
        </w:tc>
        <w:tc>
          <w:tcPr>
            <w:tcW w:w="8655" w:type="dxa"/>
          </w:tcPr>
          <w:p w14:paraId="2903F07A" w14:textId="5FC46203" w:rsidR="00D8615F" w:rsidRPr="001F0099" w:rsidRDefault="00D8615F" w:rsidP="000A452C">
            <w:pPr>
              <w:spacing w:line="22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1F0099">
              <w:rPr>
                <w:color w:val="000000" w:themeColor="text1"/>
              </w:rPr>
              <w:t>a)</w:t>
            </w:r>
            <w:r>
              <w:rPr>
                <w:color w:val="000000" w:themeColor="text1"/>
              </w:rPr>
              <w:t xml:space="preserve"> i (b)</w:t>
            </w:r>
            <w:r w:rsidRPr="001F0099">
              <w:rPr>
                <w:color w:val="000000" w:themeColor="text1"/>
              </w:rPr>
              <w:tab/>
              <w:t>Ubóstwo energetyczne uzależnione jest od różnych czynników</w:t>
            </w:r>
            <w:r>
              <w:rPr>
                <w:color w:val="000000" w:themeColor="text1"/>
              </w:rPr>
              <w:t>,</w:t>
            </w:r>
            <w:r w:rsidRPr="001F0099">
              <w:rPr>
                <w:color w:val="000000" w:themeColor="text1"/>
              </w:rPr>
              <w:t xml:space="preserve"> m.in. od jakości tkanki mieszkaniowej i związanej z tym niskiej efektywności energetycznej (budynków i urządzeń), która przyczynia się do ponoszenia wysokich kosztów energii zużywanej przede wszystkim na ogrzewanie, dostępności nośników energii, poziomu dochodów gospodarstw domowych, a także czynników behawioralnych (nawyki odbiorców niesprzyjające oszczędzaniu energii). Polska będzie proponować rozwiązania i programy mające na celu rozwiązywanie tych problemów co powinno przełożyć się na zmniejszanie poziomu ubóstwa energetycznego. </w:t>
            </w:r>
            <w:r w:rsidR="00E27E99">
              <w:rPr>
                <w:color w:val="000000" w:themeColor="text1"/>
              </w:rPr>
              <w:t xml:space="preserve">aKPEiK wskazuje kluczowe elementy diagnozy sytuacji i podejmowanych działań, ale są to </w:t>
            </w:r>
            <w:r w:rsidR="00623D79">
              <w:rPr>
                <w:color w:val="000000" w:themeColor="text1"/>
              </w:rPr>
              <w:t>kwes</w:t>
            </w:r>
            <w:r w:rsidR="00E27E99">
              <w:rPr>
                <w:color w:val="000000" w:themeColor="text1"/>
              </w:rPr>
              <w:t>tie bardzo złożone</w:t>
            </w:r>
            <w:r w:rsidR="0039249F">
              <w:rPr>
                <w:color w:val="000000" w:themeColor="text1"/>
              </w:rPr>
              <w:t xml:space="preserve">. </w:t>
            </w:r>
            <w:r w:rsidR="00FC24C2">
              <w:rPr>
                <w:color w:val="000000" w:themeColor="text1"/>
              </w:rPr>
              <w:t>Już sam sposób prowadzenia transformacji powinien przyczyniać się do redukcji ubóstwa energetycznego, poprzez wpływanie na akceptowalność cen energii</w:t>
            </w:r>
            <w:r w:rsidR="00A53B47">
              <w:rPr>
                <w:color w:val="000000" w:themeColor="text1"/>
              </w:rPr>
              <w:t xml:space="preserve">, </w:t>
            </w:r>
            <w:r w:rsidR="00557B9F">
              <w:rPr>
                <w:color w:val="000000" w:themeColor="text1"/>
              </w:rPr>
              <w:t xml:space="preserve">czy </w:t>
            </w:r>
            <w:r w:rsidR="00A53B47">
              <w:rPr>
                <w:color w:val="000000" w:themeColor="text1"/>
              </w:rPr>
              <w:t>szeroko zakrojone programy termomodernizacyjne.</w:t>
            </w:r>
            <w:r w:rsidR="0039249F">
              <w:rPr>
                <w:color w:val="000000" w:themeColor="text1"/>
              </w:rPr>
              <w:t xml:space="preserve"> </w:t>
            </w:r>
          </w:p>
          <w:p w14:paraId="3FBE8BB0" w14:textId="7DCDE844" w:rsidR="00D8615F" w:rsidRDefault="00D8615F" w:rsidP="00E91D87">
            <w:pPr>
              <w:spacing w:line="22" w:lineRule="atLeast"/>
              <w:rPr>
                <w:color w:val="000000" w:themeColor="text1"/>
              </w:rPr>
            </w:pPr>
            <w:r w:rsidRPr="001F0099">
              <w:rPr>
                <w:color w:val="000000" w:themeColor="text1"/>
              </w:rPr>
              <w:t>Dane dotyczące skali zjawiska ubóstwa energetycznego są zbierane w ramach statystyki publicznej prowadzonej przez Prezesa GUS i ministra właściwego ds. energii.</w:t>
            </w:r>
            <w:r w:rsidR="00C2213D">
              <w:rPr>
                <w:color w:val="000000" w:themeColor="text1"/>
              </w:rPr>
              <w:t xml:space="preserve"> Dodatkowo </w:t>
            </w:r>
            <w:r w:rsidR="00E91D87">
              <w:rPr>
                <w:color w:val="000000" w:themeColor="text1"/>
              </w:rPr>
              <w:t xml:space="preserve">przewiduje się pewna modyfikację badań statystycznych, w celu pozyskania jak właściwych danych do oceny zjawiska i oddziaływania na nie. </w:t>
            </w:r>
          </w:p>
          <w:p w14:paraId="0C01C179" w14:textId="5F54802C" w:rsidR="00D8615F" w:rsidRDefault="0091392D" w:rsidP="000A452C">
            <w:pPr>
              <w:spacing w:line="22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Zmodyfikowano cel do</w:t>
            </w:r>
            <w:r w:rsidR="00A52BCD">
              <w:rPr>
                <w:color w:val="000000" w:themeColor="text1"/>
              </w:rPr>
              <w:t xml:space="preserve">tyczący ubóstwa </w:t>
            </w:r>
            <w:r w:rsidR="00306EC0">
              <w:rPr>
                <w:color w:val="000000" w:themeColor="text1"/>
              </w:rPr>
              <w:t>energetycznego</w:t>
            </w:r>
            <w:r w:rsidR="00F11CD7">
              <w:rPr>
                <w:color w:val="000000" w:themeColor="text1"/>
              </w:rPr>
              <w:t xml:space="preserve">. </w:t>
            </w:r>
          </w:p>
          <w:p w14:paraId="3A67ECF7" w14:textId="47C60169" w:rsidR="00D8615F" w:rsidRDefault="00D8615F" w:rsidP="000A452C">
            <w:pPr>
              <w:spacing w:line="22" w:lineRule="atLeast"/>
            </w:pPr>
            <w:r>
              <w:rPr>
                <w:color w:val="000000" w:themeColor="text1"/>
              </w:rPr>
              <w:t>(c)</w:t>
            </w:r>
            <w:r>
              <w:t xml:space="preserve"> Z uwagi na złożoność zjawiska podejmowane są różnego rodzaju środki zaradcze. </w:t>
            </w:r>
            <w:r w:rsidR="005D6C81">
              <w:t>Dla przykładu – w</w:t>
            </w:r>
            <w:r>
              <w:t xml:space="preserve"> okresie od stycznia 2023 r. do 30 czerwca 2024 r. zastosowano narzędzie w postaci „zamrożenia” cen i stawek opłat dla wszystkich odbiorców w gospodarstwach domowych na poziomie z 2022 r, z okresu sprzed ich wzrostu. Dodatkowo dla osób o niskich dochodach stosowano okresowe wsparcie pieniężne w postaci tzw. dodatku osłonowego. Tego typu informacji nie przedstawiano w aKPEiK ze względu na to, że system został zakończony, ale także miał – co do zasady – charakter doraźny. </w:t>
            </w:r>
          </w:p>
          <w:p w14:paraId="3FFA8770" w14:textId="77777777" w:rsidR="00D8615F" w:rsidRDefault="00D8615F" w:rsidP="000A452C">
            <w:pPr>
              <w:spacing w:line="22" w:lineRule="atLeast"/>
            </w:pPr>
            <w:r>
              <w:t xml:space="preserve">Usuwaniu przyczyn zjawiska ubóstwa energetycznego służą opisane w aKPEiK programy renowacji budynków i wymiany źródeł ogrzewania takie jak „Czyste Powietrze”. Programy edukacyjne, jak np. prowadzona w latach 2022-2023 kampania „Inteligentne w Energetyce” mają na celu zwiększenie świadomości konsumentów w zakresie korzyści związanych z rozwojem inteligentnych sieci energetycznych, inteligentnego opomiarowania, ale również w zakresie podejmowania prostych działań behawioralnych na rzecz oszczędzania energii.   </w:t>
            </w:r>
          </w:p>
          <w:p w14:paraId="4ACADB10" w14:textId="70B425E2" w:rsidR="00D8615F" w:rsidRPr="00AC7562" w:rsidRDefault="00D8615F" w:rsidP="00C8399D">
            <w:pPr>
              <w:spacing w:line="22" w:lineRule="atLeast"/>
            </w:pPr>
            <w:r>
              <w:lastRenderedPageBreak/>
              <w:t>Na kolejne lata planowany jest kompleksowy program walki z ubóstwem energetycznym. Obok bezpośrednich dopłat dla osób o najniższych dochodach (które będą wypłacane w wyższej wysokości dla gospodarstw korzystających z energii elektrycznej do ogrzewania mieszkań), rozważa wprowadzenie dofinansowania rozwiązań poprawiających efektywność energetyczną w szerszym niż dotąd zakresie (w tym np. wykonanie audytu energetycznego budynku czy wymianę AGD na urządzenia o wyższej klasie energetycznej), a także działania edukacyjne.</w:t>
            </w:r>
            <w:r w:rsidR="00D734C8">
              <w:t xml:space="preserve"> Zostało to </w:t>
            </w:r>
            <w:r w:rsidR="00C8399D">
              <w:t>wskazane</w:t>
            </w:r>
            <w:r w:rsidR="00D734C8">
              <w:t xml:space="preserve"> w aKPEiK. </w:t>
            </w:r>
            <w:r w:rsidR="00C8399D">
              <w:t xml:space="preserve"> </w:t>
            </w:r>
            <w:r>
              <w:t xml:space="preserve">Więcej w tym obszarze </w:t>
            </w:r>
            <w:r w:rsidR="00C8399D">
              <w:t xml:space="preserve">znajdzie </w:t>
            </w:r>
            <w:r>
              <w:t xml:space="preserve">się w </w:t>
            </w:r>
            <w:r w:rsidR="00716E85">
              <w:rPr>
                <w:i/>
                <w:iCs/>
              </w:rPr>
              <w:t>P</w:t>
            </w:r>
            <w:r w:rsidR="00716E85" w:rsidRPr="00C8399D">
              <w:rPr>
                <w:i/>
                <w:iCs/>
              </w:rPr>
              <w:t xml:space="preserve">lanie </w:t>
            </w:r>
            <w:r w:rsidR="00716E85">
              <w:rPr>
                <w:i/>
                <w:iCs/>
              </w:rPr>
              <w:t>Społeczno-K</w:t>
            </w:r>
            <w:r w:rsidR="00716E85" w:rsidRPr="00C8399D">
              <w:rPr>
                <w:i/>
                <w:iCs/>
              </w:rPr>
              <w:t>limatycznym</w:t>
            </w:r>
            <w:r>
              <w:t xml:space="preserve">. </w:t>
            </w:r>
          </w:p>
        </w:tc>
      </w:tr>
      <w:tr w:rsidR="00D8615F" w:rsidRPr="00410B57" w14:paraId="35AECA13" w14:textId="77777777" w:rsidTr="00DA5F7C">
        <w:tc>
          <w:tcPr>
            <w:tcW w:w="6093" w:type="dxa"/>
          </w:tcPr>
          <w:p w14:paraId="69370EF7" w14:textId="77777777" w:rsidR="00D8615F" w:rsidRPr="004059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4059E7">
              <w:rPr>
                <w:b/>
                <w:bCs/>
              </w:rPr>
              <w:lastRenderedPageBreak/>
              <w:t>[B+R+I]</w:t>
            </w:r>
          </w:p>
          <w:p w14:paraId="00461AD6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757849">
              <w:t xml:space="preserve">KE zaleca, aby Polska </w:t>
            </w:r>
          </w:p>
          <w:p w14:paraId="1C8035F2" w14:textId="77777777" w:rsidR="00D8615F" w:rsidRDefault="00D8615F" w:rsidP="00D43516">
            <w:pPr>
              <w:pStyle w:val="Akapitzlist"/>
              <w:numPr>
                <w:ilvl w:val="0"/>
                <w:numId w:val="13"/>
              </w:numPr>
              <w:spacing w:after="60" w:line="22" w:lineRule="atLeast"/>
            </w:pPr>
            <w:r w:rsidRPr="00AC7562">
              <w:t xml:space="preserve">Doprecyzowała krajowe cele w zakresie badań naukowych, innowacji i konkurencyjności na potrzeby wykorzystywania czystych technologii i wytyczyła drogę na lata 2030 i 2050 z myślą o wsparciu obniżenia emisyjności przemysłu i propagowaniu przejścia przedsiębiorstw na gospodarkę neutralną emisyjnie o obiegu zamkniętym. </w:t>
            </w:r>
          </w:p>
          <w:p w14:paraId="7DA25336" w14:textId="77777777" w:rsidR="00D8615F" w:rsidRDefault="00D8615F" w:rsidP="00D43516">
            <w:pPr>
              <w:pStyle w:val="Akapitzlist"/>
              <w:numPr>
                <w:ilvl w:val="0"/>
                <w:numId w:val="13"/>
              </w:numPr>
              <w:spacing w:after="60" w:line="22" w:lineRule="atLeast"/>
            </w:pPr>
            <w:r w:rsidRPr="00AC7562">
              <w:t xml:space="preserve">Przedstawiła polityki i środki mające na celu propagowanie opracowywania projektów neutralnych emisyjnie, w tym projektów istotnych dla energochłonnych sektorów przemysłu. </w:t>
            </w:r>
          </w:p>
          <w:p w14:paraId="575F4616" w14:textId="77777777" w:rsidR="00D8615F" w:rsidRDefault="00D8615F" w:rsidP="00D43516">
            <w:pPr>
              <w:pStyle w:val="Akapitzlist"/>
              <w:numPr>
                <w:ilvl w:val="0"/>
                <w:numId w:val="13"/>
              </w:numPr>
              <w:spacing w:after="60" w:line="22" w:lineRule="atLeast"/>
            </w:pPr>
            <w:r w:rsidRPr="00AC7562">
              <w:t xml:space="preserve">Opisała przewidywalne i uproszczone ramy regulacyjne dotyczące procedur udzielania pozwoleń oraz sposób, w jaki dostęp do finansowania krajowego zostanie uproszczony w razie potrzeby. </w:t>
            </w:r>
          </w:p>
          <w:p w14:paraId="7D10A36A" w14:textId="77777777" w:rsidR="00D8615F" w:rsidRPr="00AC7562" w:rsidRDefault="00D8615F" w:rsidP="00D43516">
            <w:pPr>
              <w:pStyle w:val="Akapitzlist"/>
              <w:numPr>
                <w:ilvl w:val="0"/>
                <w:numId w:val="13"/>
              </w:numPr>
              <w:spacing w:after="60" w:line="22" w:lineRule="atLeast"/>
            </w:pPr>
            <w:r w:rsidRPr="00AC7562">
              <w:t xml:space="preserve">Zapewniła szczegółowe polityki i środki dotyczące rozwoju umiejętności związanych z czystą energią oraz ułatwienia otwartego handlu na rzecz odpornych i zrównoważonych łańcuchów dostaw kluczowych komponentów i urządzeń neutralnych emisyjnie. </w:t>
            </w:r>
          </w:p>
        </w:tc>
        <w:tc>
          <w:tcPr>
            <w:tcW w:w="8655" w:type="dxa"/>
          </w:tcPr>
          <w:p w14:paraId="2B3E7A62" w14:textId="77777777" w:rsidR="00D8615F" w:rsidRDefault="00D8615F" w:rsidP="000A452C">
            <w:pPr>
              <w:spacing w:line="22" w:lineRule="atLeast"/>
            </w:pPr>
            <w:r>
              <w:t>W ocenie Polski już w aKPEiK z 29 lutego 2024 r. określono cel pokrywający zalecenie. Wskazano przede wszystkim docelowy poziom PKB przeznaczony rocznie na badania naukowe – tj. 2,5%.</w:t>
            </w:r>
          </w:p>
          <w:p w14:paraId="16E9D599" w14:textId="740D54B5" w:rsidR="00D8615F" w:rsidRDefault="00D8615F" w:rsidP="000A452C">
            <w:pPr>
              <w:spacing w:line="22" w:lineRule="atLeast"/>
            </w:pPr>
            <w:r>
              <w:t>W projekcie doprecyzowano pakiet ulg, ułatwień i zachęt do większego poziomu inwestycji w</w:t>
            </w:r>
            <w:r w:rsidR="00B73BEB">
              <w:t> </w:t>
            </w:r>
            <w:r>
              <w:t xml:space="preserve">B+R, stanowiących zachęty do innowacyjności. </w:t>
            </w:r>
          </w:p>
          <w:p w14:paraId="12E4A57B" w14:textId="572DEB67" w:rsidR="00CD6162" w:rsidRDefault="00CD6162" w:rsidP="000A452C">
            <w:pPr>
              <w:spacing w:line="22" w:lineRule="atLeast"/>
            </w:pPr>
            <w:r>
              <w:t xml:space="preserve">W końcowej wersji aKPEiK </w:t>
            </w:r>
            <w:r w:rsidR="002720C4">
              <w:t>rozbudowano treść dotycz</w:t>
            </w:r>
            <w:r w:rsidR="00274044">
              <w:t>ą</w:t>
            </w:r>
            <w:r w:rsidR="002720C4">
              <w:t>c</w:t>
            </w:r>
            <w:r w:rsidR="00CA6893">
              <w:t>ą</w:t>
            </w:r>
            <w:r w:rsidR="002720C4">
              <w:t xml:space="preserve"> </w:t>
            </w:r>
            <w:r w:rsidR="00274044">
              <w:t xml:space="preserve">oczekiwanych obszarów rozwoju, </w:t>
            </w:r>
            <w:r w:rsidR="008428A2">
              <w:t xml:space="preserve">systemu edukacji, a także szczególnej uwagi poświęconej </w:t>
            </w:r>
            <w:r w:rsidR="00261474">
              <w:t>utrzymaniu konkurencyjności obszarów węglowych i wysokoemisyjnych.</w:t>
            </w:r>
          </w:p>
          <w:p w14:paraId="1751B392" w14:textId="77777777" w:rsidR="00D8615F" w:rsidRPr="00AC7562" w:rsidRDefault="00D8615F" w:rsidP="000A452C">
            <w:pPr>
              <w:spacing w:line="22" w:lineRule="atLeast"/>
            </w:pPr>
          </w:p>
        </w:tc>
      </w:tr>
      <w:tr w:rsidR="00D8615F" w:rsidRPr="00410B57" w14:paraId="2E70BCD4" w14:textId="77777777" w:rsidTr="00DA5F7C">
        <w:tc>
          <w:tcPr>
            <w:tcW w:w="6093" w:type="dxa"/>
          </w:tcPr>
          <w:p w14:paraId="0D8B0695" w14:textId="77777777" w:rsidR="00D8615F" w:rsidRPr="004059E7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4059E7">
              <w:rPr>
                <w:b/>
                <w:bCs/>
              </w:rPr>
              <w:t>[Potrzeby inwestycyjne</w:t>
            </w:r>
            <w:r>
              <w:rPr>
                <w:b/>
                <w:bCs/>
              </w:rPr>
              <w:t xml:space="preserve"> i źródła finansowania</w:t>
            </w:r>
            <w:r w:rsidRPr="004059E7">
              <w:rPr>
                <w:b/>
                <w:bCs/>
              </w:rPr>
              <w:t>]</w:t>
            </w:r>
          </w:p>
          <w:p w14:paraId="29884724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>
              <w:t>KE zaleca, aby Polska:</w:t>
            </w:r>
          </w:p>
          <w:p w14:paraId="6C1DEEB7" w14:textId="77777777" w:rsidR="00D8615F" w:rsidRDefault="00D8615F" w:rsidP="00D43516">
            <w:pPr>
              <w:pStyle w:val="Akapitzlist"/>
              <w:numPr>
                <w:ilvl w:val="0"/>
                <w:numId w:val="14"/>
              </w:numPr>
              <w:spacing w:after="60" w:line="22" w:lineRule="atLeast"/>
            </w:pPr>
            <w:r>
              <w:lastRenderedPageBreak/>
              <w:t>Określiła</w:t>
            </w:r>
            <w:r w:rsidRPr="00AC7562">
              <w:t xml:space="preserve"> reformy i środki mające na celu uruchomienie inwestycji prywatnych niezbędnych do osiągnięcia celów w zakresie energii i klimatu. </w:t>
            </w:r>
          </w:p>
          <w:p w14:paraId="535BDCFD" w14:textId="77777777" w:rsidR="00D8615F" w:rsidRDefault="00D8615F" w:rsidP="00D43516">
            <w:pPr>
              <w:pStyle w:val="Akapitzlist"/>
              <w:numPr>
                <w:ilvl w:val="0"/>
                <w:numId w:val="14"/>
              </w:numPr>
              <w:spacing w:after="60" w:line="22" w:lineRule="atLeast"/>
            </w:pPr>
            <w:r w:rsidRPr="00AC7562">
              <w:t xml:space="preserve">Udoskonaliła i rozszerzyła analizę potrzeb inwestycyjnych, tak aby obejmowała kompleksowy i spójny przegląd potrzeb w zakresie inwestycji publicznych i prywatnych w ujęciu łącznym i w podziale na sektory. </w:t>
            </w:r>
          </w:p>
          <w:p w14:paraId="0639AF27" w14:textId="77777777" w:rsidR="00D8615F" w:rsidRDefault="00D8615F" w:rsidP="00D43516">
            <w:pPr>
              <w:pStyle w:val="Akapitzlist"/>
              <w:numPr>
                <w:ilvl w:val="0"/>
                <w:numId w:val="14"/>
              </w:numPr>
              <w:spacing w:after="60" w:line="22" w:lineRule="atLeast"/>
            </w:pPr>
            <w:r w:rsidRPr="00AC7562">
              <w:t xml:space="preserve">Uzupełniła odgórne podejście ogólnogospodarcze o oddolną ocenę poszczególnych projektów. </w:t>
            </w:r>
          </w:p>
          <w:p w14:paraId="6E012B74" w14:textId="77777777" w:rsidR="00D8615F" w:rsidRDefault="00D8615F" w:rsidP="00D43516">
            <w:pPr>
              <w:pStyle w:val="Akapitzlist"/>
              <w:numPr>
                <w:ilvl w:val="0"/>
                <w:numId w:val="14"/>
              </w:numPr>
              <w:spacing w:after="60" w:line="22" w:lineRule="atLeast"/>
            </w:pPr>
            <w:r w:rsidRPr="00AC7562">
              <w:t xml:space="preserve">Zamieściła zestawienie całkowitych potrzeb inwestycyjnych wraz z dodatkowymi informacjami na temat krajowych, regionalnych i unijnych źródeł finansowania, a także prywatnych źródeł finansowania, które mają zostać uruchomione. </w:t>
            </w:r>
          </w:p>
          <w:p w14:paraId="3DECFB80" w14:textId="77777777" w:rsidR="00D8615F" w:rsidRDefault="00D8615F" w:rsidP="00D43516">
            <w:pPr>
              <w:pStyle w:val="Akapitzlist"/>
              <w:numPr>
                <w:ilvl w:val="0"/>
                <w:numId w:val="14"/>
              </w:numPr>
              <w:spacing w:after="60" w:line="22" w:lineRule="atLeast"/>
            </w:pPr>
            <w:r w:rsidRPr="00AC7562">
              <w:t xml:space="preserve">Dodała krótki opis rodzaju systemu wsparcia finansowego wybranego w celu wdrożenia polityk i środków, które są finansowane z budżetu publicznego, oraz stosowania mieszanych instrumentów finansowych z wykorzystaniem dotacji, pożyczek, pomocy technicznej i gwarancji publicznych, w tym roli krajowych banków prorozwojowych w odpowiednich systemach lub sposobu uruchamiania finansowania prywatnego. </w:t>
            </w:r>
          </w:p>
          <w:p w14:paraId="477928CE" w14:textId="77777777" w:rsidR="00D8615F" w:rsidRDefault="00D8615F" w:rsidP="00D43516">
            <w:pPr>
              <w:pStyle w:val="Akapitzlist"/>
              <w:numPr>
                <w:ilvl w:val="0"/>
                <w:numId w:val="14"/>
              </w:numPr>
              <w:spacing w:after="60" w:line="22" w:lineRule="atLeast"/>
            </w:pPr>
            <w:r w:rsidRPr="00AC7562">
              <w:t xml:space="preserve">Rozważyła jako źródło finansowania, generowanie – w sposób racjonalny pod względem kosztów – transferów do innych państw członkowskich zgodnie z rozporządzeniem ESR. </w:t>
            </w:r>
          </w:p>
          <w:p w14:paraId="0E1F2F5F" w14:textId="77777777" w:rsidR="00D8615F" w:rsidRPr="00AC7562" w:rsidRDefault="00D8615F" w:rsidP="00D43516">
            <w:pPr>
              <w:pStyle w:val="Akapitzlist"/>
              <w:numPr>
                <w:ilvl w:val="0"/>
                <w:numId w:val="14"/>
              </w:numPr>
              <w:spacing w:after="60" w:line="22" w:lineRule="atLeast"/>
            </w:pPr>
            <w:r w:rsidRPr="00AC7562">
              <w:t xml:space="preserve">Zapewniła rzetelną ocenę makroekonomicznego wpływu planowanych polityk i środków. </w:t>
            </w:r>
          </w:p>
        </w:tc>
        <w:tc>
          <w:tcPr>
            <w:tcW w:w="8655" w:type="dxa"/>
          </w:tcPr>
          <w:p w14:paraId="23B419D0" w14:textId="4A1E35FA" w:rsidR="00D8615F" w:rsidRDefault="00D8615F" w:rsidP="000A452C">
            <w:pPr>
              <w:spacing w:line="22" w:lineRule="atLeast"/>
            </w:pPr>
            <w:r>
              <w:lastRenderedPageBreak/>
              <w:t xml:space="preserve">(a) Intencja tego zalecenia nie jest jasna, gdyż znakomita większość działań i celów określonych w KPEiK opiera się na założeniu uruchomienia inwestycji prywatnych – od inwestycji w OZE, przez </w:t>
            </w:r>
            <w:r>
              <w:lastRenderedPageBreak/>
              <w:t xml:space="preserve">dekarbonizację przemysłu, po wzrost bezpieczeństwa energetycznego. </w:t>
            </w:r>
            <w:r w:rsidR="003F279D">
              <w:t xml:space="preserve">Z założenia środki publiczne na transformację mają charakter wspierający i mnożnikowy. </w:t>
            </w:r>
          </w:p>
          <w:p w14:paraId="4F4F0220" w14:textId="77777777" w:rsidR="00D8615F" w:rsidRDefault="00D8615F" w:rsidP="000A452C">
            <w:pPr>
              <w:spacing w:line="22" w:lineRule="atLeast"/>
            </w:pPr>
            <w:r>
              <w:t>(b) i (d), (e) Zalecenie znajduje pokrycie w załączniku 5. do aKPEiK.</w:t>
            </w:r>
          </w:p>
          <w:p w14:paraId="25115CFE" w14:textId="77777777" w:rsidR="00D8615F" w:rsidRDefault="00D8615F" w:rsidP="000A452C">
            <w:pPr>
              <w:spacing w:line="22" w:lineRule="atLeast"/>
            </w:pPr>
            <w:r>
              <w:t>c) Nie jest jasne, co należy rozumieć przez treść tego zalecenia, gdyż co do zasady KPEiK określa cele, polityki i działania, a nie konkretne projekty.</w:t>
            </w:r>
          </w:p>
          <w:p w14:paraId="26294E2C" w14:textId="77777777" w:rsidR="00D8615F" w:rsidRDefault="00D8615F" w:rsidP="000A452C">
            <w:pPr>
              <w:spacing w:line="22" w:lineRule="atLeast"/>
            </w:pPr>
            <w:r>
              <w:t>f) Aktualnie Polska nie bierze pod uwagę transferów do innych państw. Potrzeby zmian niezbędnych do sfinansowania w kraju i osiągnięcie poziomów średniej europejskiej w wielu obszarach są na tyle wysokie, że zasadne wydaje w pierwszej kolejności przeznaczenie środków na transformację w kraju. Nie wyklucza to realizacji inwestycji w innych państw, lecz pobudką nie powinno być realizowanie celów krajowych.</w:t>
            </w:r>
          </w:p>
          <w:p w14:paraId="19A8B5EB" w14:textId="77777777" w:rsidR="00D8615F" w:rsidRDefault="00D8615F" w:rsidP="000A452C">
            <w:pPr>
              <w:spacing w:line="22" w:lineRule="atLeast"/>
            </w:pPr>
            <w:r>
              <w:t>g) Ocena skutków makroekonomicznych znajduje się w załączniku 1 i 2 do aKPEiK, przy czym jest to zadanie bardzo trudne i narażone na duże prawdopodobieństwo błędu. Wynika to z faktu obszerności analitycznej jak i nie pewności w zakresie poszczególnych cen i niezbędnych nakładów.</w:t>
            </w:r>
          </w:p>
          <w:p w14:paraId="4A4796D6" w14:textId="77777777" w:rsidR="00D8615F" w:rsidRPr="00AC7562" w:rsidRDefault="00D8615F" w:rsidP="000A452C">
            <w:pPr>
              <w:spacing w:line="22" w:lineRule="atLeast"/>
            </w:pPr>
          </w:p>
        </w:tc>
      </w:tr>
      <w:tr w:rsidR="00D8615F" w:rsidRPr="00410B57" w14:paraId="017CA8D3" w14:textId="77777777" w:rsidTr="00BE5AA1">
        <w:trPr>
          <w:trHeight w:val="1170"/>
        </w:trPr>
        <w:tc>
          <w:tcPr>
            <w:tcW w:w="6093" w:type="dxa"/>
          </w:tcPr>
          <w:p w14:paraId="3608CC82" w14:textId="77777777" w:rsidR="00D8615F" w:rsidRPr="0095412F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95412F">
              <w:rPr>
                <w:b/>
                <w:bCs/>
              </w:rPr>
              <w:lastRenderedPageBreak/>
              <w:t>[</w:t>
            </w:r>
            <w:proofErr w:type="spellStart"/>
            <w:r w:rsidRPr="0095412F">
              <w:rPr>
                <w:b/>
                <w:bCs/>
              </w:rPr>
              <w:t>REPowerUE</w:t>
            </w:r>
            <w:proofErr w:type="spellEnd"/>
            <w:r w:rsidRPr="0095412F">
              <w:rPr>
                <w:b/>
                <w:bCs/>
              </w:rPr>
              <w:t xml:space="preserve"> i KPO]</w:t>
            </w:r>
          </w:p>
          <w:p w14:paraId="0A9A799C" w14:textId="77777777" w:rsidR="00D8615F" w:rsidRPr="00AC7562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>
              <w:t>KE zaleca, aby Polska określiła</w:t>
            </w:r>
            <w:r w:rsidRPr="00AC7562">
              <w:t xml:space="preserve">, w jaki sposób polityki i środki zawarte w zaktualizowanym planie są zgodne z polskim krajowym planem odbudowy i zwiększania odporności, w tym rozdziałem </w:t>
            </w:r>
            <w:proofErr w:type="spellStart"/>
            <w:r w:rsidRPr="00AC7562">
              <w:t>REPowerEU</w:t>
            </w:r>
            <w:proofErr w:type="spellEnd"/>
            <w:r w:rsidRPr="00AC7562">
              <w:t xml:space="preserve">. </w:t>
            </w:r>
          </w:p>
        </w:tc>
        <w:tc>
          <w:tcPr>
            <w:tcW w:w="8655" w:type="dxa"/>
          </w:tcPr>
          <w:p w14:paraId="392A033E" w14:textId="7857BA3B" w:rsidR="00D8615F" w:rsidRPr="00C30F5E" w:rsidRDefault="00D8615F" w:rsidP="000A452C">
            <w:pPr>
              <w:spacing w:line="22" w:lineRule="atLeast"/>
            </w:pPr>
            <w:r>
              <w:t>Krajowy plan odbudowy i zwiększania odporności (KPO) został uwzględniony w aKPEiK z założenia. Środki zostały wskazane w załączniku 5. do aKPEiK, ale także nawiązania znalazły się w dokumencie zasadniczym. Szczegółowość KPO oraz fakt jego aktualizowania powodują, że głębsze odniesienia są trudne do realizacji.</w:t>
            </w:r>
          </w:p>
        </w:tc>
      </w:tr>
      <w:tr w:rsidR="00D8615F" w:rsidRPr="00410B57" w14:paraId="3460059F" w14:textId="77777777" w:rsidTr="00DA5F7C">
        <w:tc>
          <w:tcPr>
            <w:tcW w:w="6093" w:type="dxa"/>
          </w:tcPr>
          <w:p w14:paraId="2665484C" w14:textId="77777777" w:rsidR="00D8615F" w:rsidRPr="0095412F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95412F">
              <w:rPr>
                <w:b/>
                <w:bCs/>
              </w:rPr>
              <w:t>[Paliwa kopalne – dopłaty i wycofanie]</w:t>
            </w:r>
          </w:p>
          <w:p w14:paraId="16935472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757849">
              <w:t>KE zaleca, aby Polska</w:t>
            </w:r>
            <w:r>
              <w:t>:</w:t>
            </w:r>
          </w:p>
          <w:p w14:paraId="2D1B474F" w14:textId="77777777" w:rsidR="00D8615F" w:rsidRDefault="00D8615F" w:rsidP="00D43516">
            <w:pPr>
              <w:pStyle w:val="Akapitzlist"/>
              <w:numPr>
                <w:ilvl w:val="0"/>
                <w:numId w:val="15"/>
              </w:numPr>
              <w:spacing w:after="60" w:line="22" w:lineRule="atLeast"/>
            </w:pPr>
            <w:bookmarkStart w:id="4" w:name="_Hlk167446272"/>
            <w:r>
              <w:t>S</w:t>
            </w:r>
            <w:r w:rsidRPr="00AC7562">
              <w:t>zczegółowo wyjaśniła, w jaki sposób i od kiedy Polska zamierza wycofać pozostałe dopłaty do paliw kopalnych</w:t>
            </w:r>
            <w:bookmarkEnd w:id="4"/>
            <w:r w:rsidRPr="00AC7562">
              <w:t xml:space="preserve">. </w:t>
            </w:r>
          </w:p>
          <w:p w14:paraId="0A8B7223" w14:textId="77777777" w:rsidR="00D8615F" w:rsidRPr="00AC7562" w:rsidRDefault="00D8615F" w:rsidP="00D43516">
            <w:pPr>
              <w:pStyle w:val="Akapitzlist"/>
              <w:numPr>
                <w:ilvl w:val="0"/>
                <w:numId w:val="15"/>
              </w:numPr>
              <w:spacing w:after="60" w:line="22" w:lineRule="atLeast"/>
            </w:pPr>
            <w:r w:rsidRPr="00AC7562">
              <w:t xml:space="preserve">Bardziej szczegółowo </w:t>
            </w:r>
            <w:bookmarkStart w:id="5" w:name="_Hlk167446314"/>
            <w:r w:rsidRPr="00AC7562">
              <w:t xml:space="preserve">wyjaśniła, w jaki sposób Polska planuje stopniowo wycofywać stałe paliwa kopalne do produkcji energii elektrycznej </w:t>
            </w:r>
            <w:bookmarkEnd w:id="5"/>
            <w:r w:rsidRPr="00AC7562">
              <w:t xml:space="preserve">poprzez sprecyzowanie związanych z tym zobowiązań i środków. </w:t>
            </w:r>
          </w:p>
        </w:tc>
        <w:tc>
          <w:tcPr>
            <w:tcW w:w="8655" w:type="dxa"/>
          </w:tcPr>
          <w:p w14:paraId="58905CAC" w14:textId="6D838966" w:rsidR="00D8615F" w:rsidRDefault="00422C11" w:rsidP="000A452C">
            <w:pPr>
              <w:spacing w:line="22" w:lineRule="atLeast"/>
            </w:pPr>
            <w:r>
              <w:t xml:space="preserve">(a) </w:t>
            </w:r>
            <w:r w:rsidR="00D8615F">
              <w:t xml:space="preserve">Polska konsekwentnie dąży do tego, aby zbliżać się do neutralności klimatycznej, ale jest to proces z założenia długotrwały, wymagający rozwiązań przejściowych i wsparcia tych, dla których koszty wdrażania transformacji energetycznej będą zbyt wysokie. </w:t>
            </w:r>
          </w:p>
          <w:p w14:paraId="35401A69" w14:textId="65B00ABA" w:rsidR="00D8615F" w:rsidRDefault="00D8615F" w:rsidP="000A452C">
            <w:r>
              <w:t xml:space="preserve">Aktualnie nie jest możliwe określenie terminu wycofania dopłat do </w:t>
            </w:r>
            <w:r w:rsidR="00E4212F">
              <w:t xml:space="preserve">stałych </w:t>
            </w:r>
            <w:r>
              <w:t xml:space="preserve">paliw kopalnych, gdyż w przejściowym okresie ich wykorzystanie będzie niezbędne zarówno z przyczyn technicznych, organizacyjnych, jak i ekonomicznych. </w:t>
            </w:r>
          </w:p>
          <w:p w14:paraId="77420582" w14:textId="5853CD0F" w:rsidR="00D8615F" w:rsidRPr="00CD10DE" w:rsidRDefault="00D8615F" w:rsidP="000A452C">
            <w:r>
              <w:t>Szczególną uwagę trzeba zwrócić na obowiązującą tzw. umowy społeczne z branżami węglowymi oraz na potrzeby doraźnego wsparcia najuboższych energetycznie, wykorzystujących paliwa kopalne, w szczególności w sytuacji</w:t>
            </w:r>
            <w:r w:rsidR="00A52BCD">
              <w:t>,</w:t>
            </w:r>
            <w:r>
              <w:t xml:space="preserve"> w której termomodernizacja i wymiana źródła ciepła jest niemożliwa lub niezasadna.</w:t>
            </w:r>
            <w:r w:rsidR="00E35689">
              <w:t xml:space="preserve"> </w:t>
            </w:r>
          </w:p>
          <w:p w14:paraId="605D7D30" w14:textId="6D84FEF8" w:rsidR="00D8615F" w:rsidRDefault="00422C11" w:rsidP="00422C11">
            <w:pPr>
              <w:spacing w:line="22" w:lineRule="atLeast"/>
            </w:pPr>
            <w:r>
              <w:t>(b) Polska podejmuje ogromne wysiłki</w:t>
            </w:r>
            <w:r w:rsidR="00F32473">
              <w:t xml:space="preserve"> w</w:t>
            </w:r>
            <w:r w:rsidR="00F661FA">
              <w:t xml:space="preserve"> </w:t>
            </w:r>
            <w:r w:rsidR="00F32473">
              <w:t>celu</w:t>
            </w:r>
            <w:r w:rsidR="00F661FA">
              <w:t xml:space="preserve"> dekarbonizacji sektora elektroenergetycznego</w:t>
            </w:r>
            <w:r w:rsidR="00225E9D">
              <w:t>, w</w:t>
            </w:r>
            <w:r w:rsidR="00805129">
              <w:t> szczególności</w:t>
            </w:r>
            <w:r w:rsidR="00225E9D">
              <w:t xml:space="preserve"> poprzez </w:t>
            </w:r>
            <w:r w:rsidR="00805129">
              <w:t xml:space="preserve">intensyfikację przyrostu OZE, a także </w:t>
            </w:r>
            <w:r w:rsidR="00E07816">
              <w:t xml:space="preserve">planując </w:t>
            </w:r>
            <w:r w:rsidR="000E3BDD">
              <w:t>wdrożenie energetyki jądrowej</w:t>
            </w:r>
            <w:r w:rsidR="00F661FA">
              <w:t xml:space="preserve">. </w:t>
            </w:r>
            <w:r w:rsidR="00405423">
              <w:t xml:space="preserve">Tempo zmniejszania produkcji energii elektrycznej ze stałych paliw kopalnych (węgla) jest zależne właśnie od rozwoju </w:t>
            </w:r>
            <w:proofErr w:type="spellStart"/>
            <w:r w:rsidR="00267A3C">
              <w:t>bezemisyjnych</w:t>
            </w:r>
            <w:proofErr w:type="spellEnd"/>
            <w:r w:rsidR="00267A3C">
              <w:t xml:space="preserve"> i niskoemisyjnych źródeł, jak również rozwiązań zapewniających</w:t>
            </w:r>
            <w:r w:rsidR="00F32473">
              <w:t xml:space="preserve"> </w:t>
            </w:r>
            <w:r w:rsidR="00267A3C">
              <w:t>warunki wystarczalności pracy sieci.</w:t>
            </w:r>
            <w:r w:rsidR="00896212">
              <w:t xml:space="preserve"> </w:t>
            </w:r>
            <w:r w:rsidR="00A853E3">
              <w:t>Trzeba podkreślić, że jednostki węglowe pracują z coraz niższym obciążeniem,</w:t>
            </w:r>
            <w:r w:rsidR="00DF5FD6">
              <w:t xml:space="preserve"> a ich praca w dużej mierze jest dostosowana do </w:t>
            </w:r>
            <w:r w:rsidR="008B548F">
              <w:t xml:space="preserve">produkcji energii z OZE i zasady pierwszeństwa OZE w sieci. </w:t>
            </w:r>
            <w:r w:rsidR="0079549D">
              <w:t xml:space="preserve">Prognozy w scenariuszu WAM wskazują, że produkcja energii </w:t>
            </w:r>
            <w:r w:rsidR="0027487E">
              <w:t xml:space="preserve">elektrycznej </w:t>
            </w:r>
            <w:r w:rsidR="0079549D">
              <w:t xml:space="preserve">z węgla </w:t>
            </w:r>
            <w:r w:rsidR="00540ED9">
              <w:t>wyraźnie spada po 2030 r., ale jednocześnie wciąż potrzebne jest pozostawienie stabilnych mocy w systemie (por. rozdział 3.7 i 3.8. w załączniku 1 do aKPEiK)</w:t>
            </w:r>
            <w:r w:rsidR="00D15786">
              <w:t>.</w:t>
            </w:r>
            <w:r w:rsidR="00581764">
              <w:t xml:space="preserve"> Na tym etapie </w:t>
            </w:r>
            <w:r w:rsidR="00BA5068">
              <w:t xml:space="preserve">nie jest możliwe </w:t>
            </w:r>
            <w:r w:rsidR="00B16B56">
              <w:t>przedstawienie bardziej szczegółowych informacji kontekstowych.</w:t>
            </w:r>
            <w:r w:rsidR="00D15786">
              <w:t xml:space="preserve"> </w:t>
            </w:r>
            <w:r w:rsidR="00AC5D1D">
              <w:t xml:space="preserve"> </w:t>
            </w:r>
          </w:p>
        </w:tc>
      </w:tr>
      <w:tr w:rsidR="00D8615F" w:rsidRPr="00410B57" w14:paraId="2D97CFEA" w14:textId="77777777" w:rsidTr="00DA5F7C">
        <w:tc>
          <w:tcPr>
            <w:tcW w:w="6093" w:type="dxa"/>
          </w:tcPr>
          <w:p w14:paraId="62C46D07" w14:textId="77777777" w:rsidR="00D8615F" w:rsidRPr="0095412F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95412F">
              <w:rPr>
                <w:b/>
                <w:bCs/>
              </w:rPr>
              <w:t>[Scenariusz WAM]</w:t>
            </w:r>
          </w:p>
          <w:p w14:paraId="249799F2" w14:textId="3ECE68D5" w:rsidR="00D8615F" w:rsidRPr="00AC7562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757849">
              <w:t xml:space="preserve">KE zaleca, aby Polska </w:t>
            </w:r>
            <w:r>
              <w:t>d</w:t>
            </w:r>
            <w:r w:rsidRPr="00AC7562">
              <w:t xml:space="preserve">oprecyzowała podstawy analityczne przez przedstawienie prognoz w ramach planowanych polityk i środków </w:t>
            </w:r>
            <w:r w:rsidR="00B9769A">
              <w:t xml:space="preserve">(działań) </w:t>
            </w:r>
            <w:r w:rsidRPr="00AC7562">
              <w:t xml:space="preserve">dotyczących rozwoju systemu energetycznego z perspektywą do 2040 r. </w:t>
            </w:r>
          </w:p>
        </w:tc>
        <w:tc>
          <w:tcPr>
            <w:tcW w:w="8655" w:type="dxa"/>
          </w:tcPr>
          <w:p w14:paraId="5C97BAA1" w14:textId="1D67E665" w:rsidR="00D8615F" w:rsidRPr="00AC7562" w:rsidRDefault="00D8615F" w:rsidP="000A452C">
            <w:pPr>
              <w:spacing w:line="22" w:lineRule="atLeast"/>
            </w:pPr>
            <w:r>
              <w:t xml:space="preserve">Projekt aktualizacji KPEiK przekazany Komisji Europejskiej w dniu 1 marca 2024 r. zawierał scenariusz WEM </w:t>
            </w:r>
            <w:r w:rsidR="004972AD">
              <w:t xml:space="preserve">(z </w:t>
            </w:r>
            <w:r w:rsidR="006517F1">
              <w:t>istniejącymi</w:t>
            </w:r>
            <w:r w:rsidR="004972AD">
              <w:t xml:space="preserve"> politykami i </w:t>
            </w:r>
            <w:r w:rsidR="006517F1">
              <w:t xml:space="preserve">działaniami, zbliżony do </w:t>
            </w:r>
            <w:r w:rsidR="006517F1" w:rsidRPr="006517F1">
              <w:rPr>
                <w:i/>
                <w:iCs/>
              </w:rPr>
              <w:t xml:space="preserve">business as </w:t>
            </w:r>
            <w:proofErr w:type="spellStart"/>
            <w:r w:rsidR="006517F1" w:rsidRPr="006517F1">
              <w:rPr>
                <w:i/>
                <w:iCs/>
              </w:rPr>
              <w:t>usal</w:t>
            </w:r>
            <w:proofErr w:type="spellEnd"/>
            <w:r w:rsidR="004972AD">
              <w:t xml:space="preserve">) </w:t>
            </w:r>
            <w:r>
              <w:t>z</w:t>
            </w:r>
            <w:r w:rsidR="006517F1">
              <w:t> </w:t>
            </w:r>
            <w:r>
              <w:t xml:space="preserve">prognozami w perspektywie 2030 r. Aktualna wersja dokumentu zawiera oba scenariusze – WEM i WAM </w:t>
            </w:r>
            <w:r w:rsidR="00B9769A">
              <w:t xml:space="preserve">(scenariusz aktywnej transformacji) </w:t>
            </w:r>
            <w:r>
              <w:t>– w perspektywie 2040 r., zgodnie z</w:t>
            </w:r>
            <w:r w:rsidR="00B9769A">
              <w:t> </w:t>
            </w:r>
            <w:r>
              <w:t>rozporządzeniem 2018/1999.</w:t>
            </w:r>
          </w:p>
        </w:tc>
      </w:tr>
      <w:tr w:rsidR="00D8615F" w:rsidRPr="00410B57" w14:paraId="52311A95" w14:textId="77777777" w:rsidTr="00DA5F7C">
        <w:tc>
          <w:tcPr>
            <w:tcW w:w="6093" w:type="dxa"/>
          </w:tcPr>
          <w:p w14:paraId="34101562" w14:textId="77777777" w:rsidR="00D8615F" w:rsidRPr="0095412F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95412F">
              <w:rPr>
                <w:b/>
                <w:bCs/>
              </w:rPr>
              <w:lastRenderedPageBreak/>
              <w:t>[Sprawy różne]</w:t>
            </w:r>
          </w:p>
          <w:p w14:paraId="68110E1E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757849">
              <w:t>KE zaleca, aby Polska</w:t>
            </w:r>
            <w:r>
              <w:t>:</w:t>
            </w:r>
          </w:p>
          <w:p w14:paraId="7157739B" w14:textId="77777777" w:rsidR="00D8615F" w:rsidRDefault="00D8615F" w:rsidP="00D43516">
            <w:pPr>
              <w:pStyle w:val="Akapitzlist"/>
              <w:numPr>
                <w:ilvl w:val="0"/>
                <w:numId w:val="16"/>
              </w:numPr>
              <w:spacing w:after="60" w:line="22" w:lineRule="atLeast"/>
            </w:pPr>
            <w:r w:rsidRPr="00AC7562">
              <w:t xml:space="preserve">Przedstawiła bardziej szczegółowe informacje na temat konsekwencji transformacji klimatycznej i energetycznej dla społeczeństwa, zatrudnienia i umiejętności lub wszelkich innych skutków dystrybucyjnych, a także na temat planowanych celów, polityk i środków wspierających sprawiedliwą transformację. </w:t>
            </w:r>
          </w:p>
          <w:p w14:paraId="42FAF1ED" w14:textId="77777777" w:rsidR="00D8615F" w:rsidRDefault="00D8615F" w:rsidP="00D43516">
            <w:pPr>
              <w:pStyle w:val="Akapitzlist"/>
              <w:numPr>
                <w:ilvl w:val="0"/>
                <w:numId w:val="16"/>
              </w:numPr>
              <w:spacing w:after="60" w:line="22" w:lineRule="atLeast"/>
            </w:pPr>
            <w:r w:rsidRPr="00AC7562">
              <w:t>Określiła formę wsparcia, wpływ inicjatyw, grupy docelowe i przeznaczone na ten cel zasoby, z uwzględnieniem zalecenia Rady w sprawie zapewnienia sprawiedliwej transformacji w kierunku neutralności klimatycznej</w:t>
            </w:r>
            <w:r w:rsidRPr="00410B57">
              <w:rPr>
                <w:vertAlign w:val="superscript"/>
              </w:rPr>
              <w:footnoteReference w:id="6"/>
            </w:r>
            <w:r w:rsidRPr="00AC7562">
              <w:t>.</w:t>
            </w:r>
          </w:p>
          <w:p w14:paraId="301FEB3D" w14:textId="13BA2600" w:rsidR="00D8615F" w:rsidRDefault="00D8615F" w:rsidP="00D43516">
            <w:pPr>
              <w:pStyle w:val="Akapitzlist"/>
              <w:numPr>
                <w:ilvl w:val="0"/>
                <w:numId w:val="16"/>
              </w:numPr>
              <w:spacing w:after="60" w:line="22" w:lineRule="atLeast"/>
            </w:pPr>
            <w:r w:rsidRPr="00AC7562">
              <w:t xml:space="preserve">Zapewniła zgodność między harmonogramem stopniowego wycofywania węgla określonym w terytorialnym planie sprawiedliwej transformacji a ostateczną wersją zaktualizowanego krajowego planu w dziedzinie energii i klimatu, z uwzględnieniem informacji na temat udziału </w:t>
            </w:r>
            <w:r>
              <w:t>węgla brunatnego</w:t>
            </w:r>
            <w:r w:rsidRPr="00AC7562">
              <w:t xml:space="preserve"> i węgla kamiennego w ostatecznym koszyku energetycznym. </w:t>
            </w:r>
          </w:p>
          <w:p w14:paraId="53904A57" w14:textId="77777777" w:rsidR="00D8615F" w:rsidRDefault="00D8615F" w:rsidP="00D43516">
            <w:pPr>
              <w:pStyle w:val="Akapitzlist"/>
              <w:numPr>
                <w:ilvl w:val="0"/>
                <w:numId w:val="16"/>
              </w:numPr>
              <w:spacing w:after="60" w:line="22" w:lineRule="atLeast"/>
            </w:pPr>
            <w:r w:rsidRPr="00AC7562">
              <w:t>Uwzględniła, w miarę możliwości, większą liczbę elementów w celu zapewnienia odpowiedniej podstawy analitycznej do przygotowania przyszłego planu społeczno-klimatycznego zgodnie z rozporządzeniem (UE) 2023/955</w:t>
            </w:r>
            <w:r w:rsidRPr="00410B57">
              <w:rPr>
                <w:vertAlign w:val="superscript"/>
              </w:rPr>
              <w:footnoteReference w:id="7"/>
            </w:r>
            <w:r w:rsidRPr="00AC7562">
              <w:t xml:space="preserve">, w tym wytyczne dotyczące sposobu oceny wyzwań i skutków społecznych dla podmiotów znajdujących się w najtrudniejszej sytuacji wynikających z systemu handlu uprawnieniami do emisji w przypadku spalania paliw w budynkach, transporcie drogowym i dodatkowych </w:t>
            </w:r>
            <w:r w:rsidRPr="00AC7562">
              <w:lastRenderedPageBreak/>
              <w:t>sektorach (ETS</w:t>
            </w:r>
            <w:r>
              <w:t> </w:t>
            </w:r>
            <w:r w:rsidRPr="00AC7562">
              <w:t xml:space="preserve">2), a także wskazania potencjalnych beneficjentów i odpowiednich ram polityki. </w:t>
            </w:r>
          </w:p>
          <w:p w14:paraId="6180DADF" w14:textId="77777777" w:rsidR="00D8615F" w:rsidRPr="00AC7562" w:rsidRDefault="00D8615F" w:rsidP="00D43516">
            <w:pPr>
              <w:pStyle w:val="Akapitzlist"/>
              <w:numPr>
                <w:ilvl w:val="0"/>
                <w:numId w:val="16"/>
              </w:numPr>
              <w:spacing w:after="60" w:line="22" w:lineRule="atLeast"/>
            </w:pPr>
            <w:r w:rsidRPr="00AC7562">
              <w:t xml:space="preserve">Wyjaśniła, w jaki sposób ramy polityki określone w krajowym planie w dziedzinie energii i klimatu przyczynią się do przygotowania planu społeczno-klimatycznego Polski oraz w jaki sposób zostanie zapewniona spójność między tymi dwoma planami. </w:t>
            </w:r>
          </w:p>
        </w:tc>
        <w:tc>
          <w:tcPr>
            <w:tcW w:w="8655" w:type="dxa"/>
          </w:tcPr>
          <w:p w14:paraId="3F7DDE25" w14:textId="1D0A6900" w:rsidR="00D8615F" w:rsidRDefault="00D8615F" w:rsidP="000A452C">
            <w:pPr>
              <w:spacing w:line="22" w:lineRule="atLeast"/>
            </w:pPr>
            <w:r>
              <w:lastRenderedPageBreak/>
              <w:t>(a) Ocena skutków makroekonomicznych znajduje się w załączniku 1 i 2 do aKPEiK, przy czym jest to zadanie bardzo trudne i narażone na duże prawdopodobieństwo błędu. Wynika to z faktu obszerności analitycznej</w:t>
            </w:r>
            <w:r w:rsidR="00A111B2">
              <w:t>,</w:t>
            </w:r>
            <w:r>
              <w:t xml:space="preserve"> jak i nie pewności w zakresie poszczególnych cen i niezbędnych nakładów.</w:t>
            </w:r>
          </w:p>
          <w:p w14:paraId="5AC01997" w14:textId="77777777" w:rsidR="00D8615F" w:rsidRDefault="00D8615F" w:rsidP="000A452C">
            <w:pPr>
              <w:spacing w:line="22" w:lineRule="atLeast"/>
            </w:pPr>
            <w:r>
              <w:t xml:space="preserve">(b) Poszczególne działania, fundusze i programy mają różne formy wsparcia i beneficjentów. Nie jest jasne co Komisja rozumie przez określenie wsparcia, wpływ inicjatyw i grup docelowych. Katalog wsparcia został przedstawiony w załączniku 5. do KPEiK. </w:t>
            </w:r>
          </w:p>
          <w:p w14:paraId="16A2A221" w14:textId="77777777" w:rsidR="00D8615F" w:rsidRDefault="00D8615F" w:rsidP="000A452C">
            <w:pPr>
              <w:spacing w:line="22" w:lineRule="atLeast"/>
            </w:pPr>
            <w:r>
              <w:t>(c) Polska uwzględniła założenia i cele określone w terytorialnych planach sprawiedliwej transformacji. W następstwie operacjonalizacji tego zalecenia dookreślono tę kwestię w treści dokumentu.</w:t>
            </w:r>
          </w:p>
          <w:p w14:paraId="71D80708" w14:textId="2BA306E9" w:rsidR="00D8615F" w:rsidRPr="00D62A3E" w:rsidRDefault="00D8615F" w:rsidP="00076781">
            <w:pPr>
              <w:spacing w:line="22" w:lineRule="atLeast"/>
              <w:rPr>
                <w:rFonts w:eastAsia="Lato" w:cs="Lato"/>
                <w:color w:val="008080"/>
                <w:u w:val="single"/>
              </w:rPr>
            </w:pPr>
            <w:r>
              <w:t xml:space="preserve">(d) i (e) </w:t>
            </w:r>
            <w:r w:rsidR="006074B5">
              <w:t>Zagadnienie ubóstwa energetycznego i transportowego oraz kontekst</w:t>
            </w:r>
            <w:r w:rsidR="00BE5AA1">
              <w:t xml:space="preserve"> EU</w:t>
            </w:r>
            <w:r w:rsidR="006074B5">
              <w:t xml:space="preserve"> ETS-2 </w:t>
            </w:r>
            <w:r w:rsidR="000F4E7D">
              <w:t xml:space="preserve">zostały podjęte w KPEiK i kierunkowo wskazują </w:t>
            </w:r>
            <w:r w:rsidR="000D2C18">
              <w:t>obszary interwencji</w:t>
            </w:r>
            <w:r w:rsidR="00F56775">
              <w:t xml:space="preserve"> – </w:t>
            </w:r>
            <w:r w:rsidR="00D54065">
              <w:t xml:space="preserve">w obszarze ubóstwa energetycznego </w:t>
            </w:r>
            <w:r w:rsidR="00F56775">
              <w:t xml:space="preserve">jako </w:t>
            </w:r>
            <w:r w:rsidR="00D54065">
              <w:t xml:space="preserve">kluczowy środek przyjęto termomodernizację z wymianą źródeł, </w:t>
            </w:r>
            <w:r w:rsidR="001C08C3">
              <w:t>w obszarze ubóstwa transportowego – większy dostęp do komunikacji publicznej</w:t>
            </w:r>
            <w:r w:rsidR="000D2C18">
              <w:t xml:space="preserve">. Plan społeczno-klimatyczny </w:t>
            </w:r>
            <w:r w:rsidR="00076781">
              <w:t xml:space="preserve">będzie </w:t>
            </w:r>
            <w:r w:rsidR="00BD38B9">
              <w:t>opierał się na tych kluczowych założeniach. Z</w:t>
            </w:r>
            <w:r w:rsidR="00166B74">
              <w:t xml:space="preserve"> założenia </w:t>
            </w:r>
            <w:r w:rsidR="00BD38B9">
              <w:t xml:space="preserve">jest to </w:t>
            </w:r>
            <w:r w:rsidR="00166B74">
              <w:t xml:space="preserve">odrębny dokument, aby można go był oprzeć na </w:t>
            </w:r>
            <w:r w:rsidR="00E75C09">
              <w:t>głębszych analiz</w:t>
            </w:r>
            <w:r w:rsidR="00166B74">
              <w:t>ach</w:t>
            </w:r>
            <w:r w:rsidR="001C08C3">
              <w:t xml:space="preserve"> i </w:t>
            </w:r>
            <w:r w:rsidR="00076781">
              <w:t>bardziej szczegółowych planach</w:t>
            </w:r>
            <w:r w:rsidR="007D22E8">
              <w:t>.</w:t>
            </w:r>
          </w:p>
        </w:tc>
      </w:tr>
      <w:tr w:rsidR="00D8615F" w:rsidRPr="00410B57" w14:paraId="5D579A16" w14:textId="77777777" w:rsidTr="00DA5F7C">
        <w:tc>
          <w:tcPr>
            <w:tcW w:w="6093" w:type="dxa"/>
          </w:tcPr>
          <w:p w14:paraId="40D5B76C" w14:textId="77777777" w:rsidR="00D8615F" w:rsidRPr="0095412F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95412F">
              <w:rPr>
                <w:b/>
                <w:bCs/>
              </w:rPr>
              <w:t>[Konsultacje publiczne]</w:t>
            </w:r>
          </w:p>
          <w:p w14:paraId="61EA7649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757849">
              <w:t xml:space="preserve">KE zaleca, aby Polska </w:t>
            </w:r>
          </w:p>
          <w:p w14:paraId="7AC8B65E" w14:textId="77777777" w:rsidR="00D8615F" w:rsidRDefault="00D8615F" w:rsidP="00D43516">
            <w:pPr>
              <w:pStyle w:val="Akapitzlist"/>
              <w:numPr>
                <w:ilvl w:val="0"/>
                <w:numId w:val="17"/>
              </w:numPr>
              <w:spacing w:after="60" w:line="22" w:lineRule="atLeast"/>
            </w:pPr>
            <w:r>
              <w:t>Z</w:t>
            </w:r>
            <w:r w:rsidRPr="00AC7562">
              <w:t xml:space="preserve">apewniła skuteczny udział społeczeństwa w rozsądnych ramach czasowych oraz powszechny udział władz lokalnych i społeczeństwa obywatelskiego w przygotowaniu planu. </w:t>
            </w:r>
          </w:p>
          <w:p w14:paraId="01092AEA" w14:textId="77777777" w:rsidR="00D8615F" w:rsidRDefault="00D8615F" w:rsidP="00D43516">
            <w:pPr>
              <w:pStyle w:val="Akapitzlist"/>
              <w:numPr>
                <w:ilvl w:val="0"/>
                <w:numId w:val="17"/>
              </w:numPr>
              <w:spacing w:after="60" w:line="22" w:lineRule="atLeast"/>
            </w:pPr>
            <w:r w:rsidRPr="00AC7562">
              <w:t xml:space="preserve">Przedstawiła jasny i bardziej szczegółowy opis sposobu, w jaki proces konsultacji umożliwił udział wszystkich właściwych organów, obywateli i zainteresowanych stron, w tym partnerów społecznych, w przygotowaniu zarówno projektu, jak i ostatecznej wersji zaktualizowanego planu, z uwzględnieniem informacji na temat harmonogramu i czasu trwania poszczególnych konsultacji. </w:t>
            </w:r>
          </w:p>
          <w:p w14:paraId="57C002BC" w14:textId="77777777" w:rsidR="00D8615F" w:rsidRPr="00AC7562" w:rsidRDefault="00D8615F" w:rsidP="00D43516">
            <w:pPr>
              <w:pStyle w:val="Akapitzlist"/>
              <w:numPr>
                <w:ilvl w:val="0"/>
                <w:numId w:val="17"/>
              </w:numPr>
              <w:spacing w:after="60" w:line="22" w:lineRule="atLeast"/>
            </w:pPr>
            <w:r w:rsidRPr="00AC7562">
              <w:t>Przedstawiła szczegółowe podsumowanie opinii wyrażonych przez różne podmioty podczas konsultacji oraz podsumowanie sposobu, w jaki uwzględniono te opinie.</w:t>
            </w:r>
          </w:p>
        </w:tc>
        <w:tc>
          <w:tcPr>
            <w:tcW w:w="8655" w:type="dxa"/>
          </w:tcPr>
          <w:p w14:paraId="18CB12FC" w14:textId="77777777" w:rsidR="00525BBB" w:rsidRDefault="00525BBB" w:rsidP="00525BBB"/>
          <w:p w14:paraId="1FD9B4DB" w14:textId="7D9968A3" w:rsidR="00D8615F" w:rsidRDefault="00525BBB" w:rsidP="00C561E4">
            <w:r>
              <w:t xml:space="preserve">(a)–(c) </w:t>
            </w:r>
            <w:r w:rsidR="00DB5E58">
              <w:t>Zalecenia KE odnosiły się do wstępnej wersji projektu aKPEiK</w:t>
            </w:r>
            <w:r w:rsidR="00C5420B">
              <w:t xml:space="preserve">. </w:t>
            </w:r>
            <w:r w:rsidR="008D315E">
              <w:t xml:space="preserve">Dialog społeczny prowadzony był równolegle do prac nad </w:t>
            </w:r>
            <w:r w:rsidR="00416012">
              <w:t>uzupełnieniem projektu aKPEiK</w:t>
            </w:r>
            <w:r w:rsidR="00154EA2">
              <w:t xml:space="preserve">, w tym nad opracowaniem </w:t>
            </w:r>
            <w:r w:rsidR="009701E6">
              <w:t>scenariusz</w:t>
            </w:r>
            <w:r w:rsidR="00154EA2">
              <w:t>a</w:t>
            </w:r>
            <w:r w:rsidR="009701E6">
              <w:t xml:space="preserve"> WAM. </w:t>
            </w:r>
            <w:r w:rsidR="00855763">
              <w:t>Cały</w:t>
            </w:r>
            <w:r w:rsidR="008D403C">
              <w:t xml:space="preserve"> proces</w:t>
            </w:r>
            <w:r w:rsidR="00C561E4">
              <w:t xml:space="preserve"> został opisany w aKPEiK w części </w:t>
            </w:r>
            <w:r w:rsidR="00C561E4" w:rsidRPr="00C561E4">
              <w:rPr>
                <w:i/>
                <w:iCs/>
              </w:rPr>
              <w:t>V. Sposób opracowania, realizacji i monitorowania aKPEiK</w:t>
            </w:r>
            <w:r w:rsidR="00C561E4">
              <w:rPr>
                <w:i/>
                <w:iCs/>
              </w:rPr>
              <w:t>.</w:t>
            </w:r>
          </w:p>
        </w:tc>
      </w:tr>
      <w:tr w:rsidR="00D8615F" w:rsidRPr="00410B57" w14:paraId="57B86A6A" w14:textId="77777777" w:rsidTr="00DA5F7C">
        <w:tc>
          <w:tcPr>
            <w:tcW w:w="6093" w:type="dxa"/>
          </w:tcPr>
          <w:p w14:paraId="04BF301D" w14:textId="77777777" w:rsidR="00D8615F" w:rsidRPr="0095412F" w:rsidRDefault="00D8615F" w:rsidP="00D8615F">
            <w:pPr>
              <w:pStyle w:val="Akapitzlist"/>
              <w:spacing w:line="22" w:lineRule="atLeast"/>
              <w:ind w:left="544"/>
              <w:rPr>
                <w:b/>
                <w:bCs/>
              </w:rPr>
            </w:pPr>
            <w:r w:rsidRPr="0095412F">
              <w:rPr>
                <w:b/>
                <w:bCs/>
              </w:rPr>
              <w:t>[</w:t>
            </w:r>
            <w:r>
              <w:rPr>
                <w:b/>
                <w:bCs/>
              </w:rPr>
              <w:t>Współpraca</w:t>
            </w:r>
            <w:r w:rsidRPr="0095412F">
              <w:rPr>
                <w:b/>
                <w:bCs/>
              </w:rPr>
              <w:t xml:space="preserve"> regionaln</w:t>
            </w:r>
            <w:r>
              <w:rPr>
                <w:b/>
                <w:bCs/>
              </w:rPr>
              <w:t>a</w:t>
            </w:r>
            <w:r w:rsidRPr="0095412F">
              <w:rPr>
                <w:b/>
                <w:bCs/>
              </w:rPr>
              <w:t>]</w:t>
            </w:r>
          </w:p>
          <w:p w14:paraId="35A56E26" w14:textId="77777777" w:rsidR="00D8615F" w:rsidRDefault="00D8615F" w:rsidP="00D43516">
            <w:pPr>
              <w:pStyle w:val="Akapitzlist"/>
              <w:numPr>
                <w:ilvl w:val="0"/>
                <w:numId w:val="2"/>
              </w:numPr>
              <w:spacing w:after="60" w:line="22" w:lineRule="atLeast"/>
              <w:ind w:hanging="544"/>
            </w:pPr>
            <w:r w:rsidRPr="00757849">
              <w:t>KE zaleca, aby Polska</w:t>
            </w:r>
            <w:r>
              <w:t>:</w:t>
            </w:r>
          </w:p>
          <w:p w14:paraId="267F88B0" w14:textId="77777777" w:rsidR="00D8615F" w:rsidRDefault="00D8615F" w:rsidP="00D43516">
            <w:pPr>
              <w:pStyle w:val="Akapitzlist"/>
              <w:numPr>
                <w:ilvl w:val="0"/>
                <w:numId w:val="18"/>
              </w:numPr>
              <w:spacing w:after="60" w:line="22" w:lineRule="atLeast"/>
            </w:pPr>
            <w:r>
              <w:t>Z</w:t>
            </w:r>
            <w:r w:rsidRPr="00AC7562">
              <w:t xml:space="preserve">acieśniła współpracę regionalną z sąsiednimi państwami członkowskimi oraz zapewniła, aby rola współpracy regionalnej w ramach grup wysokiego szczebla, takich jak BEMIP, została odpowiednio odzwierciedlona w ostatecznym zaktualizowanym krajowym planie w dziedzinie energii i klimatu. </w:t>
            </w:r>
          </w:p>
          <w:p w14:paraId="3229DE88" w14:textId="77777777" w:rsidR="00562DD5" w:rsidRDefault="00D8615F" w:rsidP="00D43516">
            <w:pPr>
              <w:pStyle w:val="Akapitzlist"/>
              <w:numPr>
                <w:ilvl w:val="0"/>
                <w:numId w:val="18"/>
              </w:numPr>
              <w:spacing w:after="0" w:line="22" w:lineRule="atLeast"/>
            </w:pPr>
            <w:r w:rsidRPr="00AC7562">
              <w:lastRenderedPageBreak/>
              <w:t xml:space="preserve">Opisała, w jaki sposób Polska zamierza ustanowić ramy współpracy z innymi państwami członkowskimi do 2025 r. zgodnie z art. 9 dyrektywy (UE) 2023/2413. </w:t>
            </w:r>
          </w:p>
          <w:p w14:paraId="05AB9C76" w14:textId="70A62D6F" w:rsidR="00D8615F" w:rsidRPr="00AC7562" w:rsidRDefault="00D8615F" w:rsidP="00D43516">
            <w:pPr>
              <w:pStyle w:val="Akapitzlist"/>
              <w:numPr>
                <w:ilvl w:val="0"/>
                <w:numId w:val="18"/>
              </w:numPr>
              <w:spacing w:after="0" w:line="22" w:lineRule="atLeast"/>
            </w:pPr>
            <w:r w:rsidRPr="00AC7562">
              <w:t>Kontynuowała starania na rzecz zawarcia z sąsiednimi państwami (Słowacją, Czechami, Niemcami, Danią i Litwą) pięciu wymaganych dwustronnych porozumień o solidarności do</w:t>
            </w:r>
            <w:r w:rsidR="00DA5F7C">
              <w:t>t.</w:t>
            </w:r>
            <w:r w:rsidRPr="00AC7562">
              <w:t xml:space="preserve"> bezpieczeństwa dostaw gazu. </w:t>
            </w:r>
          </w:p>
        </w:tc>
        <w:tc>
          <w:tcPr>
            <w:tcW w:w="8655" w:type="dxa"/>
          </w:tcPr>
          <w:p w14:paraId="5FFF804D" w14:textId="77777777" w:rsidR="00801C1E" w:rsidRDefault="00801C1E" w:rsidP="00525BBB"/>
          <w:p w14:paraId="48F338B8" w14:textId="5A916EBD" w:rsidR="00E053DD" w:rsidRDefault="00DC0121" w:rsidP="00525BBB">
            <w:r>
              <w:t xml:space="preserve">(a)–(c) </w:t>
            </w:r>
            <w:r w:rsidR="00525BBB">
              <w:t xml:space="preserve">Do dokumentu </w:t>
            </w:r>
            <w:r w:rsidR="00761F05">
              <w:t xml:space="preserve">głównego </w:t>
            </w:r>
            <w:r w:rsidR="00801C1E">
              <w:t xml:space="preserve">został wprowadzony rozdział </w:t>
            </w:r>
            <w:r w:rsidR="00761F05" w:rsidRPr="00761F05">
              <w:rPr>
                <w:i/>
                <w:iCs/>
              </w:rPr>
              <w:t xml:space="preserve">VI. Współpraca </w:t>
            </w:r>
            <w:r w:rsidR="00447195" w:rsidRPr="00761F05">
              <w:rPr>
                <w:i/>
                <w:iCs/>
              </w:rPr>
              <w:t>w regionie europejskim</w:t>
            </w:r>
            <w:r w:rsidR="00D8615F" w:rsidRPr="00FB30BD">
              <w:t>.</w:t>
            </w:r>
            <w:r w:rsidR="00491DBB">
              <w:t xml:space="preserve"> W rozdziale opisano kierunkowo współpracę </w:t>
            </w:r>
            <w:r w:rsidR="005D0A36">
              <w:t>regionalną w różnych obszarach klimaty</w:t>
            </w:r>
            <w:r w:rsidR="0069543C">
              <w:t>c</w:t>
            </w:r>
            <w:r w:rsidR="005D0A36">
              <w:t>zno-energ</w:t>
            </w:r>
            <w:r w:rsidR="00E053DD">
              <w:t>e</w:t>
            </w:r>
            <w:r w:rsidR="005D0A36">
              <w:t>ty</w:t>
            </w:r>
            <w:r w:rsidR="00E053DD">
              <w:t>c</w:t>
            </w:r>
            <w:r w:rsidR="005D0A36">
              <w:t>znych.</w:t>
            </w:r>
            <w:r w:rsidR="00E053DD">
              <w:t xml:space="preserve"> </w:t>
            </w:r>
          </w:p>
        </w:tc>
      </w:tr>
      <w:bookmarkEnd w:id="0"/>
      <w:bookmarkEnd w:id="1"/>
    </w:tbl>
    <w:p w14:paraId="466E3916" w14:textId="77777777" w:rsidR="00DA5F7C" w:rsidRDefault="00DA5F7C" w:rsidP="00DA5F7C"/>
    <w:sectPr w:rsidR="00DA5F7C" w:rsidSect="00B54DE0">
      <w:headerReference w:type="default" r:id="rId15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76A1" w14:textId="77777777" w:rsidR="000B6DBD" w:rsidRDefault="000B6DBD" w:rsidP="003772B3">
      <w:pPr>
        <w:spacing w:after="0" w:line="240" w:lineRule="auto"/>
      </w:pPr>
      <w:r>
        <w:separator/>
      </w:r>
    </w:p>
  </w:endnote>
  <w:endnote w:type="continuationSeparator" w:id="0">
    <w:p w14:paraId="293506A8" w14:textId="77777777" w:rsidR="000B6DBD" w:rsidRDefault="000B6DBD" w:rsidP="003772B3">
      <w:pPr>
        <w:spacing w:after="0" w:line="240" w:lineRule="auto"/>
      </w:pPr>
      <w:r>
        <w:continuationSeparator/>
      </w:r>
    </w:p>
  </w:endnote>
  <w:endnote w:type="continuationNotice" w:id="1">
    <w:p w14:paraId="165F8748" w14:textId="77777777" w:rsidR="000B6DBD" w:rsidRDefault="000B6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7984"/>
      <w:docPartObj>
        <w:docPartGallery w:val="Page Numbers (Bottom of Page)"/>
        <w:docPartUnique/>
      </w:docPartObj>
    </w:sdtPr>
    <w:sdtEndPr/>
    <w:sdtContent>
      <w:p w14:paraId="186B2232" w14:textId="7DE4CD01" w:rsidR="00D92449" w:rsidRDefault="00D924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A06CB4" w14:textId="77777777" w:rsidR="00D92449" w:rsidRDefault="00D92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9955" w14:textId="77777777" w:rsidR="000B6DBD" w:rsidRDefault="000B6DBD" w:rsidP="003772B3">
      <w:pPr>
        <w:spacing w:after="0" w:line="240" w:lineRule="auto"/>
      </w:pPr>
      <w:r>
        <w:separator/>
      </w:r>
    </w:p>
  </w:footnote>
  <w:footnote w:type="continuationSeparator" w:id="0">
    <w:p w14:paraId="5206EDCA" w14:textId="77777777" w:rsidR="000B6DBD" w:rsidRDefault="000B6DBD" w:rsidP="003772B3">
      <w:pPr>
        <w:spacing w:after="0" w:line="240" w:lineRule="auto"/>
      </w:pPr>
      <w:r>
        <w:continuationSeparator/>
      </w:r>
    </w:p>
  </w:footnote>
  <w:footnote w:type="continuationNotice" w:id="1">
    <w:p w14:paraId="376C7842" w14:textId="77777777" w:rsidR="000B6DBD" w:rsidRDefault="000B6DBD">
      <w:pPr>
        <w:spacing w:after="0" w:line="240" w:lineRule="auto"/>
      </w:pPr>
    </w:p>
  </w:footnote>
  <w:footnote w:id="2">
    <w:p w14:paraId="4B907660" w14:textId="0895EB24" w:rsidR="000B2BD1" w:rsidRPr="009A6C7C" w:rsidRDefault="000B2BD1" w:rsidP="000B2BD1">
      <w:pPr>
        <w:pStyle w:val="Tekstprzypisudolnego"/>
        <w:rPr>
          <w:sz w:val="18"/>
          <w:szCs w:val="18"/>
        </w:rPr>
      </w:pPr>
      <w:r w:rsidRPr="009A6C7C">
        <w:rPr>
          <w:rStyle w:val="Odwoanieprzypisudolnego"/>
          <w:sz w:val="18"/>
          <w:szCs w:val="18"/>
        </w:rPr>
        <w:footnoteRef/>
      </w:r>
      <w:r w:rsidRPr="009A6C7C">
        <w:rPr>
          <w:sz w:val="18"/>
          <w:szCs w:val="18"/>
        </w:rPr>
        <w:t xml:space="preserve"> Rozporządzenie Parlamentu Europejskiego i Rady (UE) 2018/1999 z dnia 11</w:t>
      </w:r>
      <w:r w:rsidR="00DA7515">
        <w:rPr>
          <w:sz w:val="18"/>
          <w:szCs w:val="18"/>
        </w:rPr>
        <w:t> </w:t>
      </w:r>
      <w:r w:rsidRPr="009A6C7C">
        <w:rPr>
          <w:sz w:val="18"/>
          <w:szCs w:val="18"/>
        </w:rPr>
        <w:t>grudnia 2018 r. w sprawie zarządzania unią energetyczną i działaniami w dziedzinie klimatu, zmiany rozporządzeń Parlamentu Europejskiego i Rady (WE) nr 663/2009 i (WE) nr 715/2009, dyrektyw Parlamentu Europejskiego i Rady 94/22/WE, 98/70/WE, 2009/31/WE, 2009/73/WE, 2010/31/UE, 2012/27/UE i 2013/30/UE, dyrektyw Rady 2009/119/WE i (EU) 2015/652 oraz uchylenia rozporządzenia Parlamentu Europejskiego i Rady (UE) nr 525/2013</w:t>
      </w:r>
      <w:r w:rsidR="000A452C">
        <w:rPr>
          <w:sz w:val="18"/>
          <w:szCs w:val="18"/>
        </w:rPr>
        <w:t>.</w:t>
      </w:r>
    </w:p>
  </w:footnote>
  <w:footnote w:id="3">
    <w:p w14:paraId="4BD00CC6" w14:textId="6023EED7" w:rsidR="00D04251" w:rsidRPr="009A6C7C" w:rsidRDefault="00D04251" w:rsidP="00D04251">
      <w:pPr>
        <w:pStyle w:val="Tekstprzypisudolnego"/>
        <w:rPr>
          <w:sz w:val="18"/>
          <w:szCs w:val="18"/>
        </w:rPr>
      </w:pPr>
      <w:r w:rsidRPr="009A6C7C">
        <w:rPr>
          <w:rStyle w:val="Odwoanieprzypisudolnego"/>
          <w:sz w:val="18"/>
          <w:szCs w:val="18"/>
        </w:rPr>
        <w:footnoteRef/>
      </w:r>
      <w:r w:rsidR="0042235C">
        <w:rPr>
          <w:sz w:val="18"/>
          <w:szCs w:val="18"/>
        </w:rPr>
        <w:t> </w:t>
      </w:r>
      <w:proofErr w:type="spellStart"/>
      <w:r w:rsidR="00626C26" w:rsidRPr="00F91D48">
        <w:rPr>
          <w:i/>
          <w:iCs/>
          <w:sz w:val="18"/>
          <w:szCs w:val="18"/>
        </w:rPr>
        <w:t>Commission</w:t>
      </w:r>
      <w:proofErr w:type="spellEnd"/>
      <w:r w:rsidR="00626C26" w:rsidRPr="00F91D48">
        <w:rPr>
          <w:i/>
          <w:iCs/>
          <w:sz w:val="18"/>
          <w:szCs w:val="18"/>
        </w:rPr>
        <w:t xml:space="preserve"> </w:t>
      </w:r>
      <w:proofErr w:type="spellStart"/>
      <w:r w:rsidR="00626C26" w:rsidRPr="00F91D48">
        <w:rPr>
          <w:i/>
          <w:iCs/>
          <w:sz w:val="18"/>
          <w:szCs w:val="18"/>
        </w:rPr>
        <w:t>Recommendation</w:t>
      </w:r>
      <w:proofErr w:type="spellEnd"/>
      <w:r w:rsidR="00626C26" w:rsidRPr="00F91D48">
        <w:rPr>
          <w:i/>
          <w:iCs/>
          <w:sz w:val="18"/>
          <w:szCs w:val="18"/>
        </w:rPr>
        <w:t xml:space="preserve">, </w:t>
      </w:r>
      <w:proofErr w:type="spellStart"/>
      <w:r w:rsidR="00626C26" w:rsidRPr="00F91D48">
        <w:rPr>
          <w:i/>
          <w:iCs/>
          <w:sz w:val="18"/>
          <w:szCs w:val="18"/>
        </w:rPr>
        <w:t>Assessment</w:t>
      </w:r>
      <w:proofErr w:type="spellEnd"/>
      <w:r w:rsidR="00626C26" w:rsidRPr="00F91D48">
        <w:rPr>
          <w:i/>
          <w:iCs/>
          <w:sz w:val="18"/>
          <w:szCs w:val="18"/>
        </w:rPr>
        <w:t xml:space="preserve"> (SWD) and </w:t>
      </w:r>
      <w:proofErr w:type="spellStart"/>
      <w:r w:rsidR="00626C26" w:rsidRPr="00F91D48">
        <w:rPr>
          <w:i/>
          <w:iCs/>
          <w:sz w:val="18"/>
          <w:szCs w:val="18"/>
        </w:rPr>
        <w:t>Factsheet</w:t>
      </w:r>
      <w:proofErr w:type="spellEnd"/>
      <w:r w:rsidR="00626C26" w:rsidRPr="00F91D48">
        <w:rPr>
          <w:i/>
          <w:iCs/>
          <w:sz w:val="18"/>
          <w:szCs w:val="18"/>
        </w:rPr>
        <w:t xml:space="preserve"> of the draft </w:t>
      </w:r>
      <w:proofErr w:type="spellStart"/>
      <w:r w:rsidR="00626C26" w:rsidRPr="00F91D48">
        <w:rPr>
          <w:i/>
          <w:iCs/>
          <w:sz w:val="18"/>
          <w:szCs w:val="18"/>
        </w:rPr>
        <w:t>updated</w:t>
      </w:r>
      <w:proofErr w:type="spellEnd"/>
      <w:r w:rsidR="00626C26" w:rsidRPr="00F91D48">
        <w:rPr>
          <w:i/>
          <w:iCs/>
          <w:sz w:val="18"/>
          <w:szCs w:val="18"/>
        </w:rPr>
        <w:t xml:space="preserve"> </w:t>
      </w:r>
      <w:proofErr w:type="spellStart"/>
      <w:r w:rsidR="00626C26" w:rsidRPr="00F91D48">
        <w:rPr>
          <w:i/>
          <w:iCs/>
          <w:sz w:val="18"/>
          <w:szCs w:val="18"/>
        </w:rPr>
        <w:t>National</w:t>
      </w:r>
      <w:proofErr w:type="spellEnd"/>
      <w:r w:rsidR="00626C26" w:rsidRPr="00F91D48">
        <w:rPr>
          <w:i/>
          <w:iCs/>
          <w:sz w:val="18"/>
          <w:szCs w:val="18"/>
        </w:rPr>
        <w:t xml:space="preserve"> Energy and </w:t>
      </w:r>
      <w:proofErr w:type="spellStart"/>
      <w:r w:rsidR="00626C26" w:rsidRPr="00F91D48">
        <w:rPr>
          <w:i/>
          <w:iCs/>
          <w:sz w:val="18"/>
          <w:szCs w:val="18"/>
        </w:rPr>
        <w:t>Climate</w:t>
      </w:r>
      <w:proofErr w:type="spellEnd"/>
      <w:r w:rsidR="00626C26" w:rsidRPr="00F91D48">
        <w:rPr>
          <w:i/>
          <w:iCs/>
          <w:sz w:val="18"/>
          <w:szCs w:val="18"/>
        </w:rPr>
        <w:t xml:space="preserve"> Plan of Poland</w:t>
      </w:r>
      <w:r w:rsidR="00626C26">
        <w:rPr>
          <w:sz w:val="18"/>
          <w:szCs w:val="18"/>
        </w:rPr>
        <w:t xml:space="preserve">, </w:t>
      </w:r>
      <w:hyperlink r:id="rId1" w:history="1">
        <w:r w:rsidR="00626C26" w:rsidRPr="00626C26">
          <w:rPr>
            <w:rStyle w:val="Hipercze"/>
            <w:sz w:val="18"/>
            <w:szCs w:val="18"/>
          </w:rPr>
          <w:t>link</w:t>
        </w:r>
      </w:hyperlink>
    </w:p>
  </w:footnote>
  <w:footnote w:id="4">
    <w:p w14:paraId="67E89890" w14:textId="77777777" w:rsidR="00D8615F" w:rsidRPr="009A6C7C" w:rsidRDefault="00D8615F" w:rsidP="00D8615F">
      <w:pPr>
        <w:pStyle w:val="Tekstprzypisudolnego"/>
        <w:spacing w:after="60"/>
        <w:rPr>
          <w:b/>
          <w:bCs/>
          <w:sz w:val="18"/>
          <w:szCs w:val="18"/>
        </w:rPr>
      </w:pPr>
      <w:r w:rsidRPr="009A6C7C">
        <w:rPr>
          <w:rStyle w:val="Odwoanieprzypisudolnego"/>
          <w:b/>
          <w:bCs/>
          <w:sz w:val="18"/>
          <w:szCs w:val="18"/>
        </w:rPr>
        <w:footnoteRef/>
      </w:r>
      <w:r w:rsidRPr="009A6C7C">
        <w:rPr>
          <w:b/>
          <w:bCs/>
          <w:sz w:val="18"/>
          <w:szCs w:val="18"/>
        </w:rPr>
        <w:t xml:space="preserve">  Cześć 3 z zał. V do </w:t>
      </w:r>
      <w:proofErr w:type="spellStart"/>
      <w:r w:rsidRPr="009A6C7C">
        <w:rPr>
          <w:b/>
          <w:bCs/>
          <w:sz w:val="18"/>
          <w:szCs w:val="18"/>
        </w:rPr>
        <w:t>rozp</w:t>
      </w:r>
      <w:proofErr w:type="spellEnd"/>
      <w:r w:rsidRPr="009A6C7C">
        <w:rPr>
          <w:b/>
          <w:bCs/>
          <w:sz w:val="18"/>
          <w:szCs w:val="18"/>
        </w:rPr>
        <w:t>. 2018/1999. Metody monitorowania i sprawozdawczości w sektorze LULUCF</w:t>
      </w:r>
    </w:p>
    <w:p w14:paraId="6131BB6E" w14:textId="77777777" w:rsidR="00D8615F" w:rsidRPr="009A6C7C" w:rsidRDefault="00D8615F" w:rsidP="00D8615F">
      <w:pPr>
        <w:pStyle w:val="Tekstprzypisudolnego"/>
        <w:spacing w:after="60"/>
        <w:rPr>
          <w:sz w:val="18"/>
          <w:szCs w:val="18"/>
        </w:rPr>
      </w:pPr>
      <w:r w:rsidRPr="009A6C7C">
        <w:rPr>
          <w:sz w:val="18"/>
          <w:szCs w:val="18"/>
        </w:rPr>
        <w:t>Jednoznaczne geograficznie dane dotyczące zmiany użytkowania gruntów zgodnie z wytycznymi IPCC z 2006 r. dla krajowych wykazów gazów cieplarnianych.</w:t>
      </w:r>
    </w:p>
    <w:p w14:paraId="4BF0531C" w14:textId="77777777" w:rsidR="00D8615F" w:rsidRPr="009A6C7C" w:rsidRDefault="00D8615F" w:rsidP="00D8615F">
      <w:pPr>
        <w:pStyle w:val="Tekstprzypisudolnego"/>
        <w:spacing w:after="60"/>
        <w:rPr>
          <w:sz w:val="18"/>
          <w:szCs w:val="18"/>
        </w:rPr>
      </w:pPr>
      <w:r w:rsidRPr="009A6C7C">
        <w:rPr>
          <w:sz w:val="18"/>
          <w:szCs w:val="18"/>
        </w:rPr>
        <w:t>Metoda poziomu 1 zgodnie z wytycznymi IPCC z 2006 r. dotyczącymi krajowych wykazów gazów cieplarnianych.</w:t>
      </w:r>
    </w:p>
    <w:p w14:paraId="5DB14571" w14:textId="77777777" w:rsidR="00D8615F" w:rsidRPr="009A6C7C" w:rsidRDefault="00D8615F" w:rsidP="00D8615F">
      <w:pPr>
        <w:pStyle w:val="Tekstprzypisudolnego"/>
        <w:spacing w:after="60"/>
        <w:rPr>
          <w:sz w:val="18"/>
          <w:szCs w:val="18"/>
        </w:rPr>
      </w:pPr>
      <w:r w:rsidRPr="009A6C7C">
        <w:rPr>
          <w:sz w:val="18"/>
          <w:szCs w:val="18"/>
        </w:rPr>
        <w:t>W odniesieniu do emisji i pochłaniania w rezerwuarze węgla, który stanowi co najmniej 25–30% emisji lub pochłaniania w danej kategorii źródła lub pochłaniacza będącej priorytetem w krajowym wykazie państwa członkowskiego, ponieważ jego oszacowanie ma znaczny wpływ na sumaryczny wykaz gazów cieplarnianych tego państwa, jeśli chodzi o bezwzględny poziom emisji i pochłaniania, trend emisji i pochłaniania lub niepewność pod względem emisji i pochłaniania w kategoriach użytkowania gruntów – metoda co najmniej poziomu 2 zgodnie z wytycznymi IPCC z roku 2006 dotyczącymi krajowych wykazów gazów cieplarnianych.</w:t>
      </w:r>
    </w:p>
    <w:p w14:paraId="74C1EBF2" w14:textId="77777777" w:rsidR="00D8615F" w:rsidRPr="009A6C7C" w:rsidRDefault="00D8615F" w:rsidP="00D8615F">
      <w:pPr>
        <w:pStyle w:val="Tekstprzypisudolnego"/>
        <w:spacing w:after="60"/>
        <w:rPr>
          <w:sz w:val="18"/>
          <w:szCs w:val="18"/>
        </w:rPr>
      </w:pPr>
      <w:r w:rsidRPr="009A6C7C">
        <w:rPr>
          <w:sz w:val="18"/>
          <w:szCs w:val="18"/>
        </w:rPr>
        <w:t>Zachęca się państwa członkowskie do stosowania metody poziomu 3 zgodnie z wytycznymi IPCC z 2006 r. dotyczącymi krajowych wykazów gazów cieplarnianych.</w:t>
      </w:r>
    </w:p>
  </w:footnote>
  <w:footnote w:id="5">
    <w:p w14:paraId="725A999D" w14:textId="3C00796C" w:rsidR="00D8615F" w:rsidRPr="009A6C7C" w:rsidRDefault="00D8615F" w:rsidP="00D8615F">
      <w:pPr>
        <w:pStyle w:val="Tekstprzypisudolnego"/>
        <w:rPr>
          <w:sz w:val="18"/>
          <w:szCs w:val="18"/>
        </w:rPr>
      </w:pPr>
      <w:r w:rsidRPr="009A6C7C">
        <w:rPr>
          <w:rStyle w:val="Odwoanieprzypisudolnego"/>
          <w:sz w:val="18"/>
          <w:szCs w:val="18"/>
        </w:rPr>
        <w:footnoteRef/>
      </w:r>
      <w:r w:rsidRPr="009A6C7C">
        <w:rPr>
          <w:sz w:val="18"/>
          <w:szCs w:val="18"/>
        </w:rPr>
        <w:t xml:space="preserve"> </w:t>
      </w:r>
      <w:r w:rsidRPr="009A6C7C">
        <w:rPr>
          <w:rFonts w:eastAsia="Lato" w:cs="Lato"/>
          <w:sz w:val="18"/>
          <w:szCs w:val="18"/>
        </w:rPr>
        <w:t>W motywie 7 dyrektywy RED III zaleca się, żeby w celu uzupełnienia swoich krajowych założeń i celów dotyczących finansowania, promowania produkcji energii ze źródeł odnawialnych w oparciu o innowacyjne technologie energii odnawialnej oraz w celu utrzymania wiodącej pozycji Unii w dziedzinie badań naukowych i rozwoju innowacyjnych technologii energii odnawialnej, każde państwo członkowskie wyznaczyło orientacyjny cel w zakresie innowacyjnych technologii energii odnawialnej na poziomie co najmniej 5% nowo zainstalowanej mocy energii odnawialnej do 2030 r.  Zalecenie to zostało zapisane w art. 3 ust. 1, w zdaniu, że państwa członkowskie ustalają orientacyjny cel zakładający, że do 2030 r. innowacyjna technologia energii odnawialnej będzie stanowiła co najmniej 5% nowo zainstalowanej mocy w zakresie energii odnawialnej.</w:t>
      </w:r>
    </w:p>
  </w:footnote>
  <w:footnote w:id="6">
    <w:p w14:paraId="4E859255" w14:textId="7F0D50F8" w:rsidR="00D8615F" w:rsidRPr="009A6C7C" w:rsidRDefault="00D8615F" w:rsidP="00D8615F">
      <w:pPr>
        <w:pStyle w:val="footnotedescription"/>
        <w:spacing w:line="266" w:lineRule="auto"/>
        <w:rPr>
          <w:rFonts w:ascii="Lato" w:hAnsi="Lato"/>
          <w:sz w:val="18"/>
          <w:szCs w:val="18"/>
        </w:rPr>
      </w:pPr>
      <w:r w:rsidRPr="009A6C7C">
        <w:rPr>
          <w:rStyle w:val="footnotemark"/>
          <w:rFonts w:ascii="Lato" w:eastAsiaTheme="majorEastAsia" w:hAnsi="Lato"/>
          <w:sz w:val="18"/>
          <w:szCs w:val="18"/>
        </w:rPr>
        <w:footnoteRef/>
      </w:r>
      <w:r w:rsidRPr="009A6C7C">
        <w:rPr>
          <w:rFonts w:ascii="Lato" w:hAnsi="Lato"/>
          <w:sz w:val="18"/>
          <w:szCs w:val="18"/>
        </w:rPr>
        <w:t xml:space="preserve"> Zalecenie Rady z dnia 16 czerwca 2022 r. w sprawie zapewnienia sprawiedliwej transformacji w kierunku neutralności klimatycznej</w:t>
      </w:r>
      <w:r>
        <w:rPr>
          <w:rFonts w:ascii="Lato" w:hAnsi="Lato"/>
          <w:sz w:val="18"/>
          <w:szCs w:val="18"/>
        </w:rPr>
        <w:t xml:space="preserve"> (</w:t>
      </w:r>
      <w:r w:rsidRPr="009A6C7C">
        <w:rPr>
          <w:rFonts w:ascii="Lato" w:hAnsi="Lato"/>
          <w:sz w:val="18"/>
          <w:szCs w:val="18"/>
        </w:rPr>
        <w:t>Dz.U. C 243 z 27.6.2022, s. 35</w:t>
      </w:r>
      <w:r>
        <w:rPr>
          <w:rFonts w:ascii="Lato" w:hAnsi="Lato"/>
          <w:sz w:val="18"/>
          <w:szCs w:val="18"/>
        </w:rPr>
        <w:t>)</w:t>
      </w:r>
      <w:r w:rsidRPr="009A6C7C">
        <w:rPr>
          <w:rFonts w:ascii="Lato" w:hAnsi="Lato"/>
          <w:sz w:val="18"/>
          <w:szCs w:val="18"/>
        </w:rPr>
        <w:t xml:space="preserve">. </w:t>
      </w:r>
    </w:p>
  </w:footnote>
  <w:footnote w:id="7">
    <w:p w14:paraId="754BA49C" w14:textId="5D8E9235" w:rsidR="00D8615F" w:rsidRPr="009A6C7C" w:rsidRDefault="00D8615F" w:rsidP="00D8615F">
      <w:pPr>
        <w:pStyle w:val="footnotedescription"/>
        <w:spacing w:line="261" w:lineRule="auto"/>
        <w:ind w:left="284" w:right="3" w:hanging="284"/>
        <w:rPr>
          <w:rFonts w:ascii="Lato" w:hAnsi="Lato"/>
          <w:sz w:val="18"/>
          <w:szCs w:val="18"/>
        </w:rPr>
      </w:pPr>
      <w:r w:rsidRPr="009A6C7C">
        <w:rPr>
          <w:rStyle w:val="footnotemark"/>
          <w:rFonts w:ascii="Lato" w:eastAsiaTheme="majorEastAsia" w:hAnsi="Lato"/>
          <w:sz w:val="18"/>
          <w:szCs w:val="18"/>
        </w:rPr>
        <w:footnoteRef/>
      </w:r>
      <w:r w:rsidRPr="009A6C7C">
        <w:rPr>
          <w:rFonts w:ascii="Lato" w:hAnsi="Lato"/>
          <w:sz w:val="18"/>
          <w:szCs w:val="18"/>
        </w:rPr>
        <w:t xml:space="preserve"> Rozporządzenie </w:t>
      </w:r>
      <w:r w:rsidR="008527D4">
        <w:rPr>
          <w:rFonts w:ascii="Lato" w:hAnsi="Lato"/>
          <w:sz w:val="18"/>
          <w:szCs w:val="18"/>
        </w:rPr>
        <w:t>PE</w:t>
      </w:r>
      <w:r w:rsidRPr="009A6C7C">
        <w:rPr>
          <w:rFonts w:ascii="Lato" w:hAnsi="Lato"/>
          <w:sz w:val="18"/>
          <w:szCs w:val="18"/>
        </w:rPr>
        <w:t xml:space="preserve"> i Rady (UE) 2023/955 z dnia 10 maja 2023 r. w sprawie ustanowienia Społecznego Funduszu Klimatycznego i zmieniające rozporządzenie (UE) 2021/1060 (Dz.U. L 130 z 16.5.2023, s.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C319" w14:textId="74A6E4CF" w:rsidR="006636D9" w:rsidRPr="0091672F" w:rsidRDefault="006A39D0" w:rsidP="006636D9">
    <w:pPr>
      <w:pStyle w:val="Nagwek"/>
      <w:jc w:val="right"/>
    </w:pPr>
    <w:r>
      <w:t xml:space="preserve"> </w:t>
    </w:r>
    <w:r w:rsidR="0091672F">
      <w:t>Z</w:t>
    </w:r>
    <w:r w:rsidR="006636D9" w:rsidRPr="0091672F">
      <w:t>ałącznik 6. do aKPEiK – Odniesienie do zaleceń KE</w:t>
    </w:r>
  </w:p>
  <w:p w14:paraId="4E2FD1EE" w14:textId="61408473" w:rsidR="006A39D0" w:rsidRPr="0091672F" w:rsidRDefault="006A3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79C1" w14:textId="41516B4C" w:rsidR="00156737" w:rsidRPr="00E63862" w:rsidRDefault="00704209" w:rsidP="00713FF0">
    <w:pPr>
      <w:pStyle w:val="Nagwek"/>
      <w:jc w:val="right"/>
      <w:rPr>
        <w:i/>
        <w:iCs/>
      </w:rPr>
    </w:pPr>
    <w:r w:rsidRPr="00E63862">
      <w:rPr>
        <w:i/>
        <w:iCs/>
      </w:rPr>
      <w:t>Z</w:t>
    </w:r>
    <w:r w:rsidR="00713FF0" w:rsidRPr="00E63862">
      <w:rPr>
        <w:i/>
        <w:iCs/>
      </w:rPr>
      <w:t>ałącznik 6. do aKPEiK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56B"/>
    <w:multiLevelType w:val="hybridMultilevel"/>
    <w:tmpl w:val="202A461A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D43462"/>
    <w:multiLevelType w:val="hybridMultilevel"/>
    <w:tmpl w:val="AA82B432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502BF0"/>
    <w:multiLevelType w:val="hybridMultilevel"/>
    <w:tmpl w:val="5DC00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259"/>
    <w:multiLevelType w:val="multilevel"/>
    <w:tmpl w:val="84EA6362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Lato" w:hAnsi="Lato" w:hint="default"/>
        <w:sz w:val="44"/>
        <w:szCs w:val="24"/>
      </w:rPr>
    </w:lvl>
    <w:lvl w:ilvl="1">
      <w:start w:val="1"/>
      <w:numFmt w:val="decimal"/>
      <w:pStyle w:val="Nagwek2"/>
      <w:suff w:val="space"/>
      <w:lvlText w:val="%2."/>
      <w:lvlJc w:val="left"/>
      <w:pPr>
        <w:ind w:left="567" w:hanging="567"/>
      </w:pPr>
      <w:rPr>
        <w:rFonts w:hint="default"/>
        <w:color w:val="FFFFFF" w:themeColor="background1"/>
      </w:rPr>
    </w:lvl>
    <w:lvl w:ilvl="2">
      <w:start w:val="1"/>
      <w:numFmt w:val="decimal"/>
      <w:pStyle w:val="Nagwek3"/>
      <w:lvlText w:val="Obszar 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agwek4"/>
      <w:lvlText w:val="Cel. 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pStyle w:val="Nagwek5"/>
      <w:lvlText w:val="%2.%3.%4.%5."/>
      <w:lvlJc w:val="left"/>
      <w:pPr>
        <w:ind w:left="1009" w:hanging="1009"/>
      </w:pPr>
      <w:rPr>
        <w:rFonts w:hint="default"/>
      </w:rPr>
    </w:lvl>
    <w:lvl w:ilvl="5">
      <w:start w:val="1"/>
      <w:numFmt w:val="none"/>
      <w:pStyle w:val="Nagwek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8F51C8"/>
    <w:multiLevelType w:val="hybridMultilevel"/>
    <w:tmpl w:val="7A1880DC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123F7A"/>
    <w:multiLevelType w:val="hybridMultilevel"/>
    <w:tmpl w:val="C28E7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3BB7"/>
    <w:multiLevelType w:val="hybridMultilevel"/>
    <w:tmpl w:val="25967446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A338B2"/>
    <w:multiLevelType w:val="hybridMultilevel"/>
    <w:tmpl w:val="F710C216"/>
    <w:lvl w:ilvl="0" w:tplc="0BB2163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53DCF"/>
    <w:multiLevelType w:val="hybridMultilevel"/>
    <w:tmpl w:val="F200916A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D7BC9"/>
    <w:multiLevelType w:val="hybridMultilevel"/>
    <w:tmpl w:val="6444F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B6F24"/>
    <w:multiLevelType w:val="hybridMultilevel"/>
    <w:tmpl w:val="1D84D32E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E273B6"/>
    <w:multiLevelType w:val="hybridMultilevel"/>
    <w:tmpl w:val="AD228970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753A6B"/>
    <w:multiLevelType w:val="hybridMultilevel"/>
    <w:tmpl w:val="9D241736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385D88"/>
    <w:multiLevelType w:val="hybridMultilevel"/>
    <w:tmpl w:val="FDE60706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7467DE"/>
    <w:multiLevelType w:val="hybridMultilevel"/>
    <w:tmpl w:val="DCF649EC"/>
    <w:lvl w:ilvl="0" w:tplc="FFFFFFFF">
      <w:start w:val="1"/>
      <w:numFmt w:val="decimal"/>
      <w:lvlText w:val="(%1)"/>
      <w:lvlJc w:val="left"/>
      <w:pPr>
        <w:ind w:left="544" w:hanging="360"/>
      </w:pPr>
    </w:lvl>
    <w:lvl w:ilvl="1" w:tplc="04150019" w:tentative="1">
      <w:start w:val="1"/>
      <w:numFmt w:val="lowerLetter"/>
      <w:lvlText w:val="%2."/>
      <w:lvlJc w:val="left"/>
      <w:pPr>
        <w:ind w:left="1264" w:hanging="360"/>
      </w:pPr>
    </w:lvl>
    <w:lvl w:ilvl="2" w:tplc="0415001B" w:tentative="1">
      <w:start w:val="1"/>
      <w:numFmt w:val="lowerRoman"/>
      <w:lvlText w:val="%3."/>
      <w:lvlJc w:val="right"/>
      <w:pPr>
        <w:ind w:left="1984" w:hanging="180"/>
      </w:pPr>
    </w:lvl>
    <w:lvl w:ilvl="3" w:tplc="0415000F" w:tentative="1">
      <w:start w:val="1"/>
      <w:numFmt w:val="decimal"/>
      <w:lvlText w:val="%4."/>
      <w:lvlJc w:val="left"/>
      <w:pPr>
        <w:ind w:left="2704" w:hanging="360"/>
      </w:pPr>
    </w:lvl>
    <w:lvl w:ilvl="4" w:tplc="04150019" w:tentative="1">
      <w:start w:val="1"/>
      <w:numFmt w:val="lowerLetter"/>
      <w:lvlText w:val="%5."/>
      <w:lvlJc w:val="left"/>
      <w:pPr>
        <w:ind w:left="3424" w:hanging="360"/>
      </w:pPr>
    </w:lvl>
    <w:lvl w:ilvl="5" w:tplc="0415001B" w:tentative="1">
      <w:start w:val="1"/>
      <w:numFmt w:val="lowerRoman"/>
      <w:lvlText w:val="%6."/>
      <w:lvlJc w:val="right"/>
      <w:pPr>
        <w:ind w:left="4144" w:hanging="180"/>
      </w:pPr>
    </w:lvl>
    <w:lvl w:ilvl="6" w:tplc="0415000F" w:tentative="1">
      <w:start w:val="1"/>
      <w:numFmt w:val="decimal"/>
      <w:lvlText w:val="%7."/>
      <w:lvlJc w:val="left"/>
      <w:pPr>
        <w:ind w:left="4864" w:hanging="360"/>
      </w:pPr>
    </w:lvl>
    <w:lvl w:ilvl="7" w:tplc="04150019" w:tentative="1">
      <w:start w:val="1"/>
      <w:numFmt w:val="lowerLetter"/>
      <w:lvlText w:val="%8."/>
      <w:lvlJc w:val="left"/>
      <w:pPr>
        <w:ind w:left="5584" w:hanging="360"/>
      </w:pPr>
    </w:lvl>
    <w:lvl w:ilvl="8" w:tplc="0415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5" w15:restartNumberingAfterBreak="0">
    <w:nsid w:val="506C14B2"/>
    <w:multiLevelType w:val="hybridMultilevel"/>
    <w:tmpl w:val="67187B3A"/>
    <w:lvl w:ilvl="0" w:tplc="0BB2163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F30A1"/>
    <w:multiLevelType w:val="hybridMultilevel"/>
    <w:tmpl w:val="9C7E39B6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5B3C0C"/>
    <w:multiLevelType w:val="hybridMultilevel"/>
    <w:tmpl w:val="C6403AB6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8942F9"/>
    <w:multiLevelType w:val="hybridMultilevel"/>
    <w:tmpl w:val="107A63D6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C25ABC"/>
    <w:multiLevelType w:val="hybridMultilevel"/>
    <w:tmpl w:val="5B64A3B4"/>
    <w:lvl w:ilvl="0" w:tplc="A2EEEDEE">
      <w:start w:val="1"/>
      <w:numFmt w:val="lowerLetter"/>
      <w:lvlText w:val="(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75A208EA"/>
    <w:multiLevelType w:val="hybridMultilevel"/>
    <w:tmpl w:val="4FC84648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8A4583"/>
    <w:multiLevelType w:val="hybridMultilevel"/>
    <w:tmpl w:val="0D1EA12C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A82072"/>
    <w:multiLevelType w:val="hybridMultilevel"/>
    <w:tmpl w:val="B4FCD832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621E65"/>
    <w:multiLevelType w:val="hybridMultilevel"/>
    <w:tmpl w:val="7C322D68"/>
    <w:lvl w:ilvl="0" w:tplc="A2EEED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8351002">
    <w:abstractNumId w:val="3"/>
  </w:num>
  <w:num w:numId="2" w16cid:durableId="1737969634">
    <w:abstractNumId w:val="14"/>
  </w:num>
  <w:num w:numId="3" w16cid:durableId="843125376">
    <w:abstractNumId w:val="19"/>
  </w:num>
  <w:num w:numId="4" w16cid:durableId="1662734716">
    <w:abstractNumId w:val="13"/>
  </w:num>
  <w:num w:numId="5" w16cid:durableId="1245336016">
    <w:abstractNumId w:val="18"/>
  </w:num>
  <w:num w:numId="6" w16cid:durableId="1541555167">
    <w:abstractNumId w:val="20"/>
  </w:num>
  <w:num w:numId="7" w16cid:durableId="1201478745">
    <w:abstractNumId w:val="12"/>
  </w:num>
  <w:num w:numId="8" w16cid:durableId="327442808">
    <w:abstractNumId w:val="1"/>
  </w:num>
  <w:num w:numId="9" w16cid:durableId="1092360211">
    <w:abstractNumId w:val="16"/>
  </w:num>
  <w:num w:numId="10" w16cid:durableId="1650356988">
    <w:abstractNumId w:val="21"/>
  </w:num>
  <w:num w:numId="11" w16cid:durableId="1444617196">
    <w:abstractNumId w:val="17"/>
  </w:num>
  <w:num w:numId="12" w16cid:durableId="1041171875">
    <w:abstractNumId w:val="23"/>
  </w:num>
  <w:num w:numId="13" w16cid:durableId="1681084325">
    <w:abstractNumId w:val="11"/>
  </w:num>
  <w:num w:numId="14" w16cid:durableId="223682449">
    <w:abstractNumId w:val="6"/>
  </w:num>
  <w:num w:numId="15" w16cid:durableId="157766261">
    <w:abstractNumId w:val="4"/>
  </w:num>
  <w:num w:numId="16" w16cid:durableId="2085099425">
    <w:abstractNumId w:val="8"/>
  </w:num>
  <w:num w:numId="17" w16cid:durableId="2115857244">
    <w:abstractNumId w:val="22"/>
  </w:num>
  <w:num w:numId="18" w16cid:durableId="868496882">
    <w:abstractNumId w:val="10"/>
  </w:num>
  <w:num w:numId="19" w16cid:durableId="1553731104">
    <w:abstractNumId w:val="0"/>
  </w:num>
  <w:num w:numId="20" w16cid:durableId="689457087">
    <w:abstractNumId w:val="5"/>
  </w:num>
  <w:num w:numId="21" w16cid:durableId="867717463">
    <w:abstractNumId w:val="9"/>
  </w:num>
  <w:num w:numId="22" w16cid:durableId="1678382578">
    <w:abstractNumId w:val="7"/>
  </w:num>
  <w:num w:numId="23" w16cid:durableId="922878527">
    <w:abstractNumId w:val="15"/>
  </w:num>
  <w:num w:numId="24" w16cid:durableId="965156141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61"/>
    <w:rsid w:val="00000734"/>
    <w:rsid w:val="0000074A"/>
    <w:rsid w:val="000029E7"/>
    <w:rsid w:val="000032A5"/>
    <w:rsid w:val="000041E0"/>
    <w:rsid w:val="00007238"/>
    <w:rsid w:val="00011EE3"/>
    <w:rsid w:val="000133BC"/>
    <w:rsid w:val="00013573"/>
    <w:rsid w:val="00013D10"/>
    <w:rsid w:val="00014A86"/>
    <w:rsid w:val="00014C8E"/>
    <w:rsid w:val="000152EE"/>
    <w:rsid w:val="00015363"/>
    <w:rsid w:val="000154DE"/>
    <w:rsid w:val="000155F9"/>
    <w:rsid w:val="00020F56"/>
    <w:rsid w:val="00021535"/>
    <w:rsid w:val="00022406"/>
    <w:rsid w:val="00022613"/>
    <w:rsid w:val="0002312E"/>
    <w:rsid w:val="00024489"/>
    <w:rsid w:val="00024619"/>
    <w:rsid w:val="00024875"/>
    <w:rsid w:val="00024AFC"/>
    <w:rsid w:val="000252C0"/>
    <w:rsid w:val="00025ADB"/>
    <w:rsid w:val="00026968"/>
    <w:rsid w:val="00026B76"/>
    <w:rsid w:val="00030513"/>
    <w:rsid w:val="00030E13"/>
    <w:rsid w:val="00032708"/>
    <w:rsid w:val="000345B8"/>
    <w:rsid w:val="000354FC"/>
    <w:rsid w:val="000355C5"/>
    <w:rsid w:val="00037E94"/>
    <w:rsid w:val="000406CB"/>
    <w:rsid w:val="00041437"/>
    <w:rsid w:val="00042304"/>
    <w:rsid w:val="0004331D"/>
    <w:rsid w:val="00043521"/>
    <w:rsid w:val="00044565"/>
    <w:rsid w:val="00044D05"/>
    <w:rsid w:val="000453CF"/>
    <w:rsid w:val="00045F4B"/>
    <w:rsid w:val="00047932"/>
    <w:rsid w:val="00050EC3"/>
    <w:rsid w:val="00051899"/>
    <w:rsid w:val="0005194E"/>
    <w:rsid w:val="00053328"/>
    <w:rsid w:val="00054383"/>
    <w:rsid w:val="000557EE"/>
    <w:rsid w:val="00055FD0"/>
    <w:rsid w:val="00056287"/>
    <w:rsid w:val="00056585"/>
    <w:rsid w:val="00056AAE"/>
    <w:rsid w:val="00057E28"/>
    <w:rsid w:val="00060354"/>
    <w:rsid w:val="000608EA"/>
    <w:rsid w:val="00060C25"/>
    <w:rsid w:val="000619B3"/>
    <w:rsid w:val="000639DA"/>
    <w:rsid w:val="000647DB"/>
    <w:rsid w:val="00065D7A"/>
    <w:rsid w:val="000669E9"/>
    <w:rsid w:val="00067979"/>
    <w:rsid w:val="00070AAD"/>
    <w:rsid w:val="0007244C"/>
    <w:rsid w:val="00072534"/>
    <w:rsid w:val="00074286"/>
    <w:rsid w:val="00074315"/>
    <w:rsid w:val="00075A9C"/>
    <w:rsid w:val="00075D24"/>
    <w:rsid w:val="00076781"/>
    <w:rsid w:val="00076810"/>
    <w:rsid w:val="00076CBC"/>
    <w:rsid w:val="00077CC9"/>
    <w:rsid w:val="00080BA7"/>
    <w:rsid w:val="000817A4"/>
    <w:rsid w:val="00082450"/>
    <w:rsid w:val="000826C8"/>
    <w:rsid w:val="0008327E"/>
    <w:rsid w:val="00083344"/>
    <w:rsid w:val="00083588"/>
    <w:rsid w:val="000840AF"/>
    <w:rsid w:val="000847D8"/>
    <w:rsid w:val="000855B2"/>
    <w:rsid w:val="00086894"/>
    <w:rsid w:val="000907AD"/>
    <w:rsid w:val="00091927"/>
    <w:rsid w:val="00093AFF"/>
    <w:rsid w:val="00093D74"/>
    <w:rsid w:val="000947CE"/>
    <w:rsid w:val="00094AC3"/>
    <w:rsid w:val="000952A4"/>
    <w:rsid w:val="000954F2"/>
    <w:rsid w:val="000973FB"/>
    <w:rsid w:val="00097740"/>
    <w:rsid w:val="000A2EA9"/>
    <w:rsid w:val="000A3DDB"/>
    <w:rsid w:val="000A452C"/>
    <w:rsid w:val="000A461A"/>
    <w:rsid w:val="000A4ADB"/>
    <w:rsid w:val="000A541B"/>
    <w:rsid w:val="000A5A45"/>
    <w:rsid w:val="000A6243"/>
    <w:rsid w:val="000A6EB6"/>
    <w:rsid w:val="000A7B74"/>
    <w:rsid w:val="000B2BD1"/>
    <w:rsid w:val="000B33E3"/>
    <w:rsid w:val="000B35EF"/>
    <w:rsid w:val="000B376A"/>
    <w:rsid w:val="000B393A"/>
    <w:rsid w:val="000B5849"/>
    <w:rsid w:val="000B5A2B"/>
    <w:rsid w:val="000B5BED"/>
    <w:rsid w:val="000B65C9"/>
    <w:rsid w:val="000B6DBD"/>
    <w:rsid w:val="000B7A79"/>
    <w:rsid w:val="000B7AD2"/>
    <w:rsid w:val="000C170E"/>
    <w:rsid w:val="000C2A6C"/>
    <w:rsid w:val="000C39D7"/>
    <w:rsid w:val="000C5A30"/>
    <w:rsid w:val="000C5CA2"/>
    <w:rsid w:val="000D1252"/>
    <w:rsid w:val="000D1909"/>
    <w:rsid w:val="000D2929"/>
    <w:rsid w:val="000D2C18"/>
    <w:rsid w:val="000D2EC4"/>
    <w:rsid w:val="000D370C"/>
    <w:rsid w:val="000D4240"/>
    <w:rsid w:val="000D4915"/>
    <w:rsid w:val="000D74A4"/>
    <w:rsid w:val="000D74C9"/>
    <w:rsid w:val="000D7FA8"/>
    <w:rsid w:val="000E03F4"/>
    <w:rsid w:val="000E125B"/>
    <w:rsid w:val="000E19D4"/>
    <w:rsid w:val="000E1BCD"/>
    <w:rsid w:val="000E240E"/>
    <w:rsid w:val="000E3BDD"/>
    <w:rsid w:val="000E41C4"/>
    <w:rsid w:val="000E51BB"/>
    <w:rsid w:val="000E5C6F"/>
    <w:rsid w:val="000E60C5"/>
    <w:rsid w:val="000E6C24"/>
    <w:rsid w:val="000E6ECC"/>
    <w:rsid w:val="000E71A6"/>
    <w:rsid w:val="000E7E63"/>
    <w:rsid w:val="000F1865"/>
    <w:rsid w:val="000F2F7E"/>
    <w:rsid w:val="000F30EF"/>
    <w:rsid w:val="000F3C04"/>
    <w:rsid w:val="000F4E7D"/>
    <w:rsid w:val="000F514E"/>
    <w:rsid w:val="000F62FD"/>
    <w:rsid w:val="000F78F6"/>
    <w:rsid w:val="00100755"/>
    <w:rsid w:val="00100968"/>
    <w:rsid w:val="00101DF9"/>
    <w:rsid w:val="00102164"/>
    <w:rsid w:val="001039C9"/>
    <w:rsid w:val="00103ADD"/>
    <w:rsid w:val="00104910"/>
    <w:rsid w:val="00104C74"/>
    <w:rsid w:val="00105306"/>
    <w:rsid w:val="001058BD"/>
    <w:rsid w:val="001078E9"/>
    <w:rsid w:val="00107E7C"/>
    <w:rsid w:val="00112AFA"/>
    <w:rsid w:val="00112D27"/>
    <w:rsid w:val="00113C4B"/>
    <w:rsid w:val="001144FC"/>
    <w:rsid w:val="00114D74"/>
    <w:rsid w:val="00114FAF"/>
    <w:rsid w:val="001150BC"/>
    <w:rsid w:val="00115798"/>
    <w:rsid w:val="00115EB7"/>
    <w:rsid w:val="00116706"/>
    <w:rsid w:val="00117314"/>
    <w:rsid w:val="001174B1"/>
    <w:rsid w:val="00117B86"/>
    <w:rsid w:val="00120A7D"/>
    <w:rsid w:val="00122156"/>
    <w:rsid w:val="00125A37"/>
    <w:rsid w:val="0012621D"/>
    <w:rsid w:val="00126A0B"/>
    <w:rsid w:val="00127CFA"/>
    <w:rsid w:val="00127FE4"/>
    <w:rsid w:val="001305A8"/>
    <w:rsid w:val="00131BA8"/>
    <w:rsid w:val="00131C56"/>
    <w:rsid w:val="00131D8B"/>
    <w:rsid w:val="001323DA"/>
    <w:rsid w:val="001327F1"/>
    <w:rsid w:val="00133B72"/>
    <w:rsid w:val="0013403E"/>
    <w:rsid w:val="00134700"/>
    <w:rsid w:val="00134BE3"/>
    <w:rsid w:val="0013582D"/>
    <w:rsid w:val="00135ACE"/>
    <w:rsid w:val="00135E47"/>
    <w:rsid w:val="0013643C"/>
    <w:rsid w:val="00136584"/>
    <w:rsid w:val="00137338"/>
    <w:rsid w:val="00137652"/>
    <w:rsid w:val="0013781E"/>
    <w:rsid w:val="0013799F"/>
    <w:rsid w:val="00144326"/>
    <w:rsid w:val="001451E9"/>
    <w:rsid w:val="00146245"/>
    <w:rsid w:val="001466B2"/>
    <w:rsid w:val="00147008"/>
    <w:rsid w:val="00147392"/>
    <w:rsid w:val="001473F6"/>
    <w:rsid w:val="00150B9A"/>
    <w:rsid w:val="00151365"/>
    <w:rsid w:val="00153D02"/>
    <w:rsid w:val="00154EA2"/>
    <w:rsid w:val="0015508F"/>
    <w:rsid w:val="00156737"/>
    <w:rsid w:val="001571C0"/>
    <w:rsid w:val="00157779"/>
    <w:rsid w:val="001603AE"/>
    <w:rsid w:val="00162BD9"/>
    <w:rsid w:val="00162C82"/>
    <w:rsid w:val="001634B4"/>
    <w:rsid w:val="00163CF0"/>
    <w:rsid w:val="0016455E"/>
    <w:rsid w:val="00164D1F"/>
    <w:rsid w:val="00164E09"/>
    <w:rsid w:val="0016533D"/>
    <w:rsid w:val="00165A9C"/>
    <w:rsid w:val="00166B74"/>
    <w:rsid w:val="001675FD"/>
    <w:rsid w:val="0017061F"/>
    <w:rsid w:val="00170B2F"/>
    <w:rsid w:val="0017116C"/>
    <w:rsid w:val="00171BB2"/>
    <w:rsid w:val="00173360"/>
    <w:rsid w:val="00173CF7"/>
    <w:rsid w:val="00174C5E"/>
    <w:rsid w:val="00174C91"/>
    <w:rsid w:val="0017579F"/>
    <w:rsid w:val="00176335"/>
    <w:rsid w:val="00177C2B"/>
    <w:rsid w:val="00180B63"/>
    <w:rsid w:val="001819CE"/>
    <w:rsid w:val="00184647"/>
    <w:rsid w:val="00186786"/>
    <w:rsid w:val="00187A35"/>
    <w:rsid w:val="00187AEE"/>
    <w:rsid w:val="001908CF"/>
    <w:rsid w:val="00190C0F"/>
    <w:rsid w:val="0019102F"/>
    <w:rsid w:val="0019156E"/>
    <w:rsid w:val="00192775"/>
    <w:rsid w:val="001928BC"/>
    <w:rsid w:val="00192CC1"/>
    <w:rsid w:val="00193059"/>
    <w:rsid w:val="00194461"/>
    <w:rsid w:val="00194F9A"/>
    <w:rsid w:val="00196085"/>
    <w:rsid w:val="001966A5"/>
    <w:rsid w:val="00196C1F"/>
    <w:rsid w:val="001A04F5"/>
    <w:rsid w:val="001A0C6D"/>
    <w:rsid w:val="001A2A60"/>
    <w:rsid w:val="001A33D9"/>
    <w:rsid w:val="001A3440"/>
    <w:rsid w:val="001A37DA"/>
    <w:rsid w:val="001A45B6"/>
    <w:rsid w:val="001A4B5E"/>
    <w:rsid w:val="001A55A8"/>
    <w:rsid w:val="001A563D"/>
    <w:rsid w:val="001A567B"/>
    <w:rsid w:val="001A7E52"/>
    <w:rsid w:val="001B1463"/>
    <w:rsid w:val="001B1984"/>
    <w:rsid w:val="001B23F0"/>
    <w:rsid w:val="001B3C2E"/>
    <w:rsid w:val="001B42F0"/>
    <w:rsid w:val="001B49A5"/>
    <w:rsid w:val="001B4D1A"/>
    <w:rsid w:val="001B60E6"/>
    <w:rsid w:val="001B6485"/>
    <w:rsid w:val="001B6DBE"/>
    <w:rsid w:val="001B6EF9"/>
    <w:rsid w:val="001B7693"/>
    <w:rsid w:val="001C0370"/>
    <w:rsid w:val="001C08C3"/>
    <w:rsid w:val="001C126E"/>
    <w:rsid w:val="001C141A"/>
    <w:rsid w:val="001C38F1"/>
    <w:rsid w:val="001C3FA3"/>
    <w:rsid w:val="001C4F5B"/>
    <w:rsid w:val="001C5841"/>
    <w:rsid w:val="001C5BCE"/>
    <w:rsid w:val="001C7392"/>
    <w:rsid w:val="001C7FF4"/>
    <w:rsid w:val="001D203C"/>
    <w:rsid w:val="001D254E"/>
    <w:rsid w:val="001D2611"/>
    <w:rsid w:val="001D2C64"/>
    <w:rsid w:val="001D3258"/>
    <w:rsid w:val="001D48DB"/>
    <w:rsid w:val="001D4BA5"/>
    <w:rsid w:val="001D4C71"/>
    <w:rsid w:val="001D4F3C"/>
    <w:rsid w:val="001D5196"/>
    <w:rsid w:val="001D643A"/>
    <w:rsid w:val="001D6A7F"/>
    <w:rsid w:val="001D79FD"/>
    <w:rsid w:val="001D7E02"/>
    <w:rsid w:val="001E052F"/>
    <w:rsid w:val="001E1894"/>
    <w:rsid w:val="001E1B34"/>
    <w:rsid w:val="001E22AB"/>
    <w:rsid w:val="001E24F0"/>
    <w:rsid w:val="001E3949"/>
    <w:rsid w:val="001E4CC6"/>
    <w:rsid w:val="001E5A49"/>
    <w:rsid w:val="001E633D"/>
    <w:rsid w:val="001E69CC"/>
    <w:rsid w:val="001E75C1"/>
    <w:rsid w:val="001F0099"/>
    <w:rsid w:val="001F0AC7"/>
    <w:rsid w:val="001F1A0E"/>
    <w:rsid w:val="001F1F27"/>
    <w:rsid w:val="001F287B"/>
    <w:rsid w:val="001F34FE"/>
    <w:rsid w:val="001F7694"/>
    <w:rsid w:val="001F7AE9"/>
    <w:rsid w:val="002009F8"/>
    <w:rsid w:val="00200BBF"/>
    <w:rsid w:val="00200D01"/>
    <w:rsid w:val="00201BF8"/>
    <w:rsid w:val="00202AF4"/>
    <w:rsid w:val="00203C68"/>
    <w:rsid w:val="002040AF"/>
    <w:rsid w:val="00204199"/>
    <w:rsid w:val="00204200"/>
    <w:rsid w:val="00204676"/>
    <w:rsid w:val="002057D7"/>
    <w:rsid w:val="0020609D"/>
    <w:rsid w:val="0020797B"/>
    <w:rsid w:val="0021070C"/>
    <w:rsid w:val="00212281"/>
    <w:rsid w:val="00212CF2"/>
    <w:rsid w:val="002134AD"/>
    <w:rsid w:val="00215E5D"/>
    <w:rsid w:val="002164B8"/>
    <w:rsid w:val="002164CD"/>
    <w:rsid w:val="002178AC"/>
    <w:rsid w:val="00217F28"/>
    <w:rsid w:val="00220A47"/>
    <w:rsid w:val="00220D81"/>
    <w:rsid w:val="00223103"/>
    <w:rsid w:val="0022368D"/>
    <w:rsid w:val="00225E9D"/>
    <w:rsid w:val="00226FAD"/>
    <w:rsid w:val="00227851"/>
    <w:rsid w:val="00227904"/>
    <w:rsid w:val="002279C6"/>
    <w:rsid w:val="00231048"/>
    <w:rsid w:val="002318C6"/>
    <w:rsid w:val="002318D0"/>
    <w:rsid w:val="00231BB8"/>
    <w:rsid w:val="00232064"/>
    <w:rsid w:val="00232663"/>
    <w:rsid w:val="00232FFB"/>
    <w:rsid w:val="0023412E"/>
    <w:rsid w:val="002367CA"/>
    <w:rsid w:val="0023727C"/>
    <w:rsid w:val="002372C8"/>
    <w:rsid w:val="00237338"/>
    <w:rsid w:val="00237CF4"/>
    <w:rsid w:val="002409C8"/>
    <w:rsid w:val="00242340"/>
    <w:rsid w:val="00243EFA"/>
    <w:rsid w:val="00244538"/>
    <w:rsid w:val="00244A97"/>
    <w:rsid w:val="00246140"/>
    <w:rsid w:val="00246AF5"/>
    <w:rsid w:val="002514CC"/>
    <w:rsid w:val="002515C1"/>
    <w:rsid w:val="00252781"/>
    <w:rsid w:val="00254A2D"/>
    <w:rsid w:val="00254A4D"/>
    <w:rsid w:val="0025506B"/>
    <w:rsid w:val="00255AE2"/>
    <w:rsid w:val="00255F5C"/>
    <w:rsid w:val="002561AC"/>
    <w:rsid w:val="00256256"/>
    <w:rsid w:val="00256446"/>
    <w:rsid w:val="00256586"/>
    <w:rsid w:val="00256C2B"/>
    <w:rsid w:val="00256D98"/>
    <w:rsid w:val="002578B2"/>
    <w:rsid w:val="002602EF"/>
    <w:rsid w:val="00260F5F"/>
    <w:rsid w:val="00261474"/>
    <w:rsid w:val="0026186D"/>
    <w:rsid w:val="00262C83"/>
    <w:rsid w:val="0026311B"/>
    <w:rsid w:val="002635F5"/>
    <w:rsid w:val="002650ED"/>
    <w:rsid w:val="00265D1D"/>
    <w:rsid w:val="002664CF"/>
    <w:rsid w:val="00267A3C"/>
    <w:rsid w:val="00267A69"/>
    <w:rsid w:val="00270892"/>
    <w:rsid w:val="00271483"/>
    <w:rsid w:val="002720C4"/>
    <w:rsid w:val="00273790"/>
    <w:rsid w:val="00273FD8"/>
    <w:rsid w:val="00274044"/>
    <w:rsid w:val="0027487E"/>
    <w:rsid w:val="00274F08"/>
    <w:rsid w:val="00275994"/>
    <w:rsid w:val="00276111"/>
    <w:rsid w:val="002766DE"/>
    <w:rsid w:val="00276739"/>
    <w:rsid w:val="00276F2C"/>
    <w:rsid w:val="00276FD6"/>
    <w:rsid w:val="002802EC"/>
    <w:rsid w:val="00280B01"/>
    <w:rsid w:val="00280BF1"/>
    <w:rsid w:val="00281205"/>
    <w:rsid w:val="00282168"/>
    <w:rsid w:val="002825C1"/>
    <w:rsid w:val="00284561"/>
    <w:rsid w:val="00284572"/>
    <w:rsid w:val="00286FDD"/>
    <w:rsid w:val="00287516"/>
    <w:rsid w:val="00287862"/>
    <w:rsid w:val="00287DE6"/>
    <w:rsid w:val="00291F7D"/>
    <w:rsid w:val="00292793"/>
    <w:rsid w:val="00294C33"/>
    <w:rsid w:val="00295FC8"/>
    <w:rsid w:val="00296737"/>
    <w:rsid w:val="002A021F"/>
    <w:rsid w:val="002A0AD2"/>
    <w:rsid w:val="002A0B76"/>
    <w:rsid w:val="002A2FC6"/>
    <w:rsid w:val="002A4D48"/>
    <w:rsid w:val="002A5705"/>
    <w:rsid w:val="002A5A38"/>
    <w:rsid w:val="002A5F96"/>
    <w:rsid w:val="002A6DFA"/>
    <w:rsid w:val="002A7783"/>
    <w:rsid w:val="002A78CA"/>
    <w:rsid w:val="002A7DCE"/>
    <w:rsid w:val="002B0C64"/>
    <w:rsid w:val="002B26C2"/>
    <w:rsid w:val="002B495F"/>
    <w:rsid w:val="002B4DFC"/>
    <w:rsid w:val="002B4F0C"/>
    <w:rsid w:val="002B5CFB"/>
    <w:rsid w:val="002B7F78"/>
    <w:rsid w:val="002C1777"/>
    <w:rsid w:val="002C2731"/>
    <w:rsid w:val="002C36E7"/>
    <w:rsid w:val="002C382E"/>
    <w:rsid w:val="002C3B28"/>
    <w:rsid w:val="002C4078"/>
    <w:rsid w:val="002C4241"/>
    <w:rsid w:val="002C4B10"/>
    <w:rsid w:val="002C4B5C"/>
    <w:rsid w:val="002C5C76"/>
    <w:rsid w:val="002C5D2A"/>
    <w:rsid w:val="002C60EA"/>
    <w:rsid w:val="002D0846"/>
    <w:rsid w:val="002D0C2A"/>
    <w:rsid w:val="002D26C3"/>
    <w:rsid w:val="002D38AA"/>
    <w:rsid w:val="002E013A"/>
    <w:rsid w:val="002E04BF"/>
    <w:rsid w:val="002E068E"/>
    <w:rsid w:val="002E0F11"/>
    <w:rsid w:val="002E21AC"/>
    <w:rsid w:val="002E25BA"/>
    <w:rsid w:val="002E3810"/>
    <w:rsid w:val="002E3D66"/>
    <w:rsid w:val="002E4172"/>
    <w:rsid w:val="002E4C45"/>
    <w:rsid w:val="002E50DF"/>
    <w:rsid w:val="002E5435"/>
    <w:rsid w:val="002E6883"/>
    <w:rsid w:val="002E7134"/>
    <w:rsid w:val="002E7E3A"/>
    <w:rsid w:val="002F2E47"/>
    <w:rsid w:val="002F444D"/>
    <w:rsid w:val="002F5C50"/>
    <w:rsid w:val="003001C8"/>
    <w:rsid w:val="00301308"/>
    <w:rsid w:val="003028EB"/>
    <w:rsid w:val="003036B9"/>
    <w:rsid w:val="00304EE4"/>
    <w:rsid w:val="00304F58"/>
    <w:rsid w:val="00306029"/>
    <w:rsid w:val="00306542"/>
    <w:rsid w:val="00306EC0"/>
    <w:rsid w:val="0030798F"/>
    <w:rsid w:val="003103B4"/>
    <w:rsid w:val="0031137F"/>
    <w:rsid w:val="00312F74"/>
    <w:rsid w:val="00312FE1"/>
    <w:rsid w:val="00313DE1"/>
    <w:rsid w:val="003142A0"/>
    <w:rsid w:val="00314CA1"/>
    <w:rsid w:val="00315490"/>
    <w:rsid w:val="00315CD1"/>
    <w:rsid w:val="003201C3"/>
    <w:rsid w:val="003221F6"/>
    <w:rsid w:val="00323F9B"/>
    <w:rsid w:val="0032426B"/>
    <w:rsid w:val="003248FD"/>
    <w:rsid w:val="003258E7"/>
    <w:rsid w:val="00325CD4"/>
    <w:rsid w:val="003260C9"/>
    <w:rsid w:val="003266CE"/>
    <w:rsid w:val="00327382"/>
    <w:rsid w:val="0033073A"/>
    <w:rsid w:val="00331F05"/>
    <w:rsid w:val="00332CFC"/>
    <w:rsid w:val="0033443F"/>
    <w:rsid w:val="003352F5"/>
    <w:rsid w:val="00335AF1"/>
    <w:rsid w:val="00336579"/>
    <w:rsid w:val="003369C8"/>
    <w:rsid w:val="00337E80"/>
    <w:rsid w:val="0034179E"/>
    <w:rsid w:val="003432D5"/>
    <w:rsid w:val="003438B3"/>
    <w:rsid w:val="003442D1"/>
    <w:rsid w:val="0034650B"/>
    <w:rsid w:val="00346594"/>
    <w:rsid w:val="00351BA1"/>
    <w:rsid w:val="00354F4F"/>
    <w:rsid w:val="003556B2"/>
    <w:rsid w:val="00356465"/>
    <w:rsid w:val="00356804"/>
    <w:rsid w:val="003615D6"/>
    <w:rsid w:val="003629FB"/>
    <w:rsid w:val="00362D65"/>
    <w:rsid w:val="0036305B"/>
    <w:rsid w:val="00363592"/>
    <w:rsid w:val="00364C33"/>
    <w:rsid w:val="003654C6"/>
    <w:rsid w:val="003657F2"/>
    <w:rsid w:val="00365B44"/>
    <w:rsid w:val="0036616A"/>
    <w:rsid w:val="00366ABF"/>
    <w:rsid w:val="0036745E"/>
    <w:rsid w:val="00370BB4"/>
    <w:rsid w:val="003717B1"/>
    <w:rsid w:val="0037341E"/>
    <w:rsid w:val="00374A29"/>
    <w:rsid w:val="00374D0F"/>
    <w:rsid w:val="00375130"/>
    <w:rsid w:val="003757BF"/>
    <w:rsid w:val="00376732"/>
    <w:rsid w:val="003768A4"/>
    <w:rsid w:val="003768C4"/>
    <w:rsid w:val="003772B3"/>
    <w:rsid w:val="003774DE"/>
    <w:rsid w:val="00377FFB"/>
    <w:rsid w:val="00380D5F"/>
    <w:rsid w:val="00380E2E"/>
    <w:rsid w:val="0038115D"/>
    <w:rsid w:val="003829EA"/>
    <w:rsid w:val="003841D2"/>
    <w:rsid w:val="00384755"/>
    <w:rsid w:val="00385BC9"/>
    <w:rsid w:val="00390032"/>
    <w:rsid w:val="00391F08"/>
    <w:rsid w:val="0039249F"/>
    <w:rsid w:val="00392CDC"/>
    <w:rsid w:val="003935AC"/>
    <w:rsid w:val="00393939"/>
    <w:rsid w:val="00393C5E"/>
    <w:rsid w:val="0039442A"/>
    <w:rsid w:val="00394747"/>
    <w:rsid w:val="00394D21"/>
    <w:rsid w:val="00394EFA"/>
    <w:rsid w:val="00395307"/>
    <w:rsid w:val="00396286"/>
    <w:rsid w:val="003967BC"/>
    <w:rsid w:val="00397957"/>
    <w:rsid w:val="003979F9"/>
    <w:rsid w:val="003A0C2B"/>
    <w:rsid w:val="003A1390"/>
    <w:rsid w:val="003A13F8"/>
    <w:rsid w:val="003A1538"/>
    <w:rsid w:val="003A19B9"/>
    <w:rsid w:val="003A3808"/>
    <w:rsid w:val="003A39EC"/>
    <w:rsid w:val="003A4978"/>
    <w:rsid w:val="003A54B0"/>
    <w:rsid w:val="003A54B7"/>
    <w:rsid w:val="003A5CC6"/>
    <w:rsid w:val="003A6111"/>
    <w:rsid w:val="003A638C"/>
    <w:rsid w:val="003A746A"/>
    <w:rsid w:val="003A7578"/>
    <w:rsid w:val="003A789D"/>
    <w:rsid w:val="003B04EC"/>
    <w:rsid w:val="003B05BE"/>
    <w:rsid w:val="003B0618"/>
    <w:rsid w:val="003B0BAF"/>
    <w:rsid w:val="003B0DD8"/>
    <w:rsid w:val="003B164D"/>
    <w:rsid w:val="003B1A37"/>
    <w:rsid w:val="003B20C4"/>
    <w:rsid w:val="003B413F"/>
    <w:rsid w:val="003B48D6"/>
    <w:rsid w:val="003B7642"/>
    <w:rsid w:val="003B7852"/>
    <w:rsid w:val="003C0900"/>
    <w:rsid w:val="003C194F"/>
    <w:rsid w:val="003C37CE"/>
    <w:rsid w:val="003C445B"/>
    <w:rsid w:val="003C46A0"/>
    <w:rsid w:val="003C534B"/>
    <w:rsid w:val="003C553E"/>
    <w:rsid w:val="003C6628"/>
    <w:rsid w:val="003C7268"/>
    <w:rsid w:val="003D0AFE"/>
    <w:rsid w:val="003D1A13"/>
    <w:rsid w:val="003D1AD6"/>
    <w:rsid w:val="003D1C81"/>
    <w:rsid w:val="003D21FD"/>
    <w:rsid w:val="003D3560"/>
    <w:rsid w:val="003D4258"/>
    <w:rsid w:val="003D4904"/>
    <w:rsid w:val="003D575E"/>
    <w:rsid w:val="003D5E58"/>
    <w:rsid w:val="003D60F7"/>
    <w:rsid w:val="003D777B"/>
    <w:rsid w:val="003E0DF7"/>
    <w:rsid w:val="003E1764"/>
    <w:rsid w:val="003E2037"/>
    <w:rsid w:val="003E2139"/>
    <w:rsid w:val="003E2452"/>
    <w:rsid w:val="003E4C91"/>
    <w:rsid w:val="003E4E9F"/>
    <w:rsid w:val="003E5743"/>
    <w:rsid w:val="003E64F2"/>
    <w:rsid w:val="003E6660"/>
    <w:rsid w:val="003E673D"/>
    <w:rsid w:val="003E6B85"/>
    <w:rsid w:val="003E706B"/>
    <w:rsid w:val="003F0371"/>
    <w:rsid w:val="003F1B8F"/>
    <w:rsid w:val="003F1D5C"/>
    <w:rsid w:val="003F21E8"/>
    <w:rsid w:val="003F2449"/>
    <w:rsid w:val="003F279D"/>
    <w:rsid w:val="003F418C"/>
    <w:rsid w:val="003F5635"/>
    <w:rsid w:val="003F6127"/>
    <w:rsid w:val="003F7CF4"/>
    <w:rsid w:val="004003A9"/>
    <w:rsid w:val="00402093"/>
    <w:rsid w:val="00402433"/>
    <w:rsid w:val="00402BA3"/>
    <w:rsid w:val="00402E4C"/>
    <w:rsid w:val="0040311D"/>
    <w:rsid w:val="00404B36"/>
    <w:rsid w:val="00405423"/>
    <w:rsid w:val="00405B64"/>
    <w:rsid w:val="00405FBD"/>
    <w:rsid w:val="00406E5F"/>
    <w:rsid w:val="004075FF"/>
    <w:rsid w:val="004105D6"/>
    <w:rsid w:val="00410CFF"/>
    <w:rsid w:val="00411148"/>
    <w:rsid w:val="00412621"/>
    <w:rsid w:val="00412BDC"/>
    <w:rsid w:val="0041319C"/>
    <w:rsid w:val="00414428"/>
    <w:rsid w:val="00414FA6"/>
    <w:rsid w:val="004155BC"/>
    <w:rsid w:val="00416012"/>
    <w:rsid w:val="00416839"/>
    <w:rsid w:val="00416DB1"/>
    <w:rsid w:val="0041775E"/>
    <w:rsid w:val="00420129"/>
    <w:rsid w:val="00421932"/>
    <w:rsid w:val="0042235C"/>
    <w:rsid w:val="00422C11"/>
    <w:rsid w:val="00423DF5"/>
    <w:rsid w:val="00424ACA"/>
    <w:rsid w:val="00424D65"/>
    <w:rsid w:val="00425F8E"/>
    <w:rsid w:val="0043177F"/>
    <w:rsid w:val="00431806"/>
    <w:rsid w:val="00431927"/>
    <w:rsid w:val="00431C2F"/>
    <w:rsid w:val="0043213A"/>
    <w:rsid w:val="0043231E"/>
    <w:rsid w:val="004324FC"/>
    <w:rsid w:val="00432A9E"/>
    <w:rsid w:val="00432B37"/>
    <w:rsid w:val="00433BFC"/>
    <w:rsid w:val="00434636"/>
    <w:rsid w:val="004377C7"/>
    <w:rsid w:val="004405E9"/>
    <w:rsid w:val="004406B7"/>
    <w:rsid w:val="00440A8F"/>
    <w:rsid w:val="00441513"/>
    <w:rsid w:val="00441EDE"/>
    <w:rsid w:val="004429F3"/>
    <w:rsid w:val="00444575"/>
    <w:rsid w:val="00445859"/>
    <w:rsid w:val="00445A54"/>
    <w:rsid w:val="00447195"/>
    <w:rsid w:val="00451528"/>
    <w:rsid w:val="00452BC5"/>
    <w:rsid w:val="00452C62"/>
    <w:rsid w:val="00453051"/>
    <w:rsid w:val="004533E0"/>
    <w:rsid w:val="004538B0"/>
    <w:rsid w:val="00453D77"/>
    <w:rsid w:val="004540F4"/>
    <w:rsid w:val="00454322"/>
    <w:rsid w:val="00454A83"/>
    <w:rsid w:val="00454C74"/>
    <w:rsid w:val="004559D3"/>
    <w:rsid w:val="00456D00"/>
    <w:rsid w:val="004578A4"/>
    <w:rsid w:val="00460745"/>
    <w:rsid w:val="00460C8C"/>
    <w:rsid w:val="004627A2"/>
    <w:rsid w:val="0046353F"/>
    <w:rsid w:val="00463DEC"/>
    <w:rsid w:val="00464678"/>
    <w:rsid w:val="00464D06"/>
    <w:rsid w:val="00465BCE"/>
    <w:rsid w:val="00465D61"/>
    <w:rsid w:val="00465F69"/>
    <w:rsid w:val="00467313"/>
    <w:rsid w:val="00467AA9"/>
    <w:rsid w:val="00470030"/>
    <w:rsid w:val="00470BAE"/>
    <w:rsid w:val="00470DE5"/>
    <w:rsid w:val="00471A6A"/>
    <w:rsid w:val="0047233E"/>
    <w:rsid w:val="00473696"/>
    <w:rsid w:val="00473822"/>
    <w:rsid w:val="00474177"/>
    <w:rsid w:val="00474216"/>
    <w:rsid w:val="00475803"/>
    <w:rsid w:val="00475F96"/>
    <w:rsid w:val="00476378"/>
    <w:rsid w:val="0047655D"/>
    <w:rsid w:val="00476C70"/>
    <w:rsid w:val="00477C24"/>
    <w:rsid w:val="00477FF5"/>
    <w:rsid w:val="00480883"/>
    <w:rsid w:val="00481F71"/>
    <w:rsid w:val="00483B9F"/>
    <w:rsid w:val="004840BB"/>
    <w:rsid w:val="004850DF"/>
    <w:rsid w:val="00485767"/>
    <w:rsid w:val="004862BA"/>
    <w:rsid w:val="00487114"/>
    <w:rsid w:val="0049006C"/>
    <w:rsid w:val="00490841"/>
    <w:rsid w:val="00490E3D"/>
    <w:rsid w:val="00491322"/>
    <w:rsid w:val="0049153E"/>
    <w:rsid w:val="00491DBB"/>
    <w:rsid w:val="00492BDC"/>
    <w:rsid w:val="00492EFE"/>
    <w:rsid w:val="00493058"/>
    <w:rsid w:val="004938AB"/>
    <w:rsid w:val="00493934"/>
    <w:rsid w:val="004948D8"/>
    <w:rsid w:val="00494E9C"/>
    <w:rsid w:val="004959EB"/>
    <w:rsid w:val="0049628E"/>
    <w:rsid w:val="004972AD"/>
    <w:rsid w:val="004A3E80"/>
    <w:rsid w:val="004A68B5"/>
    <w:rsid w:val="004A7CDB"/>
    <w:rsid w:val="004B0331"/>
    <w:rsid w:val="004B0EA1"/>
    <w:rsid w:val="004B160D"/>
    <w:rsid w:val="004B1A3D"/>
    <w:rsid w:val="004B2E40"/>
    <w:rsid w:val="004B38F5"/>
    <w:rsid w:val="004B3DC3"/>
    <w:rsid w:val="004B3F51"/>
    <w:rsid w:val="004B49FB"/>
    <w:rsid w:val="004B517D"/>
    <w:rsid w:val="004C06C3"/>
    <w:rsid w:val="004C092A"/>
    <w:rsid w:val="004C1A1B"/>
    <w:rsid w:val="004C2630"/>
    <w:rsid w:val="004C2D99"/>
    <w:rsid w:val="004C33B1"/>
    <w:rsid w:val="004C42D6"/>
    <w:rsid w:val="004C4C9A"/>
    <w:rsid w:val="004C5B52"/>
    <w:rsid w:val="004C5D61"/>
    <w:rsid w:val="004C60F1"/>
    <w:rsid w:val="004C6E01"/>
    <w:rsid w:val="004C6F10"/>
    <w:rsid w:val="004C74E2"/>
    <w:rsid w:val="004D1ABA"/>
    <w:rsid w:val="004D1C1E"/>
    <w:rsid w:val="004D2D09"/>
    <w:rsid w:val="004D33D0"/>
    <w:rsid w:val="004D407F"/>
    <w:rsid w:val="004D4432"/>
    <w:rsid w:val="004D4A28"/>
    <w:rsid w:val="004D6AF2"/>
    <w:rsid w:val="004D6EC0"/>
    <w:rsid w:val="004D7843"/>
    <w:rsid w:val="004E000C"/>
    <w:rsid w:val="004E0766"/>
    <w:rsid w:val="004E2011"/>
    <w:rsid w:val="004E21CF"/>
    <w:rsid w:val="004E30BB"/>
    <w:rsid w:val="004E32C5"/>
    <w:rsid w:val="004E5440"/>
    <w:rsid w:val="004E5D1E"/>
    <w:rsid w:val="004E6955"/>
    <w:rsid w:val="004E7253"/>
    <w:rsid w:val="004E7B0B"/>
    <w:rsid w:val="004F1240"/>
    <w:rsid w:val="004F1CB7"/>
    <w:rsid w:val="004F203A"/>
    <w:rsid w:val="004F3075"/>
    <w:rsid w:val="004F3AD3"/>
    <w:rsid w:val="004F4DB6"/>
    <w:rsid w:val="004F6992"/>
    <w:rsid w:val="005016EE"/>
    <w:rsid w:val="00501B72"/>
    <w:rsid w:val="005024CE"/>
    <w:rsid w:val="00503D15"/>
    <w:rsid w:val="00504E57"/>
    <w:rsid w:val="005051BC"/>
    <w:rsid w:val="00507B47"/>
    <w:rsid w:val="00512881"/>
    <w:rsid w:val="00515199"/>
    <w:rsid w:val="00516BCA"/>
    <w:rsid w:val="00516D41"/>
    <w:rsid w:val="0051732B"/>
    <w:rsid w:val="00517CE9"/>
    <w:rsid w:val="005209BA"/>
    <w:rsid w:val="00520D25"/>
    <w:rsid w:val="00521104"/>
    <w:rsid w:val="00523AAE"/>
    <w:rsid w:val="00524E26"/>
    <w:rsid w:val="005250E4"/>
    <w:rsid w:val="00525281"/>
    <w:rsid w:val="005255BE"/>
    <w:rsid w:val="005259B1"/>
    <w:rsid w:val="00525BBB"/>
    <w:rsid w:val="00526C96"/>
    <w:rsid w:val="00530A9F"/>
    <w:rsid w:val="00530C4D"/>
    <w:rsid w:val="005317FE"/>
    <w:rsid w:val="0053209D"/>
    <w:rsid w:val="005338B6"/>
    <w:rsid w:val="00533F62"/>
    <w:rsid w:val="005341DB"/>
    <w:rsid w:val="0053470B"/>
    <w:rsid w:val="00534863"/>
    <w:rsid w:val="005363A1"/>
    <w:rsid w:val="00536833"/>
    <w:rsid w:val="00536B8F"/>
    <w:rsid w:val="005377DE"/>
    <w:rsid w:val="00537B9B"/>
    <w:rsid w:val="00537D76"/>
    <w:rsid w:val="005401AE"/>
    <w:rsid w:val="005408CE"/>
    <w:rsid w:val="00540ED9"/>
    <w:rsid w:val="005413BC"/>
    <w:rsid w:val="0054158D"/>
    <w:rsid w:val="00541635"/>
    <w:rsid w:val="005416EA"/>
    <w:rsid w:val="00542B81"/>
    <w:rsid w:val="005432F2"/>
    <w:rsid w:val="0054426F"/>
    <w:rsid w:val="00544285"/>
    <w:rsid w:val="00545062"/>
    <w:rsid w:val="00545600"/>
    <w:rsid w:val="005457D4"/>
    <w:rsid w:val="0055017E"/>
    <w:rsid w:val="00550223"/>
    <w:rsid w:val="005504F0"/>
    <w:rsid w:val="00551806"/>
    <w:rsid w:val="0055302F"/>
    <w:rsid w:val="00553078"/>
    <w:rsid w:val="00553612"/>
    <w:rsid w:val="00553E2C"/>
    <w:rsid w:val="00554E84"/>
    <w:rsid w:val="00555118"/>
    <w:rsid w:val="00556283"/>
    <w:rsid w:val="00557B9F"/>
    <w:rsid w:val="00561371"/>
    <w:rsid w:val="005614FF"/>
    <w:rsid w:val="00561A0F"/>
    <w:rsid w:val="005622DF"/>
    <w:rsid w:val="00562DD5"/>
    <w:rsid w:val="00563063"/>
    <w:rsid w:val="00564807"/>
    <w:rsid w:val="00564E20"/>
    <w:rsid w:val="00564F99"/>
    <w:rsid w:val="00566256"/>
    <w:rsid w:val="0056669B"/>
    <w:rsid w:val="00567336"/>
    <w:rsid w:val="005676C8"/>
    <w:rsid w:val="00567C92"/>
    <w:rsid w:val="00570679"/>
    <w:rsid w:val="0057223B"/>
    <w:rsid w:val="00572AA1"/>
    <w:rsid w:val="00573317"/>
    <w:rsid w:val="005736D7"/>
    <w:rsid w:val="005751F2"/>
    <w:rsid w:val="00575331"/>
    <w:rsid w:val="005753D7"/>
    <w:rsid w:val="005757E9"/>
    <w:rsid w:val="0057595A"/>
    <w:rsid w:val="00575AE1"/>
    <w:rsid w:val="00575E01"/>
    <w:rsid w:val="0057684D"/>
    <w:rsid w:val="00576AE4"/>
    <w:rsid w:val="00576AFB"/>
    <w:rsid w:val="00576DC7"/>
    <w:rsid w:val="0057755B"/>
    <w:rsid w:val="005777D3"/>
    <w:rsid w:val="00577CD3"/>
    <w:rsid w:val="005801E0"/>
    <w:rsid w:val="00580E3D"/>
    <w:rsid w:val="00581764"/>
    <w:rsid w:val="00581FF6"/>
    <w:rsid w:val="00582793"/>
    <w:rsid w:val="00582B3D"/>
    <w:rsid w:val="00582CAC"/>
    <w:rsid w:val="00582EF1"/>
    <w:rsid w:val="005837F2"/>
    <w:rsid w:val="00583D31"/>
    <w:rsid w:val="00583DF8"/>
    <w:rsid w:val="00583F68"/>
    <w:rsid w:val="00584C34"/>
    <w:rsid w:val="00585D67"/>
    <w:rsid w:val="005863F9"/>
    <w:rsid w:val="00586770"/>
    <w:rsid w:val="005877F6"/>
    <w:rsid w:val="00590945"/>
    <w:rsid w:val="00590F25"/>
    <w:rsid w:val="00590FCE"/>
    <w:rsid w:val="00592BBB"/>
    <w:rsid w:val="00595CC5"/>
    <w:rsid w:val="00596D8A"/>
    <w:rsid w:val="005A0EA7"/>
    <w:rsid w:val="005A1949"/>
    <w:rsid w:val="005A55CD"/>
    <w:rsid w:val="005A57E0"/>
    <w:rsid w:val="005A65C1"/>
    <w:rsid w:val="005A678E"/>
    <w:rsid w:val="005A6FC8"/>
    <w:rsid w:val="005A74D5"/>
    <w:rsid w:val="005B00D6"/>
    <w:rsid w:val="005B0E34"/>
    <w:rsid w:val="005B16D3"/>
    <w:rsid w:val="005B1896"/>
    <w:rsid w:val="005B4337"/>
    <w:rsid w:val="005B442A"/>
    <w:rsid w:val="005B546E"/>
    <w:rsid w:val="005B5E2B"/>
    <w:rsid w:val="005B637D"/>
    <w:rsid w:val="005B6486"/>
    <w:rsid w:val="005B782B"/>
    <w:rsid w:val="005C5DF0"/>
    <w:rsid w:val="005C644A"/>
    <w:rsid w:val="005C6B46"/>
    <w:rsid w:val="005C743E"/>
    <w:rsid w:val="005D01F4"/>
    <w:rsid w:val="005D07DA"/>
    <w:rsid w:val="005D0A36"/>
    <w:rsid w:val="005D0B87"/>
    <w:rsid w:val="005D3B61"/>
    <w:rsid w:val="005D6C81"/>
    <w:rsid w:val="005D6DFB"/>
    <w:rsid w:val="005D79B4"/>
    <w:rsid w:val="005E059A"/>
    <w:rsid w:val="005E0D7B"/>
    <w:rsid w:val="005E16E5"/>
    <w:rsid w:val="005E20F9"/>
    <w:rsid w:val="005E46E4"/>
    <w:rsid w:val="005E4D15"/>
    <w:rsid w:val="005E54CA"/>
    <w:rsid w:val="005E583F"/>
    <w:rsid w:val="005E609B"/>
    <w:rsid w:val="005E6B15"/>
    <w:rsid w:val="005E7739"/>
    <w:rsid w:val="005E7EAD"/>
    <w:rsid w:val="005F09C1"/>
    <w:rsid w:val="005F1482"/>
    <w:rsid w:val="005F40C1"/>
    <w:rsid w:val="005F43D4"/>
    <w:rsid w:val="005F4499"/>
    <w:rsid w:val="005F456F"/>
    <w:rsid w:val="005F4621"/>
    <w:rsid w:val="005F5521"/>
    <w:rsid w:val="005F597E"/>
    <w:rsid w:val="005F68D7"/>
    <w:rsid w:val="005F6F53"/>
    <w:rsid w:val="005F7105"/>
    <w:rsid w:val="005F740C"/>
    <w:rsid w:val="005F7741"/>
    <w:rsid w:val="0060072F"/>
    <w:rsid w:val="00601E54"/>
    <w:rsid w:val="00602388"/>
    <w:rsid w:val="0060329C"/>
    <w:rsid w:val="00603C77"/>
    <w:rsid w:val="0060410E"/>
    <w:rsid w:val="00604AE7"/>
    <w:rsid w:val="00604B88"/>
    <w:rsid w:val="00605235"/>
    <w:rsid w:val="00605886"/>
    <w:rsid w:val="006065DE"/>
    <w:rsid w:val="006068E2"/>
    <w:rsid w:val="006074B5"/>
    <w:rsid w:val="006100AD"/>
    <w:rsid w:val="00610AA0"/>
    <w:rsid w:val="006121A7"/>
    <w:rsid w:val="00612679"/>
    <w:rsid w:val="006126F9"/>
    <w:rsid w:val="00612A1A"/>
    <w:rsid w:val="00616B1C"/>
    <w:rsid w:val="00620976"/>
    <w:rsid w:val="00620A75"/>
    <w:rsid w:val="006227A1"/>
    <w:rsid w:val="006235E0"/>
    <w:rsid w:val="00623A2F"/>
    <w:rsid w:val="00623D79"/>
    <w:rsid w:val="00624987"/>
    <w:rsid w:val="00625C02"/>
    <w:rsid w:val="00625F81"/>
    <w:rsid w:val="00626342"/>
    <w:rsid w:val="00626385"/>
    <w:rsid w:val="00626C26"/>
    <w:rsid w:val="006300E6"/>
    <w:rsid w:val="006324C5"/>
    <w:rsid w:val="006328A9"/>
    <w:rsid w:val="00634070"/>
    <w:rsid w:val="00635E21"/>
    <w:rsid w:val="00636558"/>
    <w:rsid w:val="0063732D"/>
    <w:rsid w:val="00637929"/>
    <w:rsid w:val="006402F1"/>
    <w:rsid w:val="006404A9"/>
    <w:rsid w:val="00641AE7"/>
    <w:rsid w:val="00641FBF"/>
    <w:rsid w:val="006421E0"/>
    <w:rsid w:val="006430F1"/>
    <w:rsid w:val="006441AB"/>
    <w:rsid w:val="00645D28"/>
    <w:rsid w:val="006466FA"/>
    <w:rsid w:val="00647401"/>
    <w:rsid w:val="00647F2A"/>
    <w:rsid w:val="006517F1"/>
    <w:rsid w:val="0065263C"/>
    <w:rsid w:val="00652EF2"/>
    <w:rsid w:val="0065351C"/>
    <w:rsid w:val="00654E82"/>
    <w:rsid w:val="006568D1"/>
    <w:rsid w:val="006574DF"/>
    <w:rsid w:val="0066020E"/>
    <w:rsid w:val="006602D2"/>
    <w:rsid w:val="00660495"/>
    <w:rsid w:val="00660F6F"/>
    <w:rsid w:val="00660FE1"/>
    <w:rsid w:val="0066222C"/>
    <w:rsid w:val="00662275"/>
    <w:rsid w:val="006636D9"/>
    <w:rsid w:val="0066371E"/>
    <w:rsid w:val="006638B1"/>
    <w:rsid w:val="00665822"/>
    <w:rsid w:val="0066590E"/>
    <w:rsid w:val="00665B65"/>
    <w:rsid w:val="00665CF0"/>
    <w:rsid w:val="00665DA7"/>
    <w:rsid w:val="00667C60"/>
    <w:rsid w:val="00667EDF"/>
    <w:rsid w:val="00670471"/>
    <w:rsid w:val="0067176E"/>
    <w:rsid w:val="00672D95"/>
    <w:rsid w:val="00673535"/>
    <w:rsid w:val="0067469F"/>
    <w:rsid w:val="00675007"/>
    <w:rsid w:val="00676075"/>
    <w:rsid w:val="00677406"/>
    <w:rsid w:val="00677836"/>
    <w:rsid w:val="00677999"/>
    <w:rsid w:val="00680E7D"/>
    <w:rsid w:val="0068127F"/>
    <w:rsid w:val="00681CCA"/>
    <w:rsid w:val="00681CF4"/>
    <w:rsid w:val="006820C7"/>
    <w:rsid w:val="00683493"/>
    <w:rsid w:val="0068367B"/>
    <w:rsid w:val="006839EA"/>
    <w:rsid w:val="00685ED0"/>
    <w:rsid w:val="0068663A"/>
    <w:rsid w:val="006868BC"/>
    <w:rsid w:val="0068717B"/>
    <w:rsid w:val="006914DE"/>
    <w:rsid w:val="00691EA7"/>
    <w:rsid w:val="006934E2"/>
    <w:rsid w:val="00693B35"/>
    <w:rsid w:val="006946B2"/>
    <w:rsid w:val="006946D8"/>
    <w:rsid w:val="006947CF"/>
    <w:rsid w:val="00694A4E"/>
    <w:rsid w:val="00694CDE"/>
    <w:rsid w:val="006951BB"/>
    <w:rsid w:val="0069543C"/>
    <w:rsid w:val="00695904"/>
    <w:rsid w:val="00696C0A"/>
    <w:rsid w:val="006972A8"/>
    <w:rsid w:val="006A24BA"/>
    <w:rsid w:val="006A2817"/>
    <w:rsid w:val="006A2971"/>
    <w:rsid w:val="006A2997"/>
    <w:rsid w:val="006A2E60"/>
    <w:rsid w:val="006A2F2E"/>
    <w:rsid w:val="006A39D0"/>
    <w:rsid w:val="006A53BC"/>
    <w:rsid w:val="006A6003"/>
    <w:rsid w:val="006A6EA1"/>
    <w:rsid w:val="006A7033"/>
    <w:rsid w:val="006B05D7"/>
    <w:rsid w:val="006B0EB9"/>
    <w:rsid w:val="006B0ECE"/>
    <w:rsid w:val="006B1206"/>
    <w:rsid w:val="006B19A9"/>
    <w:rsid w:val="006B1B39"/>
    <w:rsid w:val="006B2A65"/>
    <w:rsid w:val="006B3ACD"/>
    <w:rsid w:val="006B449C"/>
    <w:rsid w:val="006B5BFE"/>
    <w:rsid w:val="006B648E"/>
    <w:rsid w:val="006B7556"/>
    <w:rsid w:val="006B783C"/>
    <w:rsid w:val="006B7F2D"/>
    <w:rsid w:val="006C231B"/>
    <w:rsid w:val="006C276E"/>
    <w:rsid w:val="006C2DF8"/>
    <w:rsid w:val="006C4467"/>
    <w:rsid w:val="006C4C02"/>
    <w:rsid w:val="006C54C6"/>
    <w:rsid w:val="006C5633"/>
    <w:rsid w:val="006C6123"/>
    <w:rsid w:val="006C637D"/>
    <w:rsid w:val="006C697D"/>
    <w:rsid w:val="006C780A"/>
    <w:rsid w:val="006D0121"/>
    <w:rsid w:val="006D019A"/>
    <w:rsid w:val="006D0C65"/>
    <w:rsid w:val="006D1B23"/>
    <w:rsid w:val="006D1BF5"/>
    <w:rsid w:val="006D2C23"/>
    <w:rsid w:val="006D2F10"/>
    <w:rsid w:val="006D3974"/>
    <w:rsid w:val="006D437A"/>
    <w:rsid w:val="006D5B02"/>
    <w:rsid w:val="006D5DA7"/>
    <w:rsid w:val="006D6280"/>
    <w:rsid w:val="006D6589"/>
    <w:rsid w:val="006D78D9"/>
    <w:rsid w:val="006D7940"/>
    <w:rsid w:val="006D7D05"/>
    <w:rsid w:val="006E1D8F"/>
    <w:rsid w:val="006E2892"/>
    <w:rsid w:val="006E29AF"/>
    <w:rsid w:val="006E2E16"/>
    <w:rsid w:val="006E3DFB"/>
    <w:rsid w:val="006E5CE5"/>
    <w:rsid w:val="006E5E62"/>
    <w:rsid w:val="006E606D"/>
    <w:rsid w:val="006E6AC8"/>
    <w:rsid w:val="006E6FC4"/>
    <w:rsid w:val="006E7045"/>
    <w:rsid w:val="006E7D5E"/>
    <w:rsid w:val="006F09D7"/>
    <w:rsid w:val="006F1CEE"/>
    <w:rsid w:val="006F3302"/>
    <w:rsid w:val="006F34B5"/>
    <w:rsid w:val="006F37C9"/>
    <w:rsid w:val="006F4DF2"/>
    <w:rsid w:val="006F6990"/>
    <w:rsid w:val="006F78CB"/>
    <w:rsid w:val="006F7B0C"/>
    <w:rsid w:val="00701136"/>
    <w:rsid w:val="00701613"/>
    <w:rsid w:val="00702846"/>
    <w:rsid w:val="00703451"/>
    <w:rsid w:val="00703A2D"/>
    <w:rsid w:val="00704209"/>
    <w:rsid w:val="007045D1"/>
    <w:rsid w:val="0070490B"/>
    <w:rsid w:val="00704D16"/>
    <w:rsid w:val="007051E8"/>
    <w:rsid w:val="007068DC"/>
    <w:rsid w:val="00706E69"/>
    <w:rsid w:val="0071010F"/>
    <w:rsid w:val="00710199"/>
    <w:rsid w:val="00711DDE"/>
    <w:rsid w:val="00713B4C"/>
    <w:rsid w:val="00713E45"/>
    <w:rsid w:val="00713FF0"/>
    <w:rsid w:val="00715ACC"/>
    <w:rsid w:val="00716E85"/>
    <w:rsid w:val="00717784"/>
    <w:rsid w:val="00720893"/>
    <w:rsid w:val="007216AD"/>
    <w:rsid w:val="00722222"/>
    <w:rsid w:val="007227B2"/>
    <w:rsid w:val="00723896"/>
    <w:rsid w:val="00725C27"/>
    <w:rsid w:val="007274ED"/>
    <w:rsid w:val="007278D9"/>
    <w:rsid w:val="00731325"/>
    <w:rsid w:val="00731619"/>
    <w:rsid w:val="00731766"/>
    <w:rsid w:val="0073197D"/>
    <w:rsid w:val="0073208A"/>
    <w:rsid w:val="0073325E"/>
    <w:rsid w:val="00733916"/>
    <w:rsid w:val="00733D7D"/>
    <w:rsid w:val="00734230"/>
    <w:rsid w:val="0073427D"/>
    <w:rsid w:val="00734558"/>
    <w:rsid w:val="00734994"/>
    <w:rsid w:val="00736318"/>
    <w:rsid w:val="007367BB"/>
    <w:rsid w:val="00736B55"/>
    <w:rsid w:val="00737C12"/>
    <w:rsid w:val="00737E41"/>
    <w:rsid w:val="00741069"/>
    <w:rsid w:val="0074268E"/>
    <w:rsid w:val="00743792"/>
    <w:rsid w:val="00743A88"/>
    <w:rsid w:val="00744E81"/>
    <w:rsid w:val="0074645C"/>
    <w:rsid w:val="00746798"/>
    <w:rsid w:val="00746A1E"/>
    <w:rsid w:val="00747447"/>
    <w:rsid w:val="00750424"/>
    <w:rsid w:val="00750540"/>
    <w:rsid w:val="00750C6A"/>
    <w:rsid w:val="00750CA2"/>
    <w:rsid w:val="00751320"/>
    <w:rsid w:val="00751886"/>
    <w:rsid w:val="00751BB8"/>
    <w:rsid w:val="0075291A"/>
    <w:rsid w:val="00754809"/>
    <w:rsid w:val="00756856"/>
    <w:rsid w:val="00757B3D"/>
    <w:rsid w:val="00757C82"/>
    <w:rsid w:val="00760265"/>
    <w:rsid w:val="00760F5B"/>
    <w:rsid w:val="007619AA"/>
    <w:rsid w:val="007619B6"/>
    <w:rsid w:val="00761D53"/>
    <w:rsid w:val="00761E65"/>
    <w:rsid w:val="00761F05"/>
    <w:rsid w:val="007636C1"/>
    <w:rsid w:val="0076470C"/>
    <w:rsid w:val="007650C0"/>
    <w:rsid w:val="00765395"/>
    <w:rsid w:val="00767D0F"/>
    <w:rsid w:val="0077060F"/>
    <w:rsid w:val="007712C2"/>
    <w:rsid w:val="007712D1"/>
    <w:rsid w:val="00771D77"/>
    <w:rsid w:val="0077251A"/>
    <w:rsid w:val="00772AFF"/>
    <w:rsid w:val="007731B6"/>
    <w:rsid w:val="007734CF"/>
    <w:rsid w:val="007743B5"/>
    <w:rsid w:val="0077447B"/>
    <w:rsid w:val="007754E2"/>
    <w:rsid w:val="00776800"/>
    <w:rsid w:val="00776F23"/>
    <w:rsid w:val="007809DF"/>
    <w:rsid w:val="00780CE3"/>
    <w:rsid w:val="00782662"/>
    <w:rsid w:val="00782942"/>
    <w:rsid w:val="00783334"/>
    <w:rsid w:val="00783BE2"/>
    <w:rsid w:val="00783ECC"/>
    <w:rsid w:val="0078415A"/>
    <w:rsid w:val="007864F4"/>
    <w:rsid w:val="0079136B"/>
    <w:rsid w:val="00791CB0"/>
    <w:rsid w:val="00793CBE"/>
    <w:rsid w:val="00793F4E"/>
    <w:rsid w:val="00794724"/>
    <w:rsid w:val="00794DA0"/>
    <w:rsid w:val="0079549D"/>
    <w:rsid w:val="00795826"/>
    <w:rsid w:val="00795E49"/>
    <w:rsid w:val="007961B2"/>
    <w:rsid w:val="007961FA"/>
    <w:rsid w:val="00796349"/>
    <w:rsid w:val="00796B14"/>
    <w:rsid w:val="00797F8D"/>
    <w:rsid w:val="007A12A0"/>
    <w:rsid w:val="007A1735"/>
    <w:rsid w:val="007A4279"/>
    <w:rsid w:val="007A616E"/>
    <w:rsid w:val="007A645B"/>
    <w:rsid w:val="007A64DB"/>
    <w:rsid w:val="007B2658"/>
    <w:rsid w:val="007B2AD8"/>
    <w:rsid w:val="007B587E"/>
    <w:rsid w:val="007B67BC"/>
    <w:rsid w:val="007B6C42"/>
    <w:rsid w:val="007B74D2"/>
    <w:rsid w:val="007C04EF"/>
    <w:rsid w:val="007C109F"/>
    <w:rsid w:val="007C1AD8"/>
    <w:rsid w:val="007C1D59"/>
    <w:rsid w:val="007C218B"/>
    <w:rsid w:val="007C40B3"/>
    <w:rsid w:val="007C55F3"/>
    <w:rsid w:val="007C7603"/>
    <w:rsid w:val="007D00D3"/>
    <w:rsid w:val="007D0DDC"/>
    <w:rsid w:val="007D14DF"/>
    <w:rsid w:val="007D174A"/>
    <w:rsid w:val="007D17A8"/>
    <w:rsid w:val="007D22E8"/>
    <w:rsid w:val="007D29D9"/>
    <w:rsid w:val="007D4586"/>
    <w:rsid w:val="007D4DA6"/>
    <w:rsid w:val="007D5D1D"/>
    <w:rsid w:val="007D6B8F"/>
    <w:rsid w:val="007D7C94"/>
    <w:rsid w:val="007D7D13"/>
    <w:rsid w:val="007E3187"/>
    <w:rsid w:val="007E3599"/>
    <w:rsid w:val="007E68F7"/>
    <w:rsid w:val="007E6993"/>
    <w:rsid w:val="007E6F5F"/>
    <w:rsid w:val="007E7036"/>
    <w:rsid w:val="007F19ED"/>
    <w:rsid w:val="007F22F4"/>
    <w:rsid w:val="007F37D8"/>
    <w:rsid w:val="007F4327"/>
    <w:rsid w:val="007F5044"/>
    <w:rsid w:val="00800282"/>
    <w:rsid w:val="00800FF6"/>
    <w:rsid w:val="00801494"/>
    <w:rsid w:val="00801C1E"/>
    <w:rsid w:val="00801D64"/>
    <w:rsid w:val="00802438"/>
    <w:rsid w:val="00802825"/>
    <w:rsid w:val="00805129"/>
    <w:rsid w:val="008051D0"/>
    <w:rsid w:val="0080523D"/>
    <w:rsid w:val="008052E1"/>
    <w:rsid w:val="008057CE"/>
    <w:rsid w:val="008057F6"/>
    <w:rsid w:val="00805F8E"/>
    <w:rsid w:val="00806CF2"/>
    <w:rsid w:val="008106DA"/>
    <w:rsid w:val="00810BA3"/>
    <w:rsid w:val="00810DCA"/>
    <w:rsid w:val="00810EFA"/>
    <w:rsid w:val="00811AA4"/>
    <w:rsid w:val="0081336D"/>
    <w:rsid w:val="00813E69"/>
    <w:rsid w:val="00815D45"/>
    <w:rsid w:val="008165C8"/>
    <w:rsid w:val="008173D7"/>
    <w:rsid w:val="0081799F"/>
    <w:rsid w:val="00817BB6"/>
    <w:rsid w:val="00817CA4"/>
    <w:rsid w:val="00817D26"/>
    <w:rsid w:val="008206AD"/>
    <w:rsid w:val="00820C4F"/>
    <w:rsid w:val="00821032"/>
    <w:rsid w:val="008223B4"/>
    <w:rsid w:val="008223D8"/>
    <w:rsid w:val="0082430F"/>
    <w:rsid w:val="00824620"/>
    <w:rsid w:val="00824AD6"/>
    <w:rsid w:val="00824AF6"/>
    <w:rsid w:val="00826462"/>
    <w:rsid w:val="008271ED"/>
    <w:rsid w:val="008275FB"/>
    <w:rsid w:val="00830FBB"/>
    <w:rsid w:val="0083167A"/>
    <w:rsid w:val="00832E49"/>
    <w:rsid w:val="00832E72"/>
    <w:rsid w:val="008340D5"/>
    <w:rsid w:val="00835078"/>
    <w:rsid w:val="008360DD"/>
    <w:rsid w:val="00836634"/>
    <w:rsid w:val="008372D3"/>
    <w:rsid w:val="008372FE"/>
    <w:rsid w:val="008376C6"/>
    <w:rsid w:val="008377E8"/>
    <w:rsid w:val="00840044"/>
    <w:rsid w:val="00841C4F"/>
    <w:rsid w:val="00841D88"/>
    <w:rsid w:val="008428A2"/>
    <w:rsid w:val="00842CE8"/>
    <w:rsid w:val="00843F12"/>
    <w:rsid w:val="00844C8C"/>
    <w:rsid w:val="0084678D"/>
    <w:rsid w:val="00847546"/>
    <w:rsid w:val="0084758C"/>
    <w:rsid w:val="008476F1"/>
    <w:rsid w:val="00847A00"/>
    <w:rsid w:val="00850BAF"/>
    <w:rsid w:val="0085119E"/>
    <w:rsid w:val="00852292"/>
    <w:rsid w:val="00852388"/>
    <w:rsid w:val="008527D4"/>
    <w:rsid w:val="008527DF"/>
    <w:rsid w:val="00852EDC"/>
    <w:rsid w:val="00854200"/>
    <w:rsid w:val="008556D1"/>
    <w:rsid w:val="00855763"/>
    <w:rsid w:val="00857C13"/>
    <w:rsid w:val="00860390"/>
    <w:rsid w:val="008620C5"/>
    <w:rsid w:val="00863675"/>
    <w:rsid w:val="00864B58"/>
    <w:rsid w:val="008670FF"/>
    <w:rsid w:val="0086761A"/>
    <w:rsid w:val="00867B48"/>
    <w:rsid w:val="00867D4A"/>
    <w:rsid w:val="00871BD2"/>
    <w:rsid w:val="008733FF"/>
    <w:rsid w:val="00873D0E"/>
    <w:rsid w:val="00875A1B"/>
    <w:rsid w:val="00875EF7"/>
    <w:rsid w:val="00880B30"/>
    <w:rsid w:val="0088161C"/>
    <w:rsid w:val="0088189C"/>
    <w:rsid w:val="00882475"/>
    <w:rsid w:val="00882FFC"/>
    <w:rsid w:val="00883D86"/>
    <w:rsid w:val="00883ED9"/>
    <w:rsid w:val="00884105"/>
    <w:rsid w:val="0088560C"/>
    <w:rsid w:val="008860FF"/>
    <w:rsid w:val="00886194"/>
    <w:rsid w:val="008866DA"/>
    <w:rsid w:val="00887BC0"/>
    <w:rsid w:val="008905D6"/>
    <w:rsid w:val="00890B73"/>
    <w:rsid w:val="0089257D"/>
    <w:rsid w:val="00892B71"/>
    <w:rsid w:val="00893446"/>
    <w:rsid w:val="00893ACA"/>
    <w:rsid w:val="008943F2"/>
    <w:rsid w:val="00894DDD"/>
    <w:rsid w:val="008952BB"/>
    <w:rsid w:val="00895CCA"/>
    <w:rsid w:val="00896212"/>
    <w:rsid w:val="00896235"/>
    <w:rsid w:val="00896B12"/>
    <w:rsid w:val="008A0548"/>
    <w:rsid w:val="008A128B"/>
    <w:rsid w:val="008A327D"/>
    <w:rsid w:val="008A3734"/>
    <w:rsid w:val="008A46A7"/>
    <w:rsid w:val="008A46D0"/>
    <w:rsid w:val="008A6558"/>
    <w:rsid w:val="008A74E4"/>
    <w:rsid w:val="008A796A"/>
    <w:rsid w:val="008A7D3F"/>
    <w:rsid w:val="008B0730"/>
    <w:rsid w:val="008B0AA7"/>
    <w:rsid w:val="008B0B94"/>
    <w:rsid w:val="008B188E"/>
    <w:rsid w:val="008B1E24"/>
    <w:rsid w:val="008B2371"/>
    <w:rsid w:val="008B282F"/>
    <w:rsid w:val="008B4B0C"/>
    <w:rsid w:val="008B4C3B"/>
    <w:rsid w:val="008B548F"/>
    <w:rsid w:val="008B62ED"/>
    <w:rsid w:val="008B71F5"/>
    <w:rsid w:val="008C0B55"/>
    <w:rsid w:val="008C2335"/>
    <w:rsid w:val="008C2E0D"/>
    <w:rsid w:val="008C3120"/>
    <w:rsid w:val="008C328C"/>
    <w:rsid w:val="008C4B52"/>
    <w:rsid w:val="008C53A0"/>
    <w:rsid w:val="008C6671"/>
    <w:rsid w:val="008C69A6"/>
    <w:rsid w:val="008C69B5"/>
    <w:rsid w:val="008C777C"/>
    <w:rsid w:val="008C7926"/>
    <w:rsid w:val="008D0028"/>
    <w:rsid w:val="008D032C"/>
    <w:rsid w:val="008D2C05"/>
    <w:rsid w:val="008D315E"/>
    <w:rsid w:val="008D33E2"/>
    <w:rsid w:val="008D403C"/>
    <w:rsid w:val="008D41BC"/>
    <w:rsid w:val="008D4A8C"/>
    <w:rsid w:val="008D4D47"/>
    <w:rsid w:val="008D5B84"/>
    <w:rsid w:val="008D5DAE"/>
    <w:rsid w:val="008D5E6A"/>
    <w:rsid w:val="008D63A4"/>
    <w:rsid w:val="008D650A"/>
    <w:rsid w:val="008D7A02"/>
    <w:rsid w:val="008D7F51"/>
    <w:rsid w:val="008E03D8"/>
    <w:rsid w:val="008E08F4"/>
    <w:rsid w:val="008E0923"/>
    <w:rsid w:val="008E10AC"/>
    <w:rsid w:val="008E1C88"/>
    <w:rsid w:val="008E3376"/>
    <w:rsid w:val="008E351E"/>
    <w:rsid w:val="008E420F"/>
    <w:rsid w:val="008E4C8A"/>
    <w:rsid w:val="008E7162"/>
    <w:rsid w:val="008E75AC"/>
    <w:rsid w:val="008E7844"/>
    <w:rsid w:val="008F02EE"/>
    <w:rsid w:val="008F054F"/>
    <w:rsid w:val="008F1A2E"/>
    <w:rsid w:val="008F2556"/>
    <w:rsid w:val="008F2913"/>
    <w:rsid w:val="008F2C09"/>
    <w:rsid w:val="008F2D6A"/>
    <w:rsid w:val="008F370E"/>
    <w:rsid w:val="008F3871"/>
    <w:rsid w:val="008F3F4E"/>
    <w:rsid w:val="008F5302"/>
    <w:rsid w:val="008F7063"/>
    <w:rsid w:val="008F731E"/>
    <w:rsid w:val="008F7850"/>
    <w:rsid w:val="0090031E"/>
    <w:rsid w:val="0090095D"/>
    <w:rsid w:val="00900EFB"/>
    <w:rsid w:val="009012B3"/>
    <w:rsid w:val="00902554"/>
    <w:rsid w:val="0090268A"/>
    <w:rsid w:val="00903C8D"/>
    <w:rsid w:val="00903DFC"/>
    <w:rsid w:val="00904174"/>
    <w:rsid w:val="009052C5"/>
    <w:rsid w:val="00905D14"/>
    <w:rsid w:val="0090670E"/>
    <w:rsid w:val="00906E37"/>
    <w:rsid w:val="00907BAB"/>
    <w:rsid w:val="00907D2B"/>
    <w:rsid w:val="00910772"/>
    <w:rsid w:val="009110E8"/>
    <w:rsid w:val="0091337A"/>
    <w:rsid w:val="0091392D"/>
    <w:rsid w:val="009139E7"/>
    <w:rsid w:val="00914384"/>
    <w:rsid w:val="00915A66"/>
    <w:rsid w:val="0091672F"/>
    <w:rsid w:val="00917318"/>
    <w:rsid w:val="00917DCD"/>
    <w:rsid w:val="009208BE"/>
    <w:rsid w:val="009209FC"/>
    <w:rsid w:val="00921185"/>
    <w:rsid w:val="009211A8"/>
    <w:rsid w:val="00921639"/>
    <w:rsid w:val="0092187F"/>
    <w:rsid w:val="00921EC3"/>
    <w:rsid w:val="00922425"/>
    <w:rsid w:val="00922EAF"/>
    <w:rsid w:val="009230DD"/>
    <w:rsid w:val="00923D47"/>
    <w:rsid w:val="00924DDE"/>
    <w:rsid w:val="00925327"/>
    <w:rsid w:val="00925656"/>
    <w:rsid w:val="009259C8"/>
    <w:rsid w:val="00927013"/>
    <w:rsid w:val="00927778"/>
    <w:rsid w:val="00927933"/>
    <w:rsid w:val="00927F71"/>
    <w:rsid w:val="00930DB2"/>
    <w:rsid w:val="00932BB1"/>
    <w:rsid w:val="00933E23"/>
    <w:rsid w:val="00935A57"/>
    <w:rsid w:val="00935FD3"/>
    <w:rsid w:val="00936B2E"/>
    <w:rsid w:val="00937526"/>
    <w:rsid w:val="00940DB6"/>
    <w:rsid w:val="00942B7A"/>
    <w:rsid w:val="009437FD"/>
    <w:rsid w:val="00946218"/>
    <w:rsid w:val="00946F60"/>
    <w:rsid w:val="009501B1"/>
    <w:rsid w:val="00950278"/>
    <w:rsid w:val="00950C0B"/>
    <w:rsid w:val="00950CAE"/>
    <w:rsid w:val="00953469"/>
    <w:rsid w:val="00955377"/>
    <w:rsid w:val="0095574F"/>
    <w:rsid w:val="00955EE6"/>
    <w:rsid w:val="0095625C"/>
    <w:rsid w:val="0095663B"/>
    <w:rsid w:val="00957383"/>
    <w:rsid w:val="00957F1C"/>
    <w:rsid w:val="009602AC"/>
    <w:rsid w:val="00960D12"/>
    <w:rsid w:val="009612EE"/>
    <w:rsid w:val="00962FAE"/>
    <w:rsid w:val="0096352C"/>
    <w:rsid w:val="00964D22"/>
    <w:rsid w:val="00965CB6"/>
    <w:rsid w:val="00966AE9"/>
    <w:rsid w:val="009672B4"/>
    <w:rsid w:val="009675DC"/>
    <w:rsid w:val="009701E6"/>
    <w:rsid w:val="009702C6"/>
    <w:rsid w:val="00970A5B"/>
    <w:rsid w:val="009713E7"/>
    <w:rsid w:val="009714FB"/>
    <w:rsid w:val="00971742"/>
    <w:rsid w:val="009729C8"/>
    <w:rsid w:val="00974CCF"/>
    <w:rsid w:val="00975A22"/>
    <w:rsid w:val="00975A78"/>
    <w:rsid w:val="0097694E"/>
    <w:rsid w:val="00976E39"/>
    <w:rsid w:val="00980063"/>
    <w:rsid w:val="00980373"/>
    <w:rsid w:val="009805B7"/>
    <w:rsid w:val="009805EB"/>
    <w:rsid w:val="009815E7"/>
    <w:rsid w:val="009829B1"/>
    <w:rsid w:val="00982CAD"/>
    <w:rsid w:val="00982E9E"/>
    <w:rsid w:val="009839F3"/>
    <w:rsid w:val="00983BF4"/>
    <w:rsid w:val="00985B02"/>
    <w:rsid w:val="00987C03"/>
    <w:rsid w:val="009900B2"/>
    <w:rsid w:val="0099039E"/>
    <w:rsid w:val="00990D8D"/>
    <w:rsid w:val="00992251"/>
    <w:rsid w:val="00992F1C"/>
    <w:rsid w:val="00993F4F"/>
    <w:rsid w:val="0099413F"/>
    <w:rsid w:val="0099456B"/>
    <w:rsid w:val="00994608"/>
    <w:rsid w:val="009A021C"/>
    <w:rsid w:val="009A0EE5"/>
    <w:rsid w:val="009A137A"/>
    <w:rsid w:val="009A1527"/>
    <w:rsid w:val="009A1852"/>
    <w:rsid w:val="009A2A0C"/>
    <w:rsid w:val="009A2F5D"/>
    <w:rsid w:val="009A6C7C"/>
    <w:rsid w:val="009A757B"/>
    <w:rsid w:val="009A7CF9"/>
    <w:rsid w:val="009B0533"/>
    <w:rsid w:val="009B0AC8"/>
    <w:rsid w:val="009B0EB8"/>
    <w:rsid w:val="009B11B7"/>
    <w:rsid w:val="009B25FD"/>
    <w:rsid w:val="009B4DA7"/>
    <w:rsid w:val="009B5558"/>
    <w:rsid w:val="009B599C"/>
    <w:rsid w:val="009B5F22"/>
    <w:rsid w:val="009B64EB"/>
    <w:rsid w:val="009C0159"/>
    <w:rsid w:val="009C03D5"/>
    <w:rsid w:val="009C056A"/>
    <w:rsid w:val="009C07EC"/>
    <w:rsid w:val="009C08C2"/>
    <w:rsid w:val="009C0B2E"/>
    <w:rsid w:val="009C1DA5"/>
    <w:rsid w:val="009C1EB3"/>
    <w:rsid w:val="009C48FC"/>
    <w:rsid w:val="009C52A3"/>
    <w:rsid w:val="009D0577"/>
    <w:rsid w:val="009D0AE1"/>
    <w:rsid w:val="009D13E1"/>
    <w:rsid w:val="009D1D14"/>
    <w:rsid w:val="009D2727"/>
    <w:rsid w:val="009D2834"/>
    <w:rsid w:val="009D2AAA"/>
    <w:rsid w:val="009D36BF"/>
    <w:rsid w:val="009D3B1B"/>
    <w:rsid w:val="009D40C4"/>
    <w:rsid w:val="009D42AC"/>
    <w:rsid w:val="009D47F9"/>
    <w:rsid w:val="009D48CB"/>
    <w:rsid w:val="009D513F"/>
    <w:rsid w:val="009D5BD0"/>
    <w:rsid w:val="009E2C45"/>
    <w:rsid w:val="009E34CF"/>
    <w:rsid w:val="009E4C24"/>
    <w:rsid w:val="009E63CE"/>
    <w:rsid w:val="009E640D"/>
    <w:rsid w:val="009E6ED8"/>
    <w:rsid w:val="009E7675"/>
    <w:rsid w:val="009F0D94"/>
    <w:rsid w:val="009F0F44"/>
    <w:rsid w:val="009F14CC"/>
    <w:rsid w:val="009F2C15"/>
    <w:rsid w:val="009F2C2D"/>
    <w:rsid w:val="009F37EB"/>
    <w:rsid w:val="009F3B69"/>
    <w:rsid w:val="009F4788"/>
    <w:rsid w:val="009F57DA"/>
    <w:rsid w:val="009F667D"/>
    <w:rsid w:val="009F6AA1"/>
    <w:rsid w:val="009F7B10"/>
    <w:rsid w:val="009F7F69"/>
    <w:rsid w:val="00A0007B"/>
    <w:rsid w:val="00A00561"/>
    <w:rsid w:val="00A006E8"/>
    <w:rsid w:val="00A00822"/>
    <w:rsid w:val="00A01C12"/>
    <w:rsid w:val="00A01F85"/>
    <w:rsid w:val="00A0317F"/>
    <w:rsid w:val="00A03664"/>
    <w:rsid w:val="00A03A02"/>
    <w:rsid w:val="00A04A47"/>
    <w:rsid w:val="00A05B82"/>
    <w:rsid w:val="00A06B8F"/>
    <w:rsid w:val="00A10FDD"/>
    <w:rsid w:val="00A111B2"/>
    <w:rsid w:val="00A1196A"/>
    <w:rsid w:val="00A11BF5"/>
    <w:rsid w:val="00A12A96"/>
    <w:rsid w:val="00A15FB7"/>
    <w:rsid w:val="00A167A6"/>
    <w:rsid w:val="00A177F4"/>
    <w:rsid w:val="00A207FA"/>
    <w:rsid w:val="00A20FD2"/>
    <w:rsid w:val="00A2100A"/>
    <w:rsid w:val="00A21949"/>
    <w:rsid w:val="00A21A00"/>
    <w:rsid w:val="00A230B1"/>
    <w:rsid w:val="00A2388F"/>
    <w:rsid w:val="00A23F32"/>
    <w:rsid w:val="00A2443D"/>
    <w:rsid w:val="00A2463E"/>
    <w:rsid w:val="00A24793"/>
    <w:rsid w:val="00A24E12"/>
    <w:rsid w:val="00A2654E"/>
    <w:rsid w:val="00A26E30"/>
    <w:rsid w:val="00A270C7"/>
    <w:rsid w:val="00A3018B"/>
    <w:rsid w:val="00A31110"/>
    <w:rsid w:val="00A3306B"/>
    <w:rsid w:val="00A3353D"/>
    <w:rsid w:val="00A35815"/>
    <w:rsid w:val="00A3626D"/>
    <w:rsid w:val="00A3667A"/>
    <w:rsid w:val="00A36950"/>
    <w:rsid w:val="00A373B1"/>
    <w:rsid w:val="00A41398"/>
    <w:rsid w:val="00A41E57"/>
    <w:rsid w:val="00A42840"/>
    <w:rsid w:val="00A4361E"/>
    <w:rsid w:val="00A439AD"/>
    <w:rsid w:val="00A43E87"/>
    <w:rsid w:val="00A45D31"/>
    <w:rsid w:val="00A46A65"/>
    <w:rsid w:val="00A47766"/>
    <w:rsid w:val="00A50E90"/>
    <w:rsid w:val="00A52BCD"/>
    <w:rsid w:val="00A53026"/>
    <w:rsid w:val="00A537A6"/>
    <w:rsid w:val="00A53B47"/>
    <w:rsid w:val="00A55014"/>
    <w:rsid w:val="00A55765"/>
    <w:rsid w:val="00A55DFF"/>
    <w:rsid w:val="00A56F27"/>
    <w:rsid w:val="00A5767D"/>
    <w:rsid w:val="00A578D5"/>
    <w:rsid w:val="00A62B27"/>
    <w:rsid w:val="00A6327E"/>
    <w:rsid w:val="00A64DC8"/>
    <w:rsid w:val="00A65708"/>
    <w:rsid w:val="00A6794F"/>
    <w:rsid w:val="00A720CC"/>
    <w:rsid w:val="00A72774"/>
    <w:rsid w:val="00A72D25"/>
    <w:rsid w:val="00A73153"/>
    <w:rsid w:val="00A744D0"/>
    <w:rsid w:val="00A74C78"/>
    <w:rsid w:val="00A74EF3"/>
    <w:rsid w:val="00A752FC"/>
    <w:rsid w:val="00A76572"/>
    <w:rsid w:val="00A77A2C"/>
    <w:rsid w:val="00A77BF2"/>
    <w:rsid w:val="00A802FC"/>
    <w:rsid w:val="00A8039D"/>
    <w:rsid w:val="00A806F1"/>
    <w:rsid w:val="00A808D5"/>
    <w:rsid w:val="00A80AB5"/>
    <w:rsid w:val="00A80E8F"/>
    <w:rsid w:val="00A80FB7"/>
    <w:rsid w:val="00A82014"/>
    <w:rsid w:val="00A832F5"/>
    <w:rsid w:val="00A8443B"/>
    <w:rsid w:val="00A84E98"/>
    <w:rsid w:val="00A853E3"/>
    <w:rsid w:val="00A868D5"/>
    <w:rsid w:val="00A86C39"/>
    <w:rsid w:val="00A87281"/>
    <w:rsid w:val="00A87EED"/>
    <w:rsid w:val="00A90AB5"/>
    <w:rsid w:val="00A92592"/>
    <w:rsid w:val="00A92E57"/>
    <w:rsid w:val="00A93D92"/>
    <w:rsid w:val="00A951C6"/>
    <w:rsid w:val="00A970C2"/>
    <w:rsid w:val="00AA057B"/>
    <w:rsid w:val="00AA0B85"/>
    <w:rsid w:val="00AA0D6B"/>
    <w:rsid w:val="00AA1E94"/>
    <w:rsid w:val="00AA32A2"/>
    <w:rsid w:val="00AA519A"/>
    <w:rsid w:val="00AA5A87"/>
    <w:rsid w:val="00AA7714"/>
    <w:rsid w:val="00AA7CF5"/>
    <w:rsid w:val="00AB263F"/>
    <w:rsid w:val="00AB3387"/>
    <w:rsid w:val="00AB4726"/>
    <w:rsid w:val="00AB47C0"/>
    <w:rsid w:val="00AB5325"/>
    <w:rsid w:val="00AB5BC4"/>
    <w:rsid w:val="00AB61AA"/>
    <w:rsid w:val="00AB6856"/>
    <w:rsid w:val="00AB7950"/>
    <w:rsid w:val="00AC0694"/>
    <w:rsid w:val="00AC20E4"/>
    <w:rsid w:val="00AC3151"/>
    <w:rsid w:val="00AC3949"/>
    <w:rsid w:val="00AC3BAF"/>
    <w:rsid w:val="00AC4C6D"/>
    <w:rsid w:val="00AC5D1D"/>
    <w:rsid w:val="00AC61D8"/>
    <w:rsid w:val="00AC6A02"/>
    <w:rsid w:val="00AC6CBC"/>
    <w:rsid w:val="00AD08C8"/>
    <w:rsid w:val="00AD0ADC"/>
    <w:rsid w:val="00AD1570"/>
    <w:rsid w:val="00AD2333"/>
    <w:rsid w:val="00AD2E4B"/>
    <w:rsid w:val="00AD392E"/>
    <w:rsid w:val="00AD4814"/>
    <w:rsid w:val="00AD4B88"/>
    <w:rsid w:val="00AD5153"/>
    <w:rsid w:val="00AD6633"/>
    <w:rsid w:val="00AD6773"/>
    <w:rsid w:val="00AD6E8A"/>
    <w:rsid w:val="00AE0427"/>
    <w:rsid w:val="00AE0F45"/>
    <w:rsid w:val="00AE2526"/>
    <w:rsid w:val="00AE418B"/>
    <w:rsid w:val="00AE4F99"/>
    <w:rsid w:val="00AE5592"/>
    <w:rsid w:val="00AF08F2"/>
    <w:rsid w:val="00AF2FBE"/>
    <w:rsid w:val="00AF4614"/>
    <w:rsid w:val="00AF4DD4"/>
    <w:rsid w:val="00AF5083"/>
    <w:rsid w:val="00AF549B"/>
    <w:rsid w:val="00AF5B98"/>
    <w:rsid w:val="00AF6448"/>
    <w:rsid w:val="00B006F9"/>
    <w:rsid w:val="00B009A7"/>
    <w:rsid w:val="00B00E5B"/>
    <w:rsid w:val="00B01D4A"/>
    <w:rsid w:val="00B021CC"/>
    <w:rsid w:val="00B023C0"/>
    <w:rsid w:val="00B02A2E"/>
    <w:rsid w:val="00B039E7"/>
    <w:rsid w:val="00B03CB7"/>
    <w:rsid w:val="00B05272"/>
    <w:rsid w:val="00B06700"/>
    <w:rsid w:val="00B137DC"/>
    <w:rsid w:val="00B13C7D"/>
    <w:rsid w:val="00B13CBA"/>
    <w:rsid w:val="00B14554"/>
    <w:rsid w:val="00B14833"/>
    <w:rsid w:val="00B14FEA"/>
    <w:rsid w:val="00B1564D"/>
    <w:rsid w:val="00B15954"/>
    <w:rsid w:val="00B16778"/>
    <w:rsid w:val="00B16B56"/>
    <w:rsid w:val="00B17B9C"/>
    <w:rsid w:val="00B2007C"/>
    <w:rsid w:val="00B2034B"/>
    <w:rsid w:val="00B21AD3"/>
    <w:rsid w:val="00B21BF4"/>
    <w:rsid w:val="00B226D4"/>
    <w:rsid w:val="00B229EA"/>
    <w:rsid w:val="00B2315F"/>
    <w:rsid w:val="00B242AD"/>
    <w:rsid w:val="00B2443D"/>
    <w:rsid w:val="00B25780"/>
    <w:rsid w:val="00B265AB"/>
    <w:rsid w:val="00B26622"/>
    <w:rsid w:val="00B31627"/>
    <w:rsid w:val="00B32E42"/>
    <w:rsid w:val="00B33039"/>
    <w:rsid w:val="00B35066"/>
    <w:rsid w:val="00B35600"/>
    <w:rsid w:val="00B35CD0"/>
    <w:rsid w:val="00B376BD"/>
    <w:rsid w:val="00B377B2"/>
    <w:rsid w:val="00B401BF"/>
    <w:rsid w:val="00B4077C"/>
    <w:rsid w:val="00B41769"/>
    <w:rsid w:val="00B41872"/>
    <w:rsid w:val="00B4680C"/>
    <w:rsid w:val="00B47E04"/>
    <w:rsid w:val="00B5086C"/>
    <w:rsid w:val="00B514E4"/>
    <w:rsid w:val="00B521E9"/>
    <w:rsid w:val="00B539D0"/>
    <w:rsid w:val="00B54D46"/>
    <w:rsid w:val="00B54DE0"/>
    <w:rsid w:val="00B6117F"/>
    <w:rsid w:val="00B61335"/>
    <w:rsid w:val="00B613FC"/>
    <w:rsid w:val="00B61AA4"/>
    <w:rsid w:val="00B626B4"/>
    <w:rsid w:val="00B62763"/>
    <w:rsid w:val="00B6300A"/>
    <w:rsid w:val="00B630E4"/>
    <w:rsid w:val="00B6371C"/>
    <w:rsid w:val="00B64F0D"/>
    <w:rsid w:val="00B6570B"/>
    <w:rsid w:val="00B6703C"/>
    <w:rsid w:val="00B67C84"/>
    <w:rsid w:val="00B71846"/>
    <w:rsid w:val="00B72584"/>
    <w:rsid w:val="00B73BEB"/>
    <w:rsid w:val="00B7601A"/>
    <w:rsid w:val="00B76063"/>
    <w:rsid w:val="00B76156"/>
    <w:rsid w:val="00B762DE"/>
    <w:rsid w:val="00B766A4"/>
    <w:rsid w:val="00B816AE"/>
    <w:rsid w:val="00B82B55"/>
    <w:rsid w:val="00B832B7"/>
    <w:rsid w:val="00B86B8E"/>
    <w:rsid w:val="00B875B0"/>
    <w:rsid w:val="00B8795F"/>
    <w:rsid w:val="00B907D0"/>
    <w:rsid w:val="00B910BB"/>
    <w:rsid w:val="00B92ECA"/>
    <w:rsid w:val="00B9339C"/>
    <w:rsid w:val="00B939DE"/>
    <w:rsid w:val="00B93A58"/>
    <w:rsid w:val="00B954FA"/>
    <w:rsid w:val="00B96AE9"/>
    <w:rsid w:val="00B9769A"/>
    <w:rsid w:val="00B97B50"/>
    <w:rsid w:val="00BA154D"/>
    <w:rsid w:val="00BA22EF"/>
    <w:rsid w:val="00BA30BB"/>
    <w:rsid w:val="00BA36C8"/>
    <w:rsid w:val="00BA3E0C"/>
    <w:rsid w:val="00BA40C4"/>
    <w:rsid w:val="00BA4318"/>
    <w:rsid w:val="00BA4355"/>
    <w:rsid w:val="00BA44A9"/>
    <w:rsid w:val="00BA46AC"/>
    <w:rsid w:val="00BA47CC"/>
    <w:rsid w:val="00BA4AF0"/>
    <w:rsid w:val="00BA5068"/>
    <w:rsid w:val="00BA64EC"/>
    <w:rsid w:val="00BA6D39"/>
    <w:rsid w:val="00BA7B6D"/>
    <w:rsid w:val="00BB25F4"/>
    <w:rsid w:val="00BB2C1E"/>
    <w:rsid w:val="00BB2DC0"/>
    <w:rsid w:val="00BB3389"/>
    <w:rsid w:val="00BB3513"/>
    <w:rsid w:val="00BB468B"/>
    <w:rsid w:val="00BB5C41"/>
    <w:rsid w:val="00BB766A"/>
    <w:rsid w:val="00BC084E"/>
    <w:rsid w:val="00BC1921"/>
    <w:rsid w:val="00BC1B21"/>
    <w:rsid w:val="00BC1BDA"/>
    <w:rsid w:val="00BC23E7"/>
    <w:rsid w:val="00BC2D43"/>
    <w:rsid w:val="00BC3AD5"/>
    <w:rsid w:val="00BC50BF"/>
    <w:rsid w:val="00BC5C4E"/>
    <w:rsid w:val="00BC5D34"/>
    <w:rsid w:val="00BC6918"/>
    <w:rsid w:val="00BC79F1"/>
    <w:rsid w:val="00BD1024"/>
    <w:rsid w:val="00BD1C89"/>
    <w:rsid w:val="00BD261E"/>
    <w:rsid w:val="00BD38B9"/>
    <w:rsid w:val="00BD3900"/>
    <w:rsid w:val="00BD4DED"/>
    <w:rsid w:val="00BD4FD9"/>
    <w:rsid w:val="00BD537E"/>
    <w:rsid w:val="00BD5D4F"/>
    <w:rsid w:val="00BD5E6E"/>
    <w:rsid w:val="00BD63CD"/>
    <w:rsid w:val="00BD7B46"/>
    <w:rsid w:val="00BD7D75"/>
    <w:rsid w:val="00BE0EBB"/>
    <w:rsid w:val="00BE10C2"/>
    <w:rsid w:val="00BE2B5E"/>
    <w:rsid w:val="00BE56E0"/>
    <w:rsid w:val="00BE5AA1"/>
    <w:rsid w:val="00BE6B58"/>
    <w:rsid w:val="00BE7D3D"/>
    <w:rsid w:val="00BF2449"/>
    <w:rsid w:val="00BF2519"/>
    <w:rsid w:val="00BF25F2"/>
    <w:rsid w:val="00BF2DD3"/>
    <w:rsid w:val="00BF36A3"/>
    <w:rsid w:val="00BF412B"/>
    <w:rsid w:val="00BF4536"/>
    <w:rsid w:val="00BF5399"/>
    <w:rsid w:val="00BF5FE7"/>
    <w:rsid w:val="00BF7A69"/>
    <w:rsid w:val="00C01BC5"/>
    <w:rsid w:val="00C01DAA"/>
    <w:rsid w:val="00C024A4"/>
    <w:rsid w:val="00C04D9C"/>
    <w:rsid w:val="00C05E1C"/>
    <w:rsid w:val="00C06770"/>
    <w:rsid w:val="00C06AA6"/>
    <w:rsid w:val="00C06DBE"/>
    <w:rsid w:val="00C07034"/>
    <w:rsid w:val="00C10860"/>
    <w:rsid w:val="00C10F84"/>
    <w:rsid w:val="00C1115D"/>
    <w:rsid w:val="00C11C55"/>
    <w:rsid w:val="00C12553"/>
    <w:rsid w:val="00C1301A"/>
    <w:rsid w:val="00C13FCA"/>
    <w:rsid w:val="00C140A9"/>
    <w:rsid w:val="00C1483D"/>
    <w:rsid w:val="00C15E3E"/>
    <w:rsid w:val="00C1615C"/>
    <w:rsid w:val="00C16313"/>
    <w:rsid w:val="00C16FF6"/>
    <w:rsid w:val="00C20789"/>
    <w:rsid w:val="00C20B2E"/>
    <w:rsid w:val="00C21079"/>
    <w:rsid w:val="00C2213D"/>
    <w:rsid w:val="00C2234E"/>
    <w:rsid w:val="00C23148"/>
    <w:rsid w:val="00C234E4"/>
    <w:rsid w:val="00C24471"/>
    <w:rsid w:val="00C27477"/>
    <w:rsid w:val="00C30B84"/>
    <w:rsid w:val="00C31657"/>
    <w:rsid w:val="00C32B22"/>
    <w:rsid w:val="00C33878"/>
    <w:rsid w:val="00C33E97"/>
    <w:rsid w:val="00C343D0"/>
    <w:rsid w:val="00C3492C"/>
    <w:rsid w:val="00C349E3"/>
    <w:rsid w:val="00C34B78"/>
    <w:rsid w:val="00C37441"/>
    <w:rsid w:val="00C41270"/>
    <w:rsid w:val="00C41F0D"/>
    <w:rsid w:val="00C42CCF"/>
    <w:rsid w:val="00C44E99"/>
    <w:rsid w:val="00C46DAA"/>
    <w:rsid w:val="00C50F85"/>
    <w:rsid w:val="00C52563"/>
    <w:rsid w:val="00C531E2"/>
    <w:rsid w:val="00C5420B"/>
    <w:rsid w:val="00C54BB2"/>
    <w:rsid w:val="00C54CCF"/>
    <w:rsid w:val="00C54CD9"/>
    <w:rsid w:val="00C561E4"/>
    <w:rsid w:val="00C564C0"/>
    <w:rsid w:val="00C571F5"/>
    <w:rsid w:val="00C600E0"/>
    <w:rsid w:val="00C601B0"/>
    <w:rsid w:val="00C61D1D"/>
    <w:rsid w:val="00C61F47"/>
    <w:rsid w:val="00C62D5D"/>
    <w:rsid w:val="00C6300C"/>
    <w:rsid w:val="00C63D9B"/>
    <w:rsid w:val="00C64BFD"/>
    <w:rsid w:val="00C6779E"/>
    <w:rsid w:val="00C677B6"/>
    <w:rsid w:val="00C67C51"/>
    <w:rsid w:val="00C709C6"/>
    <w:rsid w:val="00C728BB"/>
    <w:rsid w:val="00C7367F"/>
    <w:rsid w:val="00C740E9"/>
    <w:rsid w:val="00C7414A"/>
    <w:rsid w:val="00C74F3E"/>
    <w:rsid w:val="00C75703"/>
    <w:rsid w:val="00C762BE"/>
    <w:rsid w:val="00C766EF"/>
    <w:rsid w:val="00C80153"/>
    <w:rsid w:val="00C8138B"/>
    <w:rsid w:val="00C81836"/>
    <w:rsid w:val="00C824FD"/>
    <w:rsid w:val="00C829B7"/>
    <w:rsid w:val="00C8315D"/>
    <w:rsid w:val="00C8356A"/>
    <w:rsid w:val="00C8399D"/>
    <w:rsid w:val="00C84E2D"/>
    <w:rsid w:val="00C85030"/>
    <w:rsid w:val="00C87149"/>
    <w:rsid w:val="00C8772F"/>
    <w:rsid w:val="00C87A52"/>
    <w:rsid w:val="00C9207C"/>
    <w:rsid w:val="00C92B07"/>
    <w:rsid w:val="00C939E0"/>
    <w:rsid w:val="00C945B2"/>
    <w:rsid w:val="00C960E2"/>
    <w:rsid w:val="00C96974"/>
    <w:rsid w:val="00C96B2E"/>
    <w:rsid w:val="00C96C30"/>
    <w:rsid w:val="00C97F24"/>
    <w:rsid w:val="00CA0E0F"/>
    <w:rsid w:val="00CA13C5"/>
    <w:rsid w:val="00CA4545"/>
    <w:rsid w:val="00CA5D28"/>
    <w:rsid w:val="00CA67FB"/>
    <w:rsid w:val="00CA6893"/>
    <w:rsid w:val="00CA7CDE"/>
    <w:rsid w:val="00CB005F"/>
    <w:rsid w:val="00CB06D1"/>
    <w:rsid w:val="00CB16D4"/>
    <w:rsid w:val="00CB2432"/>
    <w:rsid w:val="00CB4A44"/>
    <w:rsid w:val="00CB596F"/>
    <w:rsid w:val="00CB6433"/>
    <w:rsid w:val="00CC1B85"/>
    <w:rsid w:val="00CC2A63"/>
    <w:rsid w:val="00CC3568"/>
    <w:rsid w:val="00CC3D84"/>
    <w:rsid w:val="00CC42E3"/>
    <w:rsid w:val="00CC53FD"/>
    <w:rsid w:val="00CC5FCD"/>
    <w:rsid w:val="00CC6CC9"/>
    <w:rsid w:val="00CC6F21"/>
    <w:rsid w:val="00CC702B"/>
    <w:rsid w:val="00CC70EF"/>
    <w:rsid w:val="00CC77EC"/>
    <w:rsid w:val="00CD10DE"/>
    <w:rsid w:val="00CD20FD"/>
    <w:rsid w:val="00CD24CF"/>
    <w:rsid w:val="00CD32A0"/>
    <w:rsid w:val="00CD41BA"/>
    <w:rsid w:val="00CD4C9F"/>
    <w:rsid w:val="00CD6162"/>
    <w:rsid w:val="00CD6EF6"/>
    <w:rsid w:val="00CD72EB"/>
    <w:rsid w:val="00CE03D3"/>
    <w:rsid w:val="00CE0A65"/>
    <w:rsid w:val="00CE2511"/>
    <w:rsid w:val="00CE432B"/>
    <w:rsid w:val="00CE5717"/>
    <w:rsid w:val="00CE5AEF"/>
    <w:rsid w:val="00CF0465"/>
    <w:rsid w:val="00CF231D"/>
    <w:rsid w:val="00CF3665"/>
    <w:rsid w:val="00CF3E51"/>
    <w:rsid w:val="00CF407B"/>
    <w:rsid w:val="00CF4501"/>
    <w:rsid w:val="00CF4E0F"/>
    <w:rsid w:val="00CF5E02"/>
    <w:rsid w:val="00D010FB"/>
    <w:rsid w:val="00D01A98"/>
    <w:rsid w:val="00D0260B"/>
    <w:rsid w:val="00D02B3B"/>
    <w:rsid w:val="00D032C9"/>
    <w:rsid w:val="00D03660"/>
    <w:rsid w:val="00D04251"/>
    <w:rsid w:val="00D046A3"/>
    <w:rsid w:val="00D05B5D"/>
    <w:rsid w:val="00D10361"/>
    <w:rsid w:val="00D1050C"/>
    <w:rsid w:val="00D1219E"/>
    <w:rsid w:val="00D121F4"/>
    <w:rsid w:val="00D12FD9"/>
    <w:rsid w:val="00D1447B"/>
    <w:rsid w:val="00D14AB7"/>
    <w:rsid w:val="00D1513B"/>
    <w:rsid w:val="00D15786"/>
    <w:rsid w:val="00D162CA"/>
    <w:rsid w:val="00D16383"/>
    <w:rsid w:val="00D165C3"/>
    <w:rsid w:val="00D16E9D"/>
    <w:rsid w:val="00D1713A"/>
    <w:rsid w:val="00D22C5E"/>
    <w:rsid w:val="00D23A28"/>
    <w:rsid w:val="00D24687"/>
    <w:rsid w:val="00D24C7B"/>
    <w:rsid w:val="00D25B44"/>
    <w:rsid w:val="00D26D7C"/>
    <w:rsid w:val="00D27FCA"/>
    <w:rsid w:val="00D303A1"/>
    <w:rsid w:val="00D30727"/>
    <w:rsid w:val="00D307C3"/>
    <w:rsid w:val="00D3312B"/>
    <w:rsid w:val="00D335AA"/>
    <w:rsid w:val="00D349DE"/>
    <w:rsid w:val="00D34C5D"/>
    <w:rsid w:val="00D3701E"/>
    <w:rsid w:val="00D37832"/>
    <w:rsid w:val="00D4112C"/>
    <w:rsid w:val="00D43516"/>
    <w:rsid w:val="00D442B9"/>
    <w:rsid w:val="00D44ABA"/>
    <w:rsid w:val="00D474AA"/>
    <w:rsid w:val="00D5040C"/>
    <w:rsid w:val="00D52113"/>
    <w:rsid w:val="00D5269D"/>
    <w:rsid w:val="00D5281B"/>
    <w:rsid w:val="00D53269"/>
    <w:rsid w:val="00D53436"/>
    <w:rsid w:val="00D54065"/>
    <w:rsid w:val="00D54B26"/>
    <w:rsid w:val="00D55199"/>
    <w:rsid w:val="00D55380"/>
    <w:rsid w:val="00D557ED"/>
    <w:rsid w:val="00D56647"/>
    <w:rsid w:val="00D5714C"/>
    <w:rsid w:val="00D57155"/>
    <w:rsid w:val="00D57637"/>
    <w:rsid w:val="00D6023C"/>
    <w:rsid w:val="00D6066B"/>
    <w:rsid w:val="00D60EDC"/>
    <w:rsid w:val="00D61C9C"/>
    <w:rsid w:val="00D6225F"/>
    <w:rsid w:val="00D624B7"/>
    <w:rsid w:val="00D62A3E"/>
    <w:rsid w:val="00D649BF"/>
    <w:rsid w:val="00D6537D"/>
    <w:rsid w:val="00D65D68"/>
    <w:rsid w:val="00D66F97"/>
    <w:rsid w:val="00D66FA7"/>
    <w:rsid w:val="00D73323"/>
    <w:rsid w:val="00D734C8"/>
    <w:rsid w:val="00D73A43"/>
    <w:rsid w:val="00D74F64"/>
    <w:rsid w:val="00D7557E"/>
    <w:rsid w:val="00D75B7C"/>
    <w:rsid w:val="00D763B5"/>
    <w:rsid w:val="00D802EB"/>
    <w:rsid w:val="00D80EE2"/>
    <w:rsid w:val="00D822DF"/>
    <w:rsid w:val="00D83268"/>
    <w:rsid w:val="00D83B8C"/>
    <w:rsid w:val="00D84AAA"/>
    <w:rsid w:val="00D85272"/>
    <w:rsid w:val="00D8615F"/>
    <w:rsid w:val="00D86B46"/>
    <w:rsid w:val="00D86C2F"/>
    <w:rsid w:val="00D8786E"/>
    <w:rsid w:val="00D90430"/>
    <w:rsid w:val="00D92449"/>
    <w:rsid w:val="00D9493F"/>
    <w:rsid w:val="00D94DE7"/>
    <w:rsid w:val="00D94FBA"/>
    <w:rsid w:val="00D95B48"/>
    <w:rsid w:val="00DA00F5"/>
    <w:rsid w:val="00DA0B40"/>
    <w:rsid w:val="00DA5A6A"/>
    <w:rsid w:val="00DA5F7C"/>
    <w:rsid w:val="00DA6E66"/>
    <w:rsid w:val="00DA6F5A"/>
    <w:rsid w:val="00DA73DE"/>
    <w:rsid w:val="00DA7515"/>
    <w:rsid w:val="00DB0C37"/>
    <w:rsid w:val="00DB14D0"/>
    <w:rsid w:val="00DB29E1"/>
    <w:rsid w:val="00DB2D47"/>
    <w:rsid w:val="00DB3AEF"/>
    <w:rsid w:val="00DB574E"/>
    <w:rsid w:val="00DB57B1"/>
    <w:rsid w:val="00DB5E58"/>
    <w:rsid w:val="00DB696B"/>
    <w:rsid w:val="00DB7273"/>
    <w:rsid w:val="00DB755C"/>
    <w:rsid w:val="00DC0121"/>
    <w:rsid w:val="00DC01D8"/>
    <w:rsid w:val="00DC1AB1"/>
    <w:rsid w:val="00DC24B2"/>
    <w:rsid w:val="00DC3D34"/>
    <w:rsid w:val="00DC466B"/>
    <w:rsid w:val="00DC497F"/>
    <w:rsid w:val="00DC4F72"/>
    <w:rsid w:val="00DC4FBF"/>
    <w:rsid w:val="00DC5627"/>
    <w:rsid w:val="00DC5739"/>
    <w:rsid w:val="00DC5888"/>
    <w:rsid w:val="00DC6163"/>
    <w:rsid w:val="00DC7166"/>
    <w:rsid w:val="00DD00E1"/>
    <w:rsid w:val="00DD0494"/>
    <w:rsid w:val="00DD3960"/>
    <w:rsid w:val="00DD43C9"/>
    <w:rsid w:val="00DD521E"/>
    <w:rsid w:val="00DD62B7"/>
    <w:rsid w:val="00DD662F"/>
    <w:rsid w:val="00DD6FAA"/>
    <w:rsid w:val="00DE0CED"/>
    <w:rsid w:val="00DE0E5E"/>
    <w:rsid w:val="00DE0F1C"/>
    <w:rsid w:val="00DE1524"/>
    <w:rsid w:val="00DE1F37"/>
    <w:rsid w:val="00DE2319"/>
    <w:rsid w:val="00DE2C25"/>
    <w:rsid w:val="00DE3B75"/>
    <w:rsid w:val="00DE3F08"/>
    <w:rsid w:val="00DE4A5C"/>
    <w:rsid w:val="00DE4F4E"/>
    <w:rsid w:val="00DE5515"/>
    <w:rsid w:val="00DE5ED1"/>
    <w:rsid w:val="00DE71B3"/>
    <w:rsid w:val="00DE72EA"/>
    <w:rsid w:val="00DE7A4A"/>
    <w:rsid w:val="00DF11DC"/>
    <w:rsid w:val="00DF172E"/>
    <w:rsid w:val="00DF2B02"/>
    <w:rsid w:val="00DF3CE6"/>
    <w:rsid w:val="00DF4096"/>
    <w:rsid w:val="00DF43B6"/>
    <w:rsid w:val="00DF5FD6"/>
    <w:rsid w:val="00DF7334"/>
    <w:rsid w:val="00E004C6"/>
    <w:rsid w:val="00E006A3"/>
    <w:rsid w:val="00E01172"/>
    <w:rsid w:val="00E02DA2"/>
    <w:rsid w:val="00E03647"/>
    <w:rsid w:val="00E04007"/>
    <w:rsid w:val="00E042DE"/>
    <w:rsid w:val="00E053B7"/>
    <w:rsid w:val="00E053DD"/>
    <w:rsid w:val="00E05AA0"/>
    <w:rsid w:val="00E07816"/>
    <w:rsid w:val="00E10F83"/>
    <w:rsid w:val="00E1161F"/>
    <w:rsid w:val="00E13158"/>
    <w:rsid w:val="00E133EB"/>
    <w:rsid w:val="00E15D8C"/>
    <w:rsid w:val="00E15E7D"/>
    <w:rsid w:val="00E16503"/>
    <w:rsid w:val="00E16842"/>
    <w:rsid w:val="00E1751C"/>
    <w:rsid w:val="00E17A47"/>
    <w:rsid w:val="00E17D39"/>
    <w:rsid w:val="00E20503"/>
    <w:rsid w:val="00E20558"/>
    <w:rsid w:val="00E20A92"/>
    <w:rsid w:val="00E2153B"/>
    <w:rsid w:val="00E224B5"/>
    <w:rsid w:val="00E229F4"/>
    <w:rsid w:val="00E231E0"/>
    <w:rsid w:val="00E23B70"/>
    <w:rsid w:val="00E251FB"/>
    <w:rsid w:val="00E2564F"/>
    <w:rsid w:val="00E267CA"/>
    <w:rsid w:val="00E268CF"/>
    <w:rsid w:val="00E273CE"/>
    <w:rsid w:val="00E273EF"/>
    <w:rsid w:val="00E27B9B"/>
    <w:rsid w:val="00E27E99"/>
    <w:rsid w:val="00E302F6"/>
    <w:rsid w:val="00E30DFC"/>
    <w:rsid w:val="00E318C4"/>
    <w:rsid w:val="00E32647"/>
    <w:rsid w:val="00E35689"/>
    <w:rsid w:val="00E376C6"/>
    <w:rsid w:val="00E410E0"/>
    <w:rsid w:val="00E4212F"/>
    <w:rsid w:val="00E43CB4"/>
    <w:rsid w:val="00E45668"/>
    <w:rsid w:val="00E45F2E"/>
    <w:rsid w:val="00E46B27"/>
    <w:rsid w:val="00E4780F"/>
    <w:rsid w:val="00E50E57"/>
    <w:rsid w:val="00E53753"/>
    <w:rsid w:val="00E53BF2"/>
    <w:rsid w:val="00E5463B"/>
    <w:rsid w:val="00E55079"/>
    <w:rsid w:val="00E55CD5"/>
    <w:rsid w:val="00E57934"/>
    <w:rsid w:val="00E579D6"/>
    <w:rsid w:val="00E57B0A"/>
    <w:rsid w:val="00E6079B"/>
    <w:rsid w:val="00E60962"/>
    <w:rsid w:val="00E615F8"/>
    <w:rsid w:val="00E61ADB"/>
    <w:rsid w:val="00E63862"/>
    <w:rsid w:val="00E63CF3"/>
    <w:rsid w:val="00E650DE"/>
    <w:rsid w:val="00E67CB8"/>
    <w:rsid w:val="00E7209C"/>
    <w:rsid w:val="00E722B7"/>
    <w:rsid w:val="00E732FF"/>
    <w:rsid w:val="00E73C6C"/>
    <w:rsid w:val="00E73E5B"/>
    <w:rsid w:val="00E74EA2"/>
    <w:rsid w:val="00E74FE3"/>
    <w:rsid w:val="00E7506F"/>
    <w:rsid w:val="00E75BB8"/>
    <w:rsid w:val="00E75C09"/>
    <w:rsid w:val="00E76004"/>
    <w:rsid w:val="00E77AC4"/>
    <w:rsid w:val="00E77B69"/>
    <w:rsid w:val="00E807BC"/>
    <w:rsid w:val="00E80B03"/>
    <w:rsid w:val="00E81508"/>
    <w:rsid w:val="00E8352B"/>
    <w:rsid w:val="00E836C6"/>
    <w:rsid w:val="00E83BB1"/>
    <w:rsid w:val="00E8581F"/>
    <w:rsid w:val="00E869D3"/>
    <w:rsid w:val="00E86D27"/>
    <w:rsid w:val="00E873D3"/>
    <w:rsid w:val="00E9067B"/>
    <w:rsid w:val="00E91D87"/>
    <w:rsid w:val="00E92839"/>
    <w:rsid w:val="00E92903"/>
    <w:rsid w:val="00E9399E"/>
    <w:rsid w:val="00E939BE"/>
    <w:rsid w:val="00E94579"/>
    <w:rsid w:val="00E9459E"/>
    <w:rsid w:val="00E95153"/>
    <w:rsid w:val="00E96741"/>
    <w:rsid w:val="00E96805"/>
    <w:rsid w:val="00E96F21"/>
    <w:rsid w:val="00E970C8"/>
    <w:rsid w:val="00E97440"/>
    <w:rsid w:val="00EA00EA"/>
    <w:rsid w:val="00EA04A1"/>
    <w:rsid w:val="00EA0B18"/>
    <w:rsid w:val="00EA13CD"/>
    <w:rsid w:val="00EA143C"/>
    <w:rsid w:val="00EA2E52"/>
    <w:rsid w:val="00EA2FA3"/>
    <w:rsid w:val="00EA3610"/>
    <w:rsid w:val="00EA46A1"/>
    <w:rsid w:val="00EA676E"/>
    <w:rsid w:val="00EA7059"/>
    <w:rsid w:val="00EA767F"/>
    <w:rsid w:val="00EA79ED"/>
    <w:rsid w:val="00EB0660"/>
    <w:rsid w:val="00EB0AAF"/>
    <w:rsid w:val="00EB27F1"/>
    <w:rsid w:val="00EB3834"/>
    <w:rsid w:val="00EB3CDE"/>
    <w:rsid w:val="00EB4E75"/>
    <w:rsid w:val="00EB50B5"/>
    <w:rsid w:val="00EB582C"/>
    <w:rsid w:val="00EB5997"/>
    <w:rsid w:val="00EB6384"/>
    <w:rsid w:val="00EB6F28"/>
    <w:rsid w:val="00EB7C6D"/>
    <w:rsid w:val="00EC03C2"/>
    <w:rsid w:val="00EC099E"/>
    <w:rsid w:val="00EC0CEB"/>
    <w:rsid w:val="00EC106B"/>
    <w:rsid w:val="00EC25FC"/>
    <w:rsid w:val="00EC4422"/>
    <w:rsid w:val="00EC4D60"/>
    <w:rsid w:val="00EC6278"/>
    <w:rsid w:val="00ED0B20"/>
    <w:rsid w:val="00ED0BAF"/>
    <w:rsid w:val="00ED0C69"/>
    <w:rsid w:val="00ED12EE"/>
    <w:rsid w:val="00ED1A4F"/>
    <w:rsid w:val="00ED1F94"/>
    <w:rsid w:val="00ED2962"/>
    <w:rsid w:val="00ED29AC"/>
    <w:rsid w:val="00ED3548"/>
    <w:rsid w:val="00ED3AB0"/>
    <w:rsid w:val="00ED424A"/>
    <w:rsid w:val="00ED43A2"/>
    <w:rsid w:val="00ED446D"/>
    <w:rsid w:val="00ED56C7"/>
    <w:rsid w:val="00ED5C0A"/>
    <w:rsid w:val="00ED63E6"/>
    <w:rsid w:val="00ED6AA4"/>
    <w:rsid w:val="00ED7356"/>
    <w:rsid w:val="00EE04E6"/>
    <w:rsid w:val="00EE07D1"/>
    <w:rsid w:val="00EE1948"/>
    <w:rsid w:val="00EE28D9"/>
    <w:rsid w:val="00EE3BB8"/>
    <w:rsid w:val="00EE3ECF"/>
    <w:rsid w:val="00EE4AF9"/>
    <w:rsid w:val="00EE54E0"/>
    <w:rsid w:val="00EE60D1"/>
    <w:rsid w:val="00EE670C"/>
    <w:rsid w:val="00EF206B"/>
    <w:rsid w:val="00EF3063"/>
    <w:rsid w:val="00EF3714"/>
    <w:rsid w:val="00EF4A99"/>
    <w:rsid w:val="00EF5539"/>
    <w:rsid w:val="00EF61BE"/>
    <w:rsid w:val="00F0034E"/>
    <w:rsid w:val="00F022DF"/>
    <w:rsid w:val="00F0411A"/>
    <w:rsid w:val="00F0444B"/>
    <w:rsid w:val="00F04DD4"/>
    <w:rsid w:val="00F065ED"/>
    <w:rsid w:val="00F06CE4"/>
    <w:rsid w:val="00F077D1"/>
    <w:rsid w:val="00F07B60"/>
    <w:rsid w:val="00F11157"/>
    <w:rsid w:val="00F1179D"/>
    <w:rsid w:val="00F11CD7"/>
    <w:rsid w:val="00F12C9E"/>
    <w:rsid w:val="00F13215"/>
    <w:rsid w:val="00F13669"/>
    <w:rsid w:val="00F142BC"/>
    <w:rsid w:val="00F148A7"/>
    <w:rsid w:val="00F14970"/>
    <w:rsid w:val="00F14C8C"/>
    <w:rsid w:val="00F14CAE"/>
    <w:rsid w:val="00F14F6A"/>
    <w:rsid w:val="00F15246"/>
    <w:rsid w:val="00F152AD"/>
    <w:rsid w:val="00F1544B"/>
    <w:rsid w:val="00F15918"/>
    <w:rsid w:val="00F1593B"/>
    <w:rsid w:val="00F165A5"/>
    <w:rsid w:val="00F17956"/>
    <w:rsid w:val="00F22CB2"/>
    <w:rsid w:val="00F24450"/>
    <w:rsid w:val="00F24EAA"/>
    <w:rsid w:val="00F25183"/>
    <w:rsid w:val="00F27292"/>
    <w:rsid w:val="00F273EA"/>
    <w:rsid w:val="00F300FE"/>
    <w:rsid w:val="00F30929"/>
    <w:rsid w:val="00F31472"/>
    <w:rsid w:val="00F31F51"/>
    <w:rsid w:val="00F32473"/>
    <w:rsid w:val="00F32DA5"/>
    <w:rsid w:val="00F338AF"/>
    <w:rsid w:val="00F34493"/>
    <w:rsid w:val="00F3470A"/>
    <w:rsid w:val="00F34A58"/>
    <w:rsid w:val="00F34AC9"/>
    <w:rsid w:val="00F3544D"/>
    <w:rsid w:val="00F355B8"/>
    <w:rsid w:val="00F3711B"/>
    <w:rsid w:val="00F37B66"/>
    <w:rsid w:val="00F40D7B"/>
    <w:rsid w:val="00F41352"/>
    <w:rsid w:val="00F41CCF"/>
    <w:rsid w:val="00F426E6"/>
    <w:rsid w:val="00F42BD5"/>
    <w:rsid w:val="00F42EF7"/>
    <w:rsid w:val="00F432E3"/>
    <w:rsid w:val="00F436F6"/>
    <w:rsid w:val="00F4429F"/>
    <w:rsid w:val="00F455E0"/>
    <w:rsid w:val="00F45E9E"/>
    <w:rsid w:val="00F45F8D"/>
    <w:rsid w:val="00F46592"/>
    <w:rsid w:val="00F465EE"/>
    <w:rsid w:val="00F47799"/>
    <w:rsid w:val="00F50479"/>
    <w:rsid w:val="00F50545"/>
    <w:rsid w:val="00F50E58"/>
    <w:rsid w:val="00F523F2"/>
    <w:rsid w:val="00F53663"/>
    <w:rsid w:val="00F5568A"/>
    <w:rsid w:val="00F55ED6"/>
    <w:rsid w:val="00F56775"/>
    <w:rsid w:val="00F57B63"/>
    <w:rsid w:val="00F6185C"/>
    <w:rsid w:val="00F618A1"/>
    <w:rsid w:val="00F619A9"/>
    <w:rsid w:val="00F61C46"/>
    <w:rsid w:val="00F620C0"/>
    <w:rsid w:val="00F6387B"/>
    <w:rsid w:val="00F638AE"/>
    <w:rsid w:val="00F63A67"/>
    <w:rsid w:val="00F63A71"/>
    <w:rsid w:val="00F63EAE"/>
    <w:rsid w:val="00F6477F"/>
    <w:rsid w:val="00F649D5"/>
    <w:rsid w:val="00F65743"/>
    <w:rsid w:val="00F661FA"/>
    <w:rsid w:val="00F67EFB"/>
    <w:rsid w:val="00F707C8"/>
    <w:rsid w:val="00F714FC"/>
    <w:rsid w:val="00F715B1"/>
    <w:rsid w:val="00F721EE"/>
    <w:rsid w:val="00F73DDE"/>
    <w:rsid w:val="00F74AC9"/>
    <w:rsid w:val="00F74EB1"/>
    <w:rsid w:val="00F753AC"/>
    <w:rsid w:val="00F758DC"/>
    <w:rsid w:val="00F75BFF"/>
    <w:rsid w:val="00F769A9"/>
    <w:rsid w:val="00F775EA"/>
    <w:rsid w:val="00F77BDA"/>
    <w:rsid w:val="00F77C02"/>
    <w:rsid w:val="00F85D62"/>
    <w:rsid w:val="00F874B1"/>
    <w:rsid w:val="00F91D48"/>
    <w:rsid w:val="00F92708"/>
    <w:rsid w:val="00F92884"/>
    <w:rsid w:val="00F932E3"/>
    <w:rsid w:val="00F949C3"/>
    <w:rsid w:val="00F96050"/>
    <w:rsid w:val="00FA05D7"/>
    <w:rsid w:val="00FA061A"/>
    <w:rsid w:val="00FA0981"/>
    <w:rsid w:val="00FA1DFC"/>
    <w:rsid w:val="00FA2221"/>
    <w:rsid w:val="00FA2C84"/>
    <w:rsid w:val="00FA3A5E"/>
    <w:rsid w:val="00FA5896"/>
    <w:rsid w:val="00FA659F"/>
    <w:rsid w:val="00FA697F"/>
    <w:rsid w:val="00FA731B"/>
    <w:rsid w:val="00FA794D"/>
    <w:rsid w:val="00FA794E"/>
    <w:rsid w:val="00FB1D8F"/>
    <w:rsid w:val="00FB2856"/>
    <w:rsid w:val="00FB2BAE"/>
    <w:rsid w:val="00FB2C83"/>
    <w:rsid w:val="00FB2CEB"/>
    <w:rsid w:val="00FB30BD"/>
    <w:rsid w:val="00FB429C"/>
    <w:rsid w:val="00FB43D9"/>
    <w:rsid w:val="00FB43ED"/>
    <w:rsid w:val="00FB578A"/>
    <w:rsid w:val="00FB5D17"/>
    <w:rsid w:val="00FB697D"/>
    <w:rsid w:val="00FC190C"/>
    <w:rsid w:val="00FC24C2"/>
    <w:rsid w:val="00FC31D5"/>
    <w:rsid w:val="00FC3AD7"/>
    <w:rsid w:val="00FC4631"/>
    <w:rsid w:val="00FC4AD9"/>
    <w:rsid w:val="00FC5CB2"/>
    <w:rsid w:val="00FC6BEA"/>
    <w:rsid w:val="00FC6C4A"/>
    <w:rsid w:val="00FC6FB5"/>
    <w:rsid w:val="00FD06FE"/>
    <w:rsid w:val="00FD152E"/>
    <w:rsid w:val="00FD2027"/>
    <w:rsid w:val="00FD411D"/>
    <w:rsid w:val="00FD48A6"/>
    <w:rsid w:val="00FD4CEA"/>
    <w:rsid w:val="00FD557F"/>
    <w:rsid w:val="00FD5859"/>
    <w:rsid w:val="00FD5DF4"/>
    <w:rsid w:val="00FD77A4"/>
    <w:rsid w:val="00FD78AD"/>
    <w:rsid w:val="00FE0033"/>
    <w:rsid w:val="00FE0740"/>
    <w:rsid w:val="00FE2183"/>
    <w:rsid w:val="00FE24FC"/>
    <w:rsid w:val="00FE3A61"/>
    <w:rsid w:val="00FE4752"/>
    <w:rsid w:val="00FE4AD2"/>
    <w:rsid w:val="00FE55D0"/>
    <w:rsid w:val="00FE5706"/>
    <w:rsid w:val="00FF001C"/>
    <w:rsid w:val="00FF027F"/>
    <w:rsid w:val="00FF1774"/>
    <w:rsid w:val="00FF17CC"/>
    <w:rsid w:val="00FF1F7B"/>
    <w:rsid w:val="00FF40DB"/>
    <w:rsid w:val="00FF5725"/>
    <w:rsid w:val="00FF5DB1"/>
    <w:rsid w:val="00FF7091"/>
    <w:rsid w:val="00FF7A74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D6EC6"/>
  <w15:docId w15:val="{1410F466-0186-45F9-9CE6-EA72B201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52C"/>
    <w:pPr>
      <w:spacing w:after="120"/>
    </w:pPr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57F6"/>
    <w:pPr>
      <w:keepNext/>
      <w:keepLines/>
      <w:numPr>
        <w:numId w:val="1"/>
      </w:numPr>
      <w:spacing w:before="240" w:after="360"/>
      <w:outlineLvl w:val="0"/>
    </w:pPr>
    <w:rPr>
      <w:rFonts w:ascii="Bahnschrift" w:eastAsiaTheme="majorEastAsia" w:hAnsi="Bahnschrift" w:cstheme="majorBidi"/>
      <w:b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5725"/>
    <w:pPr>
      <w:keepNext/>
      <w:keepLines/>
      <w:numPr>
        <w:ilvl w:val="1"/>
        <w:numId w:val="1"/>
      </w:numPr>
      <w:spacing w:before="240" w:after="360"/>
      <w:outlineLvl w:val="1"/>
    </w:pPr>
    <w:rPr>
      <w:rFonts w:ascii="Bahnschrift" w:eastAsiaTheme="majorEastAsia" w:hAnsi="Bahnschrift" w:cstheme="majorBidi"/>
      <w:b/>
      <w:sz w:val="4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7850"/>
    <w:pPr>
      <w:keepNext/>
      <w:keepLines/>
      <w:numPr>
        <w:ilvl w:val="2"/>
        <w:numId w:val="1"/>
      </w:numPr>
      <w:spacing w:before="600" w:after="240"/>
      <w:outlineLvl w:val="2"/>
    </w:pPr>
    <w:rPr>
      <w:rFonts w:ascii="Bahnschrift" w:eastAsiaTheme="majorEastAsia" w:hAnsi="Bahnschrift" w:cstheme="majorBidi"/>
      <w:b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7CB8"/>
    <w:pPr>
      <w:keepNext/>
      <w:keepLines/>
      <w:numPr>
        <w:ilvl w:val="3"/>
        <w:numId w:val="1"/>
      </w:numPr>
      <w:spacing w:before="600" w:after="240"/>
      <w:outlineLvl w:val="3"/>
    </w:pPr>
    <w:rPr>
      <w:rFonts w:ascii="Bahnschrift" w:eastAsiaTheme="majorEastAsia" w:hAnsi="Bahnschrift" w:cstheme="majorBidi"/>
      <w:b/>
      <w:iCs/>
      <w:sz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05B5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aliases w:val="Nagłówek 6_Działania"/>
    <w:basedOn w:val="Normalny"/>
    <w:next w:val="Normalny"/>
    <w:link w:val="Nagwek6Znak"/>
    <w:uiPriority w:val="9"/>
    <w:unhideWhenUsed/>
    <w:qFormat/>
    <w:rsid w:val="00CE5AEF"/>
    <w:pPr>
      <w:keepNext/>
      <w:keepLines/>
      <w:numPr>
        <w:ilvl w:val="5"/>
        <w:numId w:val="1"/>
      </w:numPr>
      <w:spacing w:before="480" w:after="140"/>
      <w:outlineLvl w:val="5"/>
    </w:pPr>
    <w:rPr>
      <w:rFonts w:ascii="Bahnschrift" w:eastAsiaTheme="majorEastAsia" w:hAnsi="Bahnschrift" w:cstheme="majorBidi"/>
      <w:b/>
      <w:color w:val="000000" w:themeColor="tex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B5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B5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B5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7F6"/>
    <w:rPr>
      <w:rFonts w:ascii="Bahnschrift" w:eastAsiaTheme="majorEastAsia" w:hAnsi="Bahnschrift" w:cstheme="majorBidi"/>
      <w:b/>
      <w:sz w:val="4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5725"/>
    <w:rPr>
      <w:rFonts w:ascii="Bahnschrift" w:eastAsiaTheme="majorEastAsia" w:hAnsi="Bahnschrift" w:cstheme="majorBidi"/>
      <w:b/>
      <w:sz w:val="4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7850"/>
    <w:rPr>
      <w:rFonts w:ascii="Bahnschrift" w:eastAsiaTheme="majorEastAsia" w:hAnsi="Bahnschrift" w:cstheme="majorBidi"/>
      <w:b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67CB8"/>
    <w:rPr>
      <w:rFonts w:ascii="Bahnschrift" w:eastAsiaTheme="majorEastAsia" w:hAnsi="Bahnschrift" w:cstheme="majorBidi"/>
      <w:b/>
      <w:iCs/>
      <w:sz w:val="32"/>
    </w:rPr>
  </w:style>
  <w:style w:type="table" w:styleId="Tabela-Siatka">
    <w:name w:val="Table Grid"/>
    <w:basedOn w:val="Standardowy"/>
    <w:uiPriority w:val="39"/>
    <w:rsid w:val="0069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86761A"/>
    <w:pPr>
      <w:tabs>
        <w:tab w:val="left" w:pos="440"/>
        <w:tab w:val="right" w:leader="dot" w:pos="9062"/>
      </w:tabs>
      <w:spacing w:after="100"/>
    </w:pPr>
    <w:rPr>
      <w:rFonts w:ascii="Bahnschrift" w:hAnsi="Bahnschrift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10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10E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10E"/>
    <w:rPr>
      <w:rFonts w:ascii="Lato" w:hAnsi="Lato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F3871"/>
    <w:rPr>
      <w:i/>
      <w:iCs/>
    </w:rPr>
  </w:style>
  <w:style w:type="paragraph" w:customStyle="1" w:styleId="x20181999">
    <w:name w:val="x2018/1999"/>
    <w:basedOn w:val="Normalny"/>
    <w:link w:val="x20181999Znak"/>
    <w:rsid w:val="002B5CFB"/>
    <w:pPr>
      <w:shd w:val="clear" w:color="auto" w:fill="E59EDC" w:themeFill="accent5" w:themeFillTint="66"/>
    </w:pPr>
    <w:rPr>
      <w:color w:val="595959" w:themeColor="text1" w:themeTint="A6"/>
    </w:rPr>
  </w:style>
  <w:style w:type="character" w:customStyle="1" w:styleId="x20181999Znak">
    <w:name w:val="x2018/1999 Znak"/>
    <w:basedOn w:val="Domylnaczcionkaakapitu"/>
    <w:link w:val="x20181999"/>
    <w:rsid w:val="002B5CFB"/>
    <w:rPr>
      <w:rFonts w:ascii="Lato" w:hAnsi="Lato"/>
      <w:color w:val="595959" w:themeColor="text1" w:themeTint="A6"/>
      <w:shd w:val="clear" w:color="auto" w:fill="E59EDC" w:themeFill="accent5" w:themeFillTint="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46AC"/>
    <w:pPr>
      <w:spacing w:after="0"/>
      <w:outlineLvl w:val="9"/>
    </w:pPr>
    <w:rPr>
      <w:rFonts w:asciiTheme="majorHAnsi" w:hAnsiTheme="majorHAnsi"/>
      <w:b w:val="0"/>
      <w:kern w:val="0"/>
      <w:sz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D4BA5"/>
    <w:pPr>
      <w:tabs>
        <w:tab w:val="left" w:pos="1560"/>
        <w:tab w:val="right" w:leader="dot" w:pos="9062"/>
      </w:tabs>
      <w:spacing w:after="100"/>
      <w:ind w:left="440"/>
    </w:pPr>
    <w:rPr>
      <w:rFonts w:ascii="Bahnschrift" w:hAnsi="Bahnschrift"/>
    </w:rPr>
  </w:style>
  <w:style w:type="paragraph" w:styleId="Spistreci2">
    <w:name w:val="toc 2"/>
    <w:basedOn w:val="Normalny"/>
    <w:next w:val="Normalny"/>
    <w:autoRedefine/>
    <w:uiPriority w:val="39"/>
    <w:unhideWhenUsed/>
    <w:rsid w:val="0074645C"/>
    <w:pPr>
      <w:tabs>
        <w:tab w:val="left" w:pos="880"/>
        <w:tab w:val="right" w:leader="dot" w:pos="9062"/>
      </w:tabs>
      <w:spacing w:after="100"/>
      <w:ind w:left="220"/>
    </w:pPr>
    <w:rPr>
      <w:rFonts w:ascii="Bahnschrift" w:hAnsi="Bahnschrift"/>
    </w:rPr>
  </w:style>
  <w:style w:type="character" w:styleId="Hipercze">
    <w:name w:val="Hyperlink"/>
    <w:basedOn w:val="Domylnaczcionkaakapitu"/>
    <w:uiPriority w:val="99"/>
    <w:unhideWhenUsed/>
    <w:rsid w:val="00BA46AC"/>
    <w:rPr>
      <w:color w:val="467886" w:themeColor="hyperlink"/>
      <w:u w:val="single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1 Akapit z listą,목록 단락,Akapit z listą11,Numbered Para 1,No Spacing1,List Paragraph Char Char Ch"/>
    <w:basedOn w:val="Normalny"/>
    <w:link w:val="AkapitzlistZnak"/>
    <w:uiPriority w:val="34"/>
    <w:qFormat/>
    <w:rsid w:val="00476378"/>
    <w:pPr>
      <w:ind w:left="720"/>
      <w:contextualSpacing/>
    </w:pPr>
  </w:style>
  <w:style w:type="paragraph" w:customStyle="1" w:styleId="tekstroboczy">
    <w:name w:val="tekst roboczy"/>
    <w:basedOn w:val="Normalny"/>
    <w:link w:val="tekstroboczyZnak"/>
    <w:rsid w:val="005F4621"/>
    <w:pPr>
      <w:shd w:val="clear" w:color="auto" w:fill="CAEDFB" w:themeFill="accent4" w:themeFillTint="33"/>
    </w:pPr>
    <w:rPr>
      <w:color w:val="660033"/>
    </w:rPr>
  </w:style>
  <w:style w:type="character" w:customStyle="1" w:styleId="tekstroboczyZnak">
    <w:name w:val="tekst roboczy Znak"/>
    <w:basedOn w:val="Domylnaczcionkaakapitu"/>
    <w:link w:val="tekstroboczy"/>
    <w:rsid w:val="005F4621"/>
    <w:rPr>
      <w:rFonts w:ascii="Lato" w:hAnsi="Lato"/>
      <w:color w:val="660033"/>
      <w:shd w:val="clear" w:color="auto" w:fill="CAEDFB" w:themeFill="accent4" w:themeFillTint="3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72B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72B3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2B3"/>
    <w:rPr>
      <w:vertAlign w:val="superscript"/>
    </w:rPr>
  </w:style>
  <w:style w:type="paragraph" w:styleId="Tekstprzypisudolnego">
    <w:name w:val="footnote text"/>
    <w:aliases w:val="Fußnotentextf,Footnote text,fn,Schriftart: 9 pt,Schriftart: 10 pt,Schriftart: 8 pt,WB-Fußnotentext,Podrozdział,Schriftart: 8 p,Char,Tekst przypisu,WB-Fuﬂnotentext,Voetnoottekst Char,Voetnoottekst Char1,Reference,Fußnote,Fußn,Znak"/>
    <w:basedOn w:val="Normalny"/>
    <w:link w:val="TekstprzypisudolnegoZnak"/>
    <w:uiPriority w:val="99"/>
    <w:unhideWhenUsed/>
    <w:qFormat/>
    <w:rsid w:val="00F775E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aliases w:val="Fußnotentextf Znak,Footnote text Znak,fn Znak,Schriftart: 9 pt Znak,Schriftart: 10 pt Znak,Schriftart: 8 pt Znak,WB-Fußnotentext Znak,Podrozdział Znak,Schriftart: 8 p Znak,Char Znak,Tekst przypisu Znak,WB-Fuﬂnotentext Znak"/>
    <w:basedOn w:val="Domylnaczcionkaakapitu"/>
    <w:link w:val="Tekstprzypisudolnego"/>
    <w:uiPriority w:val="99"/>
    <w:rsid w:val="00F775EA"/>
    <w:rPr>
      <w:rFonts w:ascii="Lato" w:hAnsi="Lato"/>
      <w:sz w:val="20"/>
      <w:szCs w:val="20"/>
    </w:rPr>
  </w:style>
  <w:style w:type="character" w:styleId="Odwoanieprzypisudolnego">
    <w:name w:val="footnote reference"/>
    <w:aliases w:val="Footnote symbol,IT Fußnotenzeichen,Footnote symboFußnotenzeichen,Footnote sign,-E Fußnotenzeichen,ESPON Footnote No,Footnote call,Footnote Reference Superscript,Footnote reference number,Times 10 Point,Exposant 3 Point,Ref,fr"/>
    <w:basedOn w:val="Domylnaczcionkaakapitu"/>
    <w:link w:val="FootnotesymbolCarZchn"/>
    <w:uiPriority w:val="99"/>
    <w:unhideWhenUsed/>
    <w:qFormat/>
    <w:rsid w:val="00F775E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6584"/>
  </w:style>
  <w:style w:type="paragraph" w:customStyle="1" w:styleId="odesaniedoza">
    <w:name w:val="odesłanie do zał"/>
    <w:basedOn w:val="Normalny"/>
    <w:link w:val="odesaniedozaZnak"/>
    <w:qFormat/>
    <w:rsid w:val="00FE4752"/>
    <w:pPr>
      <w:spacing w:before="120"/>
    </w:pPr>
    <w:rPr>
      <w:color w:val="808080" w:themeColor="background1" w:themeShade="80"/>
    </w:rPr>
  </w:style>
  <w:style w:type="character" w:customStyle="1" w:styleId="odesaniedozaZnak">
    <w:name w:val="odesłanie do zał Znak"/>
    <w:basedOn w:val="Domylnaczcionkaakapitu"/>
    <w:link w:val="odesaniedoza"/>
    <w:rsid w:val="00FE4752"/>
    <w:rPr>
      <w:rFonts w:ascii="Lato" w:hAnsi="Lato"/>
      <w:color w:val="808080" w:themeColor="background1" w:themeShade="80"/>
      <w:sz w:val="20"/>
    </w:rPr>
  </w:style>
  <w:style w:type="paragraph" w:customStyle="1" w:styleId="Przypisy">
    <w:name w:val="Przypisy"/>
    <w:basedOn w:val="Bezodstpw"/>
    <w:link w:val="PrzypisyZnak"/>
    <w:autoRedefine/>
    <w:qFormat/>
    <w:rsid w:val="00783334"/>
    <w:pPr>
      <w:spacing w:after="20"/>
    </w:pPr>
    <w:rPr>
      <w:rFonts w:ascii="Lato" w:eastAsia="Calibri" w:hAnsi="Lato" w:cs="Times New Roman"/>
      <w:sz w:val="18"/>
      <w:szCs w:val="18"/>
    </w:rPr>
  </w:style>
  <w:style w:type="character" w:customStyle="1" w:styleId="PrzypisyZnak">
    <w:name w:val="Przypisy Znak"/>
    <w:basedOn w:val="Domylnaczcionkaakapitu"/>
    <w:link w:val="Przypisy"/>
    <w:rsid w:val="00783334"/>
    <w:rPr>
      <w:rFonts w:ascii="Lato" w:eastAsia="Calibri" w:hAnsi="Lato" w:cs="Times New Roman"/>
      <w:kern w:val="0"/>
      <w:sz w:val="18"/>
      <w:szCs w:val="18"/>
    </w:rPr>
  </w:style>
  <w:style w:type="paragraph" w:styleId="Bezodstpw">
    <w:name w:val="No Spacing"/>
    <w:link w:val="BezodstpwZnak"/>
    <w:autoRedefine/>
    <w:uiPriority w:val="1"/>
    <w:qFormat/>
    <w:rsid w:val="006404A9"/>
    <w:pPr>
      <w:spacing w:after="0"/>
      <w:ind w:left="43" w:firstLine="79"/>
      <w:jc w:val="both"/>
    </w:pPr>
    <w:rPr>
      <w:rFonts w:cs="Calibri"/>
      <w:kern w:val="0"/>
    </w:rPr>
  </w:style>
  <w:style w:type="character" w:customStyle="1" w:styleId="BezodstpwZnak">
    <w:name w:val="Bez odstępów Znak"/>
    <w:basedOn w:val="Domylnaczcionkaakapitu"/>
    <w:link w:val="Bezodstpw"/>
    <w:uiPriority w:val="1"/>
    <w:rsid w:val="006404A9"/>
    <w:rPr>
      <w:rFonts w:cs="Calibri"/>
      <w:kern w:val="0"/>
    </w:rPr>
  </w:style>
  <w:style w:type="paragraph" w:styleId="Nagwek">
    <w:name w:val="header"/>
    <w:basedOn w:val="Normalny"/>
    <w:link w:val="NagwekZnak"/>
    <w:uiPriority w:val="99"/>
    <w:unhideWhenUsed/>
    <w:rsid w:val="00D9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449"/>
    <w:rPr>
      <w:rFonts w:ascii="Lato" w:hAnsi="Lato"/>
    </w:rPr>
  </w:style>
  <w:style w:type="paragraph" w:styleId="Stopka">
    <w:name w:val="footer"/>
    <w:basedOn w:val="Normalny"/>
    <w:link w:val="StopkaZnak"/>
    <w:uiPriority w:val="99"/>
    <w:unhideWhenUsed/>
    <w:rsid w:val="00D9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449"/>
    <w:rPr>
      <w:rFonts w:ascii="Lato" w:hAnsi="Lato"/>
    </w:rPr>
  </w:style>
  <w:style w:type="character" w:customStyle="1" w:styleId="Nagwek5Znak">
    <w:name w:val="Nagłówek 5 Znak"/>
    <w:basedOn w:val="Domylnaczcionkaakapitu"/>
    <w:link w:val="Nagwek5"/>
    <w:uiPriority w:val="9"/>
    <w:rsid w:val="00D05B5D"/>
    <w:rPr>
      <w:rFonts w:asciiTheme="majorHAnsi" w:eastAsiaTheme="majorEastAsia" w:hAnsiTheme="majorHAnsi" w:cstheme="majorBidi"/>
      <w:color w:val="0F4761" w:themeColor="accent1" w:themeShade="BF"/>
      <w:sz w:val="20"/>
    </w:rPr>
  </w:style>
  <w:style w:type="character" w:customStyle="1" w:styleId="Nagwek6Znak">
    <w:name w:val="Nagłówek 6 Znak"/>
    <w:aliases w:val="Nagłówek 6_Działania Znak"/>
    <w:basedOn w:val="Domylnaczcionkaakapitu"/>
    <w:link w:val="Nagwek6"/>
    <w:uiPriority w:val="9"/>
    <w:rsid w:val="00CE5AEF"/>
    <w:rPr>
      <w:rFonts w:ascii="Bahnschrift" w:eastAsiaTheme="majorEastAsia" w:hAnsi="Bahnschrift" w:cstheme="majorBidi"/>
      <w:b/>
      <w:color w:val="000000" w:themeColor="tex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B5D"/>
    <w:rPr>
      <w:rFonts w:asciiTheme="majorHAnsi" w:eastAsiaTheme="majorEastAsia" w:hAnsiTheme="majorHAnsi" w:cstheme="majorBidi"/>
      <w:i/>
      <w:iCs/>
      <w:color w:val="0A2F40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B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B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ele">
    <w:name w:val="Cele"/>
    <w:basedOn w:val="Normalny"/>
    <w:link w:val="CeleZnak"/>
    <w:qFormat/>
    <w:rsid w:val="00470BAE"/>
    <w:pPr>
      <w:pBdr>
        <w:top w:val="single" w:sz="24" w:space="2" w:color="D9D9D9" w:themeColor="background1" w:themeShade="D9"/>
        <w:left w:val="single" w:sz="24" w:space="4" w:color="D9D9D9" w:themeColor="background1" w:themeShade="D9"/>
        <w:bottom w:val="single" w:sz="24" w:space="2" w:color="D9D9D9" w:themeColor="background1" w:themeShade="D9"/>
        <w:right w:val="single" w:sz="24" w:space="4" w:color="D9D9D9" w:themeColor="background1" w:themeShade="D9"/>
      </w:pBdr>
      <w:shd w:val="clear" w:color="auto" w:fill="D9D9D9" w:themeFill="background1" w:themeFillShade="D9"/>
      <w:spacing w:before="160" w:after="360"/>
      <w:jc w:val="center"/>
    </w:pPr>
    <w:rPr>
      <w:rFonts w:cs="Calibri"/>
      <w:sz w:val="24"/>
    </w:rPr>
  </w:style>
  <w:style w:type="character" w:customStyle="1" w:styleId="CeleZnak">
    <w:name w:val="Cele Znak"/>
    <w:basedOn w:val="Domylnaczcionkaakapitu"/>
    <w:link w:val="Cele"/>
    <w:rsid w:val="00470BAE"/>
    <w:rPr>
      <w:rFonts w:ascii="Lato" w:hAnsi="Lato" w:cs="Calibri"/>
      <w:sz w:val="24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AC61D8"/>
    <w:pPr>
      <w:spacing w:after="0" w:line="240" w:lineRule="auto"/>
    </w:pPr>
    <w:rPr>
      <w:rFonts w:ascii="Lato" w:hAnsi="Lato"/>
    </w:rPr>
  </w:style>
  <w:style w:type="paragraph" w:customStyle="1" w:styleId="Polityka">
    <w:name w:val="Polityka"/>
    <w:basedOn w:val="Normalny"/>
    <w:link w:val="PolitykaZnak"/>
    <w:qFormat/>
    <w:rsid w:val="00F6387B"/>
    <w:pPr>
      <w:keepNext/>
      <w:spacing w:before="400" w:after="80"/>
    </w:pPr>
    <w:rPr>
      <w:rFonts w:ascii="Bahnschrift" w:hAnsi="Bahnschrift"/>
      <w:b/>
      <w:bCs/>
      <w:sz w:val="32"/>
      <w:szCs w:val="32"/>
    </w:rPr>
  </w:style>
  <w:style w:type="character" w:customStyle="1" w:styleId="PolitykaZnak">
    <w:name w:val="Polityka Znak"/>
    <w:basedOn w:val="Domylnaczcionkaakapitu"/>
    <w:link w:val="Polityka"/>
    <w:rsid w:val="00F6387B"/>
    <w:rPr>
      <w:rFonts w:ascii="Bahnschrift" w:hAnsi="Bahnschrift"/>
      <w:b/>
      <w:bCs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7C0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6584"/>
    <w:rPr>
      <w:rFonts w:ascii="Lato" w:hAnsi="Lato"/>
    </w:rPr>
  </w:style>
  <w:style w:type="paragraph" w:customStyle="1" w:styleId="Ramka">
    <w:name w:val="Ramka"/>
    <w:basedOn w:val="Normalny"/>
    <w:link w:val="RamkaZnak"/>
    <w:qFormat/>
    <w:rsid w:val="00B64F0D"/>
    <w:pPr>
      <w:jc w:val="center"/>
    </w:pPr>
    <w:rPr>
      <w:color w:val="595959" w:themeColor="text1" w:themeTint="A6"/>
      <w:sz w:val="18"/>
      <w:szCs w:val="18"/>
    </w:rPr>
  </w:style>
  <w:style w:type="character" w:customStyle="1" w:styleId="RamkaZnak">
    <w:name w:val="Ramka Znak"/>
    <w:basedOn w:val="Domylnaczcionkaakapitu"/>
    <w:link w:val="Ramka"/>
    <w:rsid w:val="00B64F0D"/>
    <w:rPr>
      <w:rFonts w:ascii="Lato" w:hAnsi="Lato"/>
      <w:color w:val="595959" w:themeColor="text1" w:themeTint="A6"/>
      <w:sz w:val="18"/>
      <w:szCs w:val="18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3142A0"/>
    <w:pPr>
      <w:spacing w:before="60" w:line="240" w:lineRule="auto"/>
    </w:pPr>
    <w:rPr>
      <w:i/>
      <w:iCs/>
      <w:color w:val="0E2841" w:themeColor="text2"/>
      <w:sz w:val="18"/>
      <w:szCs w:val="18"/>
    </w:rPr>
  </w:style>
  <w:style w:type="paragraph" w:styleId="Tytu">
    <w:name w:val="Title"/>
    <w:aliases w:val="spisy"/>
    <w:basedOn w:val="Normalny"/>
    <w:next w:val="Normalny"/>
    <w:link w:val="TytuZnak"/>
    <w:uiPriority w:val="10"/>
    <w:qFormat/>
    <w:rsid w:val="00BA64EC"/>
    <w:pPr>
      <w:spacing w:after="0" w:line="240" w:lineRule="auto"/>
      <w:contextualSpacing/>
    </w:pPr>
    <w:rPr>
      <w:rFonts w:ascii="Bahnschrift" w:eastAsiaTheme="majorEastAsia" w:hAnsi="Bahnschrift" w:cstheme="majorBidi"/>
      <w:color w:val="FFFFFF" w:themeColor="background1"/>
      <w:spacing w:val="-10"/>
      <w:kern w:val="28"/>
      <w:sz w:val="56"/>
      <w:szCs w:val="56"/>
    </w:rPr>
  </w:style>
  <w:style w:type="character" w:customStyle="1" w:styleId="TytuZnak">
    <w:name w:val="Tytuł Znak"/>
    <w:aliases w:val="spisy Znak"/>
    <w:basedOn w:val="Domylnaczcionkaakapitu"/>
    <w:link w:val="Tytu"/>
    <w:uiPriority w:val="10"/>
    <w:rsid w:val="00BA64EC"/>
    <w:rPr>
      <w:rFonts w:ascii="Bahnschrift" w:eastAsiaTheme="majorEastAsia" w:hAnsi="Bahnschrift" w:cstheme="majorBidi"/>
      <w:color w:val="FFFFFF" w:themeColor="background1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1 Akapit z listą Znak,목록 단락 Znak"/>
    <w:link w:val="Akapitzlist"/>
    <w:uiPriority w:val="34"/>
    <w:qFormat/>
    <w:locked/>
    <w:rsid w:val="005F740C"/>
    <w:rPr>
      <w:rFonts w:ascii="Lato" w:hAnsi="Lato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C54CD9"/>
    <w:pPr>
      <w:tabs>
        <w:tab w:val="left" w:pos="1418"/>
        <w:tab w:val="left" w:pos="1760"/>
        <w:tab w:val="right" w:leader="dot" w:pos="9062"/>
      </w:tabs>
      <w:spacing w:after="100"/>
      <w:ind w:left="600"/>
    </w:pPr>
    <w:rPr>
      <w:rFonts w:ascii="Bahnschrift" w:hAnsi="Bahnschrift"/>
      <w:sz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1D4BA5"/>
    <w:pPr>
      <w:spacing w:after="100"/>
      <w:ind w:left="880"/>
    </w:pPr>
    <w:rPr>
      <w:rFonts w:ascii="Bahnschrift" w:eastAsiaTheme="minorEastAsia" w:hAnsi="Bahnschrift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955EE6"/>
    <w:pPr>
      <w:spacing w:after="100"/>
      <w:ind w:left="1100"/>
    </w:pPr>
    <w:rPr>
      <w:rFonts w:asciiTheme="minorHAnsi" w:eastAsiaTheme="minorEastAsia" w:hAnsiTheme="minorHAns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1D4BA5"/>
    <w:pPr>
      <w:spacing w:after="100"/>
      <w:ind w:left="1320"/>
    </w:pPr>
    <w:rPr>
      <w:rFonts w:ascii="Bahnschrift" w:eastAsiaTheme="minorEastAsia" w:hAnsi="Bahnschrift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955EE6"/>
    <w:pPr>
      <w:spacing w:after="100"/>
      <w:ind w:left="1540"/>
    </w:pPr>
    <w:rPr>
      <w:rFonts w:asciiTheme="minorHAnsi" w:eastAsiaTheme="minorEastAsia" w:hAnsiTheme="minorHAns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955EE6"/>
    <w:pPr>
      <w:spacing w:after="100"/>
      <w:ind w:left="1760"/>
    </w:pPr>
    <w:rPr>
      <w:rFonts w:asciiTheme="minorHAnsi" w:eastAsiaTheme="minorEastAsia" w:hAnsiTheme="minorHAnsi"/>
      <w:sz w:val="22"/>
      <w:lang w:eastAsia="pl-PL"/>
    </w:rPr>
  </w:style>
  <w:style w:type="character" w:customStyle="1" w:styleId="ui-provider">
    <w:name w:val="ui-provider"/>
    <w:basedOn w:val="Domylnaczcionkaakapitu"/>
    <w:rsid w:val="001F1F27"/>
  </w:style>
  <w:style w:type="character" w:styleId="UyteHipercze">
    <w:name w:val="FollowedHyperlink"/>
    <w:basedOn w:val="Domylnaczcionkaakapitu"/>
    <w:uiPriority w:val="99"/>
    <w:semiHidden/>
    <w:unhideWhenUsed/>
    <w:rsid w:val="00665822"/>
    <w:rPr>
      <w:color w:val="96607D" w:themeColor="followedHyperlink"/>
      <w:u w:val="single"/>
    </w:rPr>
  </w:style>
  <w:style w:type="paragraph" w:customStyle="1" w:styleId="Dziaanie">
    <w:name w:val="Działanie"/>
    <w:basedOn w:val="Normalny"/>
    <w:link w:val="DziaanieZnak"/>
    <w:rsid w:val="0043213A"/>
    <w:pPr>
      <w:spacing w:before="480"/>
    </w:pPr>
    <w:rPr>
      <w:rFonts w:ascii="Bahnschrift" w:hAnsi="Bahnschrift"/>
      <w:b/>
      <w:bCs/>
      <w:sz w:val="22"/>
    </w:rPr>
  </w:style>
  <w:style w:type="character" w:customStyle="1" w:styleId="DziaanieZnak">
    <w:name w:val="Działanie Znak"/>
    <w:basedOn w:val="Domylnaczcionkaakapitu"/>
    <w:link w:val="Dziaanie"/>
    <w:rsid w:val="0043213A"/>
    <w:rPr>
      <w:rFonts w:ascii="Bahnschrift" w:hAnsi="Bahnschrift"/>
      <w:b/>
      <w:bCs/>
    </w:rPr>
  </w:style>
  <w:style w:type="paragraph" w:customStyle="1" w:styleId="Nag-dziaania">
    <w:name w:val="Nagł-działania"/>
    <w:basedOn w:val="Bezodstpw"/>
    <w:rsid w:val="009F667D"/>
    <w:pPr>
      <w:shd w:val="clear" w:color="auto" w:fill="FFFFFF" w:themeFill="background1"/>
      <w:jc w:val="right"/>
    </w:pPr>
    <w:rPr>
      <w:rFonts w:ascii="Bahnschrift" w:eastAsia="MS Gothic" w:hAnsi="Bahnschrift"/>
      <w:b/>
      <w:color w:val="000000" w:themeColor="text1"/>
      <w:sz w:val="20"/>
    </w:rPr>
  </w:style>
  <w:style w:type="character" w:customStyle="1" w:styleId="rynqvb">
    <w:name w:val="rynqvb"/>
    <w:basedOn w:val="Domylnaczcionkaakapitu"/>
    <w:rsid w:val="003142A0"/>
  </w:style>
  <w:style w:type="character" w:customStyle="1" w:styleId="LegendaZnak">
    <w:name w:val="Legenda Znak"/>
    <w:basedOn w:val="Domylnaczcionkaakapitu"/>
    <w:link w:val="Legenda"/>
    <w:uiPriority w:val="35"/>
    <w:locked/>
    <w:rsid w:val="003142A0"/>
    <w:rPr>
      <w:rFonts w:ascii="Lato" w:hAnsi="Lato"/>
      <w:i/>
      <w:iCs/>
      <w:color w:val="0E2841" w:themeColor="text2"/>
      <w:sz w:val="18"/>
      <w:szCs w:val="18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868D5"/>
    <w:pPr>
      <w:spacing w:after="0" w:line="240" w:lineRule="auto"/>
    </w:pPr>
    <w:rPr>
      <w:rFonts w:asciiTheme="minorHAnsi" w:hAnsiTheme="minorHAnsi"/>
      <w:kern w:val="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99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992F1C"/>
  </w:style>
  <w:style w:type="paragraph" w:customStyle="1" w:styleId="tyturys">
    <w:name w:val="tytuł rys"/>
    <w:basedOn w:val="Normalny"/>
    <w:link w:val="tyturysZnak"/>
    <w:qFormat/>
    <w:rsid w:val="00D5040C"/>
    <w:pPr>
      <w:spacing w:after="0" w:line="256" w:lineRule="auto"/>
      <w:jc w:val="center"/>
    </w:pPr>
    <w:rPr>
      <w:b/>
      <w:bCs/>
      <w:color w:val="0A1D30" w:themeColor="text2" w:themeShade="BF"/>
      <w:sz w:val="28"/>
      <w:szCs w:val="32"/>
    </w:rPr>
  </w:style>
  <w:style w:type="character" w:customStyle="1" w:styleId="tyturysZnak">
    <w:name w:val="tytuł rys Znak"/>
    <w:basedOn w:val="Domylnaczcionkaakapitu"/>
    <w:link w:val="tyturys"/>
    <w:rsid w:val="00D5040C"/>
    <w:rPr>
      <w:rFonts w:ascii="Lato" w:hAnsi="Lato"/>
      <w:b/>
      <w:bCs/>
      <w:color w:val="0A1D30" w:themeColor="text2" w:themeShade="BF"/>
      <w:sz w:val="28"/>
      <w:szCs w:val="32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7051E8"/>
    <w:pPr>
      <w:spacing w:line="240" w:lineRule="exact"/>
    </w:pPr>
    <w:rPr>
      <w:rFonts w:asciiTheme="minorHAnsi" w:hAnsiTheme="minorHAnsi"/>
      <w:sz w:val="22"/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8F5302"/>
    <w:pPr>
      <w:spacing w:after="0"/>
      <w:ind w:left="720" w:hanging="720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8F5302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8F5302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ission.europa.eu/publications/commission-recommendation-assessment-swd-and-factsheet-draft-updated-national-energy-and-climate-23_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0E0BFCF9A9445871829823D8E485C" ma:contentTypeVersion="4" ma:contentTypeDescription="Create a new document." ma:contentTypeScope="" ma:versionID="5fcd3d1ed85ffbe4c4a24d1edcb8ddcb">
  <xsd:schema xmlns:xsd="http://www.w3.org/2001/XMLSchema" xmlns:xs="http://www.w3.org/2001/XMLSchema" xmlns:p="http://schemas.microsoft.com/office/2006/metadata/properties" xmlns:ns2="9514f94e-7ec7-4d9d-a31a-1b013c5f895a" targetNamespace="http://schemas.microsoft.com/office/2006/metadata/properties" ma:root="true" ma:fieldsID="ac6876465c5816637dbc360cde17c7cb" ns2:_="">
    <xsd:import namespace="9514f94e-7ec7-4d9d-a31a-1b013c5f8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4f94e-7ec7-4d9d-a31a-1b013c5f8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C17E1-2A6C-4191-B31C-516EDF4E9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4f94e-7ec7-4d9d-a31a-1b013c5f8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C9C4F-3436-4912-B6F8-A64239E238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1E19C-F8B4-46FB-B6D5-7B5B980E4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A98D6-6034-4F6E-9AF9-A12E7BBC77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8087</Words>
  <Characters>48524</Characters>
  <Application>Microsoft Office Word</Application>
  <DocSecurity>0</DocSecurity>
  <Lines>404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Kocon Marta</dc:creator>
  <cp:keywords/>
  <dc:description/>
  <cp:lastModifiedBy>Madyniak Anna</cp:lastModifiedBy>
  <cp:revision>2</cp:revision>
  <dcterms:created xsi:type="dcterms:W3CDTF">2025-08-06T10:27:00Z</dcterms:created>
  <dcterms:modified xsi:type="dcterms:W3CDTF">2025-08-06T10:27:00Z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0x010100C6A0E0BFCF9A9445871829823D8E485C</vt:lpwstr>
  </property>
</Properties>
</file>