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102D" w14:textId="5C5973D6" w:rsidR="001674AD" w:rsidRPr="00263741" w:rsidRDefault="0070159A" w:rsidP="001674A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741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1862706E" w14:textId="77777777" w:rsidR="001674AD" w:rsidRPr="00263741" w:rsidRDefault="001674AD" w:rsidP="001674AD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FFCE3" w14:textId="5AF90D2D" w:rsidR="00554DA7" w:rsidRPr="00263741" w:rsidRDefault="001674AD" w:rsidP="00554DA7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4DA7" w:rsidRPr="00263741">
        <w:rPr>
          <w:rFonts w:ascii="Times New Roman" w:hAnsi="Times New Roman" w:cs="Times New Roman"/>
          <w:sz w:val="24"/>
          <w:szCs w:val="24"/>
        </w:rPr>
        <w:t xml:space="preserve">Rozporządzenie Ministra Pracy i Polityki Socjalnej z dnia 1 grudnia 1998 r. w sprawie bezpieczeństwa i higieny pracy na stanowiskach wyposażonych w monitory ekranowe (Dz. U. poz. 973), zwane dalej „rozporządzeniem”, stanowi wykonanie upoważnienia ustawowego </w:t>
      </w:r>
      <w:r w:rsidR="00554DA7" w:rsidRPr="00263741">
        <w:rPr>
          <w:rFonts w:ascii="Times New Roman" w:eastAsia="Calibri" w:hAnsi="Times New Roman" w:cs="Times New Roman"/>
          <w:sz w:val="24"/>
          <w:szCs w:val="24"/>
        </w:rPr>
        <w:t>zawartego w art. 237</w:t>
      </w:r>
      <w:r w:rsidR="00554DA7" w:rsidRPr="0026374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15 </w:t>
      </w:r>
      <w:r w:rsidR="00554DA7" w:rsidRPr="00263741">
        <w:rPr>
          <w:rFonts w:ascii="Times New Roman" w:eastAsia="Calibri" w:hAnsi="Times New Roman" w:cs="Times New Roman"/>
          <w:sz w:val="24"/>
          <w:szCs w:val="24"/>
        </w:rPr>
        <w:t xml:space="preserve">§ 1 ustawy z dnia 26 czerwca 1974 r. – Kodeks pracy </w:t>
      </w:r>
      <w:r w:rsidR="008A0B3E" w:rsidRPr="00263741">
        <w:rPr>
          <w:rFonts w:ascii="Times New Roman" w:hAnsi="Times New Roman" w:cs="Times New Roman"/>
          <w:sz w:val="24"/>
          <w:szCs w:val="24"/>
        </w:rPr>
        <w:t xml:space="preserve">(Dz. U. z 2022 r. poz. 1510, </w:t>
      </w:r>
      <w:r w:rsidR="00CF35FC">
        <w:rPr>
          <w:rFonts w:ascii="Times New Roman" w:hAnsi="Times New Roman" w:cs="Times New Roman"/>
          <w:sz w:val="24"/>
          <w:szCs w:val="24"/>
        </w:rPr>
        <w:t>z późn. zm.</w:t>
      </w:r>
      <w:r w:rsidR="008A0B3E" w:rsidRPr="00263741">
        <w:rPr>
          <w:rFonts w:ascii="Times New Roman" w:hAnsi="Times New Roman" w:cs="Times New Roman"/>
          <w:sz w:val="24"/>
          <w:szCs w:val="24"/>
        </w:rPr>
        <w:t>)</w:t>
      </w:r>
      <w:r w:rsidR="008A0B3E" w:rsidRPr="0026374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154A89" w14:textId="2C62E532" w:rsidR="00130CA4" w:rsidRPr="00263741" w:rsidRDefault="00554DA7" w:rsidP="008B1CFD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374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Konieczne jest dostosowanie brzmienia rozporządzenia do zmian technologicznych, które nastąpiły od czasu jego wydania. </w:t>
      </w:r>
      <w:r w:rsidR="008B1CFD" w:rsidRPr="00263741">
        <w:rPr>
          <w:rFonts w:ascii="Times New Roman" w:hAnsi="Times New Roman" w:cs="Times New Roman"/>
          <w:color w:val="000000"/>
          <w:sz w:val="24"/>
          <w:szCs w:val="24"/>
        </w:rPr>
        <w:t xml:space="preserve">W okresie obowiązywania rozporządzenia nastąpił daleko posunięty postęp technologiczny, mający znaczący wpływ na sposób organizacji stanowisk pracy, w szczególności poprzez upowszechnienie wykorzystywania systemów przenośnych (np. laptopów) do wykonywania pracy. Z tego względu konieczne jest uaktualnienie </w:t>
      </w:r>
      <w:r w:rsidR="008B1CFD" w:rsidRPr="002637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minimalnych wymagań bezpieczeństwa i higieny pracy oraz ergonomii, jakie powinny spełniać stanowiska pracy wyposażone w monitory ekranowe.</w:t>
      </w:r>
    </w:p>
    <w:p w14:paraId="3BD93AD8" w14:textId="68FF6DF4" w:rsidR="00C26F00" w:rsidRPr="00263741" w:rsidRDefault="00C26F00" w:rsidP="008B1CFD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Ponadto analizy dotyczące obowiązujących rozwiązań doprowadziły do wniosku, że niektóre z nich są zbyt szczegółowe i rygorystyczne, należy więc je zmienić w taki sposób, by umożliwiały pracodawcom pewną swobodę w organizacji stanowisk pracy wyposażonych w monitory ekranowe, przy jednoczesnym zapewnieniu pracownikom bezpiecznych i higienicznych warunków pracy oraz ergonomii na stanowisku pracy. </w:t>
      </w:r>
    </w:p>
    <w:p w14:paraId="17B3387A" w14:textId="4C6A0AD6" w:rsidR="00130CA4" w:rsidRPr="00263741" w:rsidRDefault="00130CA4" w:rsidP="00130CA4">
      <w:pPr>
        <w:spacing w:after="12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bCs/>
          <w:sz w:val="24"/>
          <w:szCs w:val="24"/>
        </w:rPr>
        <w:t xml:space="preserve">W projekcie rozporządzenia proponuje się dodanie odnośnika informującego, że rozporządzenie </w:t>
      </w:r>
      <w:r w:rsidRPr="00263741">
        <w:rPr>
          <w:rFonts w:ascii="Times New Roman" w:hAnsi="Times New Roman" w:cs="Times New Roman"/>
          <w:sz w:val="24"/>
          <w:szCs w:val="24"/>
        </w:rPr>
        <w:t>wdraża w zakresie swojej</w:t>
      </w:r>
      <w:r w:rsidR="004A18BE">
        <w:rPr>
          <w:rFonts w:ascii="Times New Roman" w:hAnsi="Times New Roman" w:cs="Times New Roman"/>
          <w:sz w:val="24"/>
          <w:szCs w:val="24"/>
        </w:rPr>
        <w:t xml:space="preserve"> regulacji dyrektywę Rady 90/270</w:t>
      </w:r>
      <w:r w:rsidRPr="00263741">
        <w:rPr>
          <w:rFonts w:ascii="Times New Roman" w:hAnsi="Times New Roman" w:cs="Times New Roman"/>
          <w:sz w:val="24"/>
          <w:szCs w:val="24"/>
        </w:rPr>
        <w:t xml:space="preserve">/EWG z dnia 29 maja 1990 r. w sprawie minimalnych wymagań w dziedzinie bezpieczeństwa i ochrony zdrowia przy pracy z urządzeniami wyposażonymi w monitory ekranowe (piąta dyrektywa szczegółowa w rozumieniu art. 16 ust. 1 dyrektywy 87/391/EWG) </w:t>
      </w:r>
      <w:r w:rsidRPr="00263741">
        <w:rPr>
          <w:rStyle w:val="markedcontent"/>
          <w:rFonts w:ascii="Times New Roman" w:hAnsi="Times New Roman" w:cs="Times New Roman"/>
          <w:sz w:val="24"/>
          <w:szCs w:val="24"/>
        </w:rPr>
        <w:t>(Dz. Urz. UE L 156 z</w:t>
      </w:r>
      <w:r w:rsidR="008E6CAA" w:rsidRPr="00263741">
        <w:rPr>
          <w:rStyle w:val="markedcontent"/>
          <w:rFonts w:ascii="Times New Roman" w:hAnsi="Times New Roman" w:cs="Times New Roman"/>
          <w:sz w:val="24"/>
          <w:szCs w:val="24"/>
        </w:rPr>
        <w:t xml:space="preserve"> 21.6.1990, s. 14, z późn. zm.), zwana dalej „dyrektywą </w:t>
      </w:r>
      <w:r w:rsidR="004A18BE">
        <w:rPr>
          <w:rFonts w:ascii="Times New Roman" w:hAnsi="Times New Roman" w:cs="Times New Roman"/>
          <w:sz w:val="24"/>
          <w:szCs w:val="24"/>
        </w:rPr>
        <w:t>90/270</w:t>
      </w:r>
      <w:r w:rsidR="008E6CAA" w:rsidRPr="00263741">
        <w:rPr>
          <w:rFonts w:ascii="Times New Roman" w:hAnsi="Times New Roman" w:cs="Times New Roman"/>
          <w:sz w:val="24"/>
          <w:szCs w:val="24"/>
        </w:rPr>
        <w:t xml:space="preserve">/EWG”. </w:t>
      </w:r>
    </w:p>
    <w:p w14:paraId="45F0C5EC" w14:textId="77777777" w:rsidR="008B1CFD" w:rsidRPr="00263741" w:rsidRDefault="008B1CFD" w:rsidP="008B1CFD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Proponuje się zmianę zawartej w § 2 pkt 2 rozporządzenia definicji stanowiska pracy poprzez jej uaktualnienie i uporządkowanie. W szczególności aktualnie nie korzysta się ze stacji dyskietek czy tr</w:t>
      </w:r>
      <w:r w:rsidR="007D6F4D" w:rsidRPr="002637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ackball, w związku z tym przedmiotowa definicja nie powinna uwzględniać tych elementów. </w:t>
      </w:r>
    </w:p>
    <w:p w14:paraId="40E5D6E3" w14:textId="77777777" w:rsidR="008B1CFD" w:rsidRPr="00263741" w:rsidRDefault="008B1CFD" w:rsidP="008B1CFD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Zgodnie z projektowanym </w:t>
      </w:r>
      <w:r w:rsidR="007D6F4D" w:rsidRPr="002637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brz</w:t>
      </w:r>
      <w:r w:rsidRPr="002637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mieniem </w:t>
      </w:r>
      <w:r w:rsidRPr="00263741">
        <w:rPr>
          <w:rFonts w:ascii="Times New Roman" w:hAnsi="Times New Roman" w:cs="Times New Roman"/>
          <w:sz w:val="24"/>
          <w:szCs w:val="24"/>
        </w:rPr>
        <w:t xml:space="preserve">przez pojęcie stanowiska pracy </w:t>
      </w:r>
      <w:r w:rsidR="00130CA4" w:rsidRPr="00263741">
        <w:rPr>
          <w:rFonts w:ascii="Times New Roman" w:hAnsi="Times New Roman" w:cs="Times New Roman"/>
          <w:sz w:val="24"/>
          <w:szCs w:val="24"/>
        </w:rPr>
        <w:t>należy</w:t>
      </w:r>
      <w:r w:rsidRPr="00263741">
        <w:rPr>
          <w:rFonts w:ascii="Times New Roman" w:hAnsi="Times New Roman" w:cs="Times New Roman"/>
          <w:sz w:val="24"/>
          <w:szCs w:val="24"/>
        </w:rPr>
        <w:t xml:space="preserve"> rozumieć przestrzeń pracy wraz z:</w:t>
      </w:r>
    </w:p>
    <w:p w14:paraId="4C71885F" w14:textId="77777777" w:rsidR="008B1CFD" w:rsidRPr="00263741" w:rsidRDefault="008B1CFD" w:rsidP="008B1CFD">
      <w:pPr>
        <w:pStyle w:val="ZLITLITzmlitliter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63741">
        <w:rPr>
          <w:rFonts w:ascii="Times New Roman" w:hAnsi="Times New Roman" w:cs="Times New Roman"/>
          <w:szCs w:val="24"/>
        </w:rPr>
        <w:lastRenderedPageBreak/>
        <w:t xml:space="preserve">wyposażeniem podstawowym, w tym monitorem ekranowym, klawiaturą, myszą lub innymi urządzeniami wejściowymi, oprogramowaniem z interfejsem dla użytkownika, </w:t>
      </w:r>
    </w:p>
    <w:p w14:paraId="3A899069" w14:textId="77777777" w:rsidR="008B1CFD" w:rsidRPr="00263741" w:rsidRDefault="008B1CFD" w:rsidP="008B1CFD">
      <w:pPr>
        <w:pStyle w:val="ZLITLITzmlitliter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63741">
        <w:rPr>
          <w:rFonts w:ascii="Times New Roman" w:hAnsi="Times New Roman" w:cs="Times New Roman"/>
          <w:szCs w:val="24"/>
        </w:rPr>
        <w:t xml:space="preserve">krzesłem i stołem lub powierzchnią roboczą, </w:t>
      </w:r>
    </w:p>
    <w:p w14:paraId="4A75D533" w14:textId="67F35C9F" w:rsidR="008B1CFD" w:rsidRPr="00263741" w:rsidRDefault="008B1CFD" w:rsidP="008B1CFD">
      <w:pPr>
        <w:pStyle w:val="ZLITLITzmlitliter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63741">
        <w:rPr>
          <w:rFonts w:ascii="Times New Roman" w:hAnsi="Times New Roman" w:cs="Times New Roman"/>
          <w:szCs w:val="24"/>
        </w:rPr>
        <w:t xml:space="preserve">opcjonalnym wyposażeniem dodatkowym, w tym stacją dysków, drukarką, skanerem, uchwytem na dokumenty, podnóżkiem. </w:t>
      </w:r>
    </w:p>
    <w:p w14:paraId="7E352270" w14:textId="119F5C55" w:rsidR="008734D5" w:rsidRPr="00263741" w:rsidRDefault="00FB5AFD" w:rsidP="00FB5AFD">
      <w:pPr>
        <w:pStyle w:val="ZLITLITzmlitliter"/>
        <w:ind w:left="0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Projektowane rozporządzenie przewiduje również uchylenie pkt 3 w § 2 rozporządzenia, zawierającego definicję systemu komputerowego. Zmiana ta jest konsekwencją modyfikacji definicji stanowiska pracy. Natomiast samo pojęcie systemu komputerowego jest powszechnie znane, nie budzi wątpliwości, stąd nie ma potrzeby pozostawienia jego definicji.  </w:t>
      </w:r>
    </w:p>
    <w:p w14:paraId="2580E331" w14:textId="5253758E" w:rsidR="007D6F4D" w:rsidRPr="00263741" w:rsidRDefault="00C728BD" w:rsidP="00554DA7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CA4" w:rsidRPr="00263741">
        <w:rPr>
          <w:rFonts w:ascii="Times New Roman" w:hAnsi="Times New Roman" w:cs="Times New Roman"/>
          <w:color w:val="000000"/>
          <w:sz w:val="24"/>
          <w:szCs w:val="24"/>
        </w:rPr>
        <w:t xml:space="preserve">Ponadto proponuje się dookreślenie § 3 pkt 4 rozporządzenia poprzez wskazanie, że przepisów rozporządzenia nie stosuje się do systemów przenośnych nieprzeznaczonych </w:t>
      </w:r>
      <w:r w:rsidR="00130CA4" w:rsidRPr="00263741">
        <w:rPr>
          <w:rFonts w:ascii="Times New Roman" w:hAnsi="Times New Roman" w:cs="Times New Roman"/>
          <w:sz w:val="24"/>
          <w:szCs w:val="24"/>
        </w:rPr>
        <w:t xml:space="preserve">do użytkowania na danym stanowisku pracy co najmniej przez połowę dobowego wymiaru czasu pracy. Rozwiązanie takie </w:t>
      </w:r>
      <w:r w:rsidR="008E6CAA" w:rsidRPr="00263741">
        <w:rPr>
          <w:rFonts w:ascii="Times New Roman" w:hAnsi="Times New Roman" w:cs="Times New Roman"/>
          <w:sz w:val="24"/>
          <w:szCs w:val="24"/>
        </w:rPr>
        <w:t>zapewni zgodność treści r</w:t>
      </w:r>
      <w:r w:rsidR="004A18BE">
        <w:rPr>
          <w:rFonts w:ascii="Times New Roman" w:hAnsi="Times New Roman" w:cs="Times New Roman"/>
          <w:sz w:val="24"/>
          <w:szCs w:val="24"/>
        </w:rPr>
        <w:t>ozporządzenia z dyrektywą 90/270</w:t>
      </w:r>
      <w:r w:rsidR="008E6CAA" w:rsidRPr="00263741">
        <w:rPr>
          <w:rFonts w:ascii="Times New Roman" w:hAnsi="Times New Roman" w:cs="Times New Roman"/>
          <w:sz w:val="24"/>
          <w:szCs w:val="24"/>
        </w:rPr>
        <w:t xml:space="preserve">/EWG, która, stosownie do art. 1 ust. 3 lit. d, nie ma zastosowania do systemów przenośnych nieprzeznaczonych do dłuższego używania na stanowisku pracy. </w:t>
      </w:r>
      <w:r w:rsidR="006721DF" w:rsidRPr="00263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88439" w14:textId="77777777" w:rsidR="008E6CAA" w:rsidRPr="00263741" w:rsidRDefault="00F85405" w:rsidP="00554DA7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sz w:val="24"/>
          <w:szCs w:val="24"/>
        </w:rPr>
        <w:tab/>
        <w:t>Proponowane zmiany</w:t>
      </w:r>
      <w:r w:rsidR="008E6CAA" w:rsidRPr="00263741">
        <w:rPr>
          <w:rFonts w:ascii="Times New Roman" w:hAnsi="Times New Roman" w:cs="Times New Roman"/>
          <w:sz w:val="24"/>
          <w:szCs w:val="24"/>
        </w:rPr>
        <w:t xml:space="preserve"> brzmienia § 4</w:t>
      </w:r>
      <w:r w:rsidRPr="00263741">
        <w:rPr>
          <w:rFonts w:ascii="Times New Roman" w:hAnsi="Times New Roman" w:cs="Times New Roman"/>
          <w:sz w:val="24"/>
          <w:szCs w:val="24"/>
        </w:rPr>
        <w:t xml:space="preserve"> i 8</w:t>
      </w:r>
      <w:r w:rsidR="008E6CAA" w:rsidRPr="00263741">
        <w:rPr>
          <w:rFonts w:ascii="Times New Roman" w:hAnsi="Times New Roman" w:cs="Times New Roman"/>
          <w:sz w:val="24"/>
          <w:szCs w:val="24"/>
        </w:rPr>
        <w:t xml:space="preserve"> </w:t>
      </w:r>
      <w:r w:rsidRPr="00263741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8E6CAA" w:rsidRPr="00263741">
        <w:rPr>
          <w:rFonts w:ascii="Times New Roman" w:hAnsi="Times New Roman" w:cs="Times New Roman"/>
          <w:sz w:val="24"/>
          <w:szCs w:val="24"/>
        </w:rPr>
        <w:t>ma</w:t>
      </w:r>
      <w:r w:rsidRPr="00263741">
        <w:rPr>
          <w:rFonts w:ascii="Times New Roman" w:hAnsi="Times New Roman" w:cs="Times New Roman"/>
          <w:sz w:val="24"/>
          <w:szCs w:val="24"/>
        </w:rPr>
        <w:t>ją</w:t>
      </w:r>
      <w:r w:rsidR="008E6CAA" w:rsidRPr="00263741">
        <w:rPr>
          <w:rFonts w:ascii="Times New Roman" w:hAnsi="Times New Roman" w:cs="Times New Roman"/>
          <w:sz w:val="24"/>
          <w:szCs w:val="24"/>
        </w:rPr>
        <w:t xml:space="preserve"> charakter </w:t>
      </w:r>
      <w:r w:rsidRPr="00263741">
        <w:rPr>
          <w:rFonts w:ascii="Times New Roman" w:hAnsi="Times New Roman" w:cs="Times New Roman"/>
          <w:sz w:val="24"/>
          <w:szCs w:val="24"/>
        </w:rPr>
        <w:t>wyłącznie redakcyjny, nie niosą</w:t>
      </w:r>
      <w:r w:rsidR="008E6CAA" w:rsidRPr="00263741">
        <w:rPr>
          <w:rFonts w:ascii="Times New Roman" w:hAnsi="Times New Roman" w:cs="Times New Roman"/>
          <w:sz w:val="24"/>
          <w:szCs w:val="24"/>
        </w:rPr>
        <w:t xml:space="preserve"> za sobą zmiany </w:t>
      </w:r>
      <w:r w:rsidRPr="00263741">
        <w:rPr>
          <w:rFonts w:ascii="Times New Roman" w:hAnsi="Times New Roman" w:cs="Times New Roman"/>
          <w:sz w:val="24"/>
          <w:szCs w:val="24"/>
        </w:rPr>
        <w:t>regulacji zawartych w tych przepisach</w:t>
      </w:r>
      <w:r w:rsidR="008E6CAA" w:rsidRPr="00263741">
        <w:rPr>
          <w:rFonts w:ascii="Times New Roman" w:hAnsi="Times New Roman" w:cs="Times New Roman"/>
          <w:sz w:val="24"/>
          <w:szCs w:val="24"/>
        </w:rPr>
        <w:t xml:space="preserve">. </w:t>
      </w:r>
      <w:r w:rsidRPr="00263741">
        <w:rPr>
          <w:rFonts w:ascii="Times New Roman" w:hAnsi="Times New Roman" w:cs="Times New Roman"/>
          <w:sz w:val="24"/>
          <w:szCs w:val="24"/>
        </w:rPr>
        <w:t xml:space="preserve">Wykreślenie w § 8 ust. 1 wyrazów „zatrudnionym na stanowiskach z monitorami ekranowymi” ma na celu jedynie usunięcie zbędnego powtórzenia. Zgodnie z definicją zawartą w § 2 pkt 4 rozporządzenia, pod pojęciem pracownika należy rozumieć </w:t>
      </w:r>
      <w:r w:rsidRPr="00263741">
        <w:rPr>
          <w:rFonts w:ascii="Times New Roman" w:hAnsi="Times New Roman" w:cs="Times New Roman"/>
          <w:sz w:val="24"/>
          <w:szCs w:val="24"/>
          <w:shd w:val="clear" w:color="auto" w:fill="FFFFFF"/>
        </w:rPr>
        <w:t>każdą osobę zatrudnioną przez pracodawcę, w tym praktykanta i stażystę, użytkującą w czasie pracy </w:t>
      </w:r>
      <w:bookmarkStart w:id="0" w:name="highlightHit_10"/>
      <w:bookmarkEnd w:id="0"/>
      <w:r w:rsidRPr="00263741">
        <w:rPr>
          <w:rStyle w:val="highlight-disabled"/>
          <w:rFonts w:ascii="Times New Roman" w:hAnsi="Times New Roman" w:cs="Times New Roman"/>
          <w:sz w:val="24"/>
          <w:szCs w:val="24"/>
          <w:shd w:val="clear" w:color="auto" w:fill="FFFFFF"/>
        </w:rPr>
        <w:t>monitor</w:t>
      </w:r>
      <w:r w:rsidRPr="002637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Start w:id="1" w:name="highlightHit_11"/>
      <w:bookmarkEnd w:id="1"/>
      <w:r w:rsidRPr="00263741">
        <w:rPr>
          <w:rStyle w:val="highlight-disabled"/>
          <w:rFonts w:ascii="Times New Roman" w:hAnsi="Times New Roman" w:cs="Times New Roman"/>
          <w:sz w:val="24"/>
          <w:szCs w:val="24"/>
          <w:shd w:val="clear" w:color="auto" w:fill="FFFFFF"/>
        </w:rPr>
        <w:t>ekranowy</w:t>
      </w:r>
      <w:r w:rsidRPr="00263741">
        <w:rPr>
          <w:rFonts w:ascii="Times New Roman" w:hAnsi="Times New Roman" w:cs="Times New Roman"/>
          <w:sz w:val="24"/>
          <w:szCs w:val="24"/>
          <w:shd w:val="clear" w:color="auto" w:fill="FFFFFF"/>
        </w:rPr>
        <w:t> co najmniej przez połowę dobowego wymiaru czasu pracy.</w:t>
      </w:r>
      <w:r w:rsidRPr="00263741">
        <w:rPr>
          <w:rFonts w:ascii="Times New Roman" w:hAnsi="Times New Roman" w:cs="Times New Roman"/>
          <w:sz w:val="24"/>
          <w:szCs w:val="24"/>
        </w:rPr>
        <w:t xml:space="preserve"> Zatem ww. dookreślenie jest w opinii projektodawcy zbędne. </w:t>
      </w:r>
    </w:p>
    <w:p w14:paraId="62156C1A" w14:textId="7B86F2D6" w:rsidR="00AF5A6F" w:rsidRPr="00263741" w:rsidRDefault="008E6CAA" w:rsidP="00554DA7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sz w:val="24"/>
          <w:szCs w:val="24"/>
        </w:rPr>
        <w:tab/>
        <w:t xml:space="preserve">W rozporządzeniu proponuje się również nadanie nowego brzmienia załącznikowi </w:t>
      </w:r>
      <w:r w:rsidR="00AF5A6F" w:rsidRPr="00263741">
        <w:rPr>
          <w:rFonts w:ascii="Times New Roman" w:hAnsi="Times New Roman" w:cs="Times New Roman"/>
          <w:sz w:val="24"/>
          <w:szCs w:val="24"/>
        </w:rPr>
        <w:t xml:space="preserve">do rozporządzenia, który określa minimalne wymagania bezpieczeństwa i higieny pracy oraz ergonomii, jakie powinny spełniać stanowiska pracy wyposażone w monitory ekranowe. </w:t>
      </w:r>
    </w:p>
    <w:p w14:paraId="6AE102C6" w14:textId="7630573F" w:rsidR="006721DF" w:rsidRPr="00263741" w:rsidRDefault="00AF5A6F" w:rsidP="006721DF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hAnsi="Times New Roman" w:cs="Times New Roman"/>
          <w:sz w:val="24"/>
          <w:szCs w:val="24"/>
        </w:rPr>
        <w:tab/>
      </w:r>
      <w:r w:rsidR="00DE0FEB">
        <w:rPr>
          <w:rFonts w:ascii="Times New Roman" w:hAnsi="Times New Roman" w:cs="Times New Roman"/>
          <w:sz w:val="24"/>
          <w:szCs w:val="24"/>
        </w:rPr>
        <w:t>Z</w:t>
      </w:r>
      <w:r w:rsidRPr="00263741">
        <w:rPr>
          <w:rFonts w:ascii="Times New Roman" w:hAnsi="Times New Roman" w:cs="Times New Roman"/>
          <w:sz w:val="24"/>
          <w:szCs w:val="24"/>
        </w:rPr>
        <w:t xml:space="preserve">ałącznik w projektowanym brzmieniu </w:t>
      </w:r>
      <w:r w:rsidRPr="00263741">
        <w:rPr>
          <w:rFonts w:ascii="Times New Roman" w:hAnsi="Times New Roman" w:cs="Times New Roman"/>
          <w:color w:val="000000"/>
          <w:sz w:val="24"/>
          <w:szCs w:val="24"/>
        </w:rPr>
        <w:t xml:space="preserve">uwzględnia możliwość organizacji stanowisk pracy z wykorzystaniem systemów przenośnych </w:t>
      </w: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przeznaczonych do użytkowania na danym stanowisku pracy co najmniej przez połowę dobowego wymiaru czasu pracy, w szczególności laptopów i określa sposób, w jaki należy te stanowiska organizować. Proponuje się, by w przypadku stosowania tych systemów stanowisko pracy musiało być wyposażone w monitor </w:t>
      </w: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stacjonarny lub podstawkę zapewniającą ustawienie ekranu tak, aby jego górna krawędź znajdowała się na wysokości oczu, oraz w dodatkową klawiaturę i mysz.</w:t>
      </w:r>
    </w:p>
    <w:p w14:paraId="55346442" w14:textId="77777777" w:rsidR="006721DF" w:rsidRPr="00263741" w:rsidRDefault="006721DF" w:rsidP="006721DF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 jest obowiązany chronić zdrowie i życie pracowników, zapewniając im bezpieczne i higieniczne warunki pracy, przy odpowiednim wykorzystaniu osiągnięć nauki i techniki. Stąd niezbędne stało się uregulowanie kwestii dotyczącej pracy w przypadku stosowania systemów przenośnych przeznaczonych do użytkowania na danym stanowisku pracy przez co najmniej połowę dobowego wymiaru czasu pracy. </w:t>
      </w:r>
    </w:p>
    <w:p w14:paraId="03E3400C" w14:textId="4703E09F" w:rsidR="008E6CAA" w:rsidRPr="00263741" w:rsidRDefault="002A7C46" w:rsidP="00554DA7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sz w:val="24"/>
          <w:szCs w:val="24"/>
        </w:rPr>
        <w:tab/>
      </w:r>
      <w:r w:rsidR="006721DF" w:rsidRPr="00263741">
        <w:rPr>
          <w:rFonts w:ascii="Times New Roman" w:hAnsi="Times New Roman" w:cs="Times New Roman"/>
          <w:iCs/>
          <w:kern w:val="2"/>
          <w:sz w:val="24"/>
          <w:szCs w:val="24"/>
        </w:rPr>
        <w:t>D</w:t>
      </w:r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 xml:space="preserve">ługotrwałe użytkowanie monitorów zwiększa częstość pojawiania się dolegliwości określonych jako zespół widzenia komputerowego (CVS – ang. </w:t>
      </w:r>
      <w:proofErr w:type="spellStart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>computer</w:t>
      </w:r>
      <w:proofErr w:type="spellEnd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proofErr w:type="spellStart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>vision</w:t>
      </w:r>
      <w:proofErr w:type="spellEnd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proofErr w:type="spellStart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>syndrome</w:t>
      </w:r>
      <w:proofErr w:type="spellEnd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 xml:space="preserve">), znany również jako cyfrowe zmęczenie oczu (DES – ang. Digital </w:t>
      </w:r>
      <w:proofErr w:type="spellStart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>Eye</w:t>
      </w:r>
      <w:proofErr w:type="spellEnd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proofErr w:type="spellStart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>Strain</w:t>
      </w:r>
      <w:proofErr w:type="spellEnd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 xml:space="preserve">). Objawy zgłaszane przez użytkowników komputerów to zaczerwienienie, przemęczenie, bóle oczu, odczucie suchości, podrażnienia i pieczenia oraz objawy związane z jakością widzenia (rozmycie, podwójne widzenie). Spowodowane są zbyt małą odległością pomiędzy oczami osoby pracującej a obsługiwanym urządzeniem. Po wielogodzinnej pracy z komputerem pojawiają się zaburzenia akomodacji (zmniejszenie jej zakresu i szybkości) oraz konwergencji (co powoduje dodatkowo zaburzenia widzenia do </w:t>
      </w:r>
      <w:proofErr w:type="spellStart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>bliży</w:t>
      </w:r>
      <w:proofErr w:type="spellEnd"/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 xml:space="preserve">) opisywane jako </w:t>
      </w:r>
      <w:r w:rsidR="00EB3B64" w:rsidRPr="00263741">
        <w:rPr>
          <w:rFonts w:ascii="Times New Roman" w:hAnsi="Times New Roman" w:cs="Times New Roman"/>
          <w:iCs/>
          <w:kern w:val="2"/>
          <w:sz w:val="24"/>
          <w:szCs w:val="24"/>
        </w:rPr>
        <w:t xml:space="preserve">tymczasowa krótkowzroczność. </w:t>
      </w:r>
      <w:r w:rsidRPr="00263741">
        <w:rPr>
          <w:rFonts w:ascii="Times New Roman" w:hAnsi="Times New Roman" w:cs="Times New Roman"/>
          <w:iCs/>
          <w:kern w:val="2"/>
          <w:sz w:val="24"/>
          <w:szCs w:val="24"/>
        </w:rPr>
        <w:t>Dodatkowo narastają dolegliwości ze strony układu mięśniowo-szkieletowego w okolicy odcinka szyjnego kręgosłupa oraz obręczy barkowej, które są skutkiem ustawienia monitora na nieodpowiedniej wysokości względem wzroku, wymuszając przeciążające ustawienie głowy.</w:t>
      </w:r>
    </w:p>
    <w:p w14:paraId="401CC8FA" w14:textId="77777777" w:rsidR="00EB3B64" w:rsidRPr="00263741" w:rsidRDefault="008E6CAA" w:rsidP="00B46891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sz w:val="24"/>
          <w:szCs w:val="24"/>
        </w:rPr>
        <w:tab/>
      </w:r>
      <w:r w:rsidR="006721DF" w:rsidRPr="00263741">
        <w:rPr>
          <w:rFonts w:ascii="Times New Roman" w:hAnsi="Times New Roman" w:cs="Times New Roman"/>
          <w:color w:val="000000"/>
          <w:sz w:val="24"/>
          <w:szCs w:val="24"/>
        </w:rPr>
        <w:t>W z</w:t>
      </w:r>
      <w:r w:rsidR="00EB3B64" w:rsidRPr="00263741">
        <w:rPr>
          <w:rFonts w:ascii="Times New Roman" w:hAnsi="Times New Roman" w:cs="Times New Roman"/>
          <w:color w:val="000000"/>
          <w:sz w:val="24"/>
          <w:szCs w:val="24"/>
        </w:rPr>
        <w:t>ałącznik</w:t>
      </w:r>
      <w:r w:rsidR="006721DF" w:rsidRPr="0026374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B3B64" w:rsidRPr="00263741">
        <w:rPr>
          <w:rFonts w:ascii="Times New Roman" w:hAnsi="Times New Roman" w:cs="Times New Roman"/>
          <w:color w:val="000000"/>
          <w:sz w:val="24"/>
          <w:szCs w:val="24"/>
        </w:rPr>
        <w:t xml:space="preserve"> do rozporządzenia w obecnym brzmieniu określając wymagania, jakie powinien spełniać monitor ekranowy, posł</w:t>
      </w:r>
      <w:r w:rsidR="006721DF" w:rsidRPr="00263741">
        <w:rPr>
          <w:rFonts w:ascii="Times New Roman" w:hAnsi="Times New Roman" w:cs="Times New Roman"/>
          <w:color w:val="000000"/>
          <w:sz w:val="24"/>
          <w:szCs w:val="24"/>
        </w:rPr>
        <w:t>użono</w:t>
      </w:r>
      <w:r w:rsidR="00EB3B64" w:rsidRPr="00263741">
        <w:rPr>
          <w:rFonts w:ascii="Times New Roman" w:hAnsi="Times New Roman" w:cs="Times New Roman"/>
          <w:color w:val="000000"/>
          <w:sz w:val="24"/>
          <w:szCs w:val="24"/>
        </w:rPr>
        <w:t xml:space="preserve"> się terminem „tętnienia”. </w:t>
      </w:r>
      <w:r w:rsidR="00EB1C9D" w:rsidRPr="00263741">
        <w:rPr>
          <w:rFonts w:ascii="Times New Roman" w:hAnsi="Times New Roman" w:cs="Times New Roman"/>
          <w:color w:val="000000"/>
          <w:sz w:val="24"/>
          <w:szCs w:val="24"/>
        </w:rPr>
        <w:t xml:space="preserve">Zgodnie z definicją słownikową „tętnić” oznacza </w:t>
      </w:r>
      <w:r w:rsidR="00EB3B64" w:rsidRPr="00263741">
        <w:rPr>
          <w:rFonts w:ascii="Times New Roman" w:hAnsi="Times New Roman" w:cs="Times New Roman"/>
          <w:sz w:val="24"/>
          <w:szCs w:val="24"/>
        </w:rPr>
        <w:t>uderzając w coś, powodować powstawani</w:t>
      </w:r>
      <w:r w:rsidR="00EB1C9D" w:rsidRPr="00263741">
        <w:rPr>
          <w:rFonts w:ascii="Times New Roman" w:hAnsi="Times New Roman" w:cs="Times New Roman"/>
          <w:sz w:val="24"/>
          <w:szCs w:val="24"/>
        </w:rPr>
        <w:t xml:space="preserve">e głuchego, rytmicznego odgłosu, </w:t>
      </w:r>
      <w:r w:rsidR="00EB3B64" w:rsidRPr="00263741">
        <w:rPr>
          <w:rFonts w:ascii="Times New Roman" w:hAnsi="Times New Roman" w:cs="Times New Roman"/>
          <w:sz w:val="24"/>
          <w:szCs w:val="24"/>
        </w:rPr>
        <w:t>o będących w ruchu maszynach, jadących pociągach itp.: wydawać, wyw</w:t>
      </w:r>
      <w:r w:rsidR="00B46891" w:rsidRPr="00263741">
        <w:rPr>
          <w:rFonts w:ascii="Times New Roman" w:hAnsi="Times New Roman" w:cs="Times New Roman"/>
          <w:sz w:val="24"/>
          <w:szCs w:val="24"/>
        </w:rPr>
        <w:t xml:space="preserve">oływać rytmiczny dźwięk, odgłos. Natomiast „migotać” oznacza świecić nierównym lub przerywanym światłem albo być widocznym raz po raz przez krótką chwilę. </w:t>
      </w:r>
    </w:p>
    <w:p w14:paraId="2B56F6A3" w14:textId="43BCC462" w:rsidR="00446264" w:rsidRPr="00263741" w:rsidRDefault="00B46891" w:rsidP="00446264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hAnsi="Times New Roman" w:cs="Times New Roman"/>
          <w:sz w:val="24"/>
          <w:szCs w:val="24"/>
        </w:rPr>
        <w:tab/>
        <w:t xml:space="preserve">W świetle powyższego proponuje się, by określając wymagania, jakie powinien spełniać monitor ekranowy, wskazać, że </w:t>
      </w: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obraz na ekranie tego monitora powinien być stabilny, bez migotania</w:t>
      </w:r>
      <w:r w:rsidR="00446264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 zaś tętnienia)</w:t>
      </w: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innych form niestabilności.</w:t>
      </w:r>
      <w:r w:rsidR="00424683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Takie rozwiązanie będzie spójne z przyjętym w dyrektywie </w:t>
      </w:r>
      <w:r w:rsidR="004A18BE">
        <w:rPr>
          <w:rFonts w:ascii="Times New Roman" w:hAnsi="Times New Roman" w:cs="Times New Roman"/>
          <w:sz w:val="24"/>
          <w:szCs w:val="24"/>
        </w:rPr>
        <w:t>90/270</w:t>
      </w:r>
      <w:r w:rsidR="00424683" w:rsidRPr="00263741">
        <w:rPr>
          <w:rFonts w:ascii="Times New Roman" w:hAnsi="Times New Roman" w:cs="Times New Roman"/>
          <w:sz w:val="24"/>
          <w:szCs w:val="24"/>
        </w:rPr>
        <w:t xml:space="preserve">/EWG. </w:t>
      </w:r>
    </w:p>
    <w:p w14:paraId="4240A08F" w14:textId="77777777" w:rsidR="0085007D" w:rsidRPr="00263741" w:rsidRDefault="00446264" w:rsidP="0085007D">
      <w:pPr>
        <w:spacing w:after="12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Projektowana treść załącznika przewiduje również ograniczenie wymagań w zakresie regulacji ustawienia monitora do możliwości jego pochylenia, </w:t>
      </w:r>
      <w:r w:rsidR="00424683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bez</w:t>
      </w: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wskazywania jego zakresu oraz możliwości obracania wokół własnej osi. </w:t>
      </w:r>
      <w:r w:rsidRPr="00263741">
        <w:rPr>
          <w:rFonts w:ascii="Times New Roman" w:eastAsia="Calibri" w:hAnsi="Times New Roman" w:cs="Times New Roman"/>
          <w:iCs/>
          <w:kern w:val="2"/>
          <w:sz w:val="24"/>
          <w:szCs w:val="24"/>
        </w:rPr>
        <w:t xml:space="preserve">Współczesne lekkie monitory LCD wymagają właściwie tylko konstrukcyjnej możliwości pochylenia płaszczyzny ekranu tak, aby umożliwić </w:t>
      </w:r>
      <w:r w:rsidRPr="00263741">
        <w:rPr>
          <w:rFonts w:ascii="Times New Roman" w:eastAsia="Calibri" w:hAnsi="Times New Roman" w:cs="Times New Roman"/>
          <w:iCs/>
          <w:kern w:val="2"/>
          <w:sz w:val="24"/>
          <w:szCs w:val="24"/>
        </w:rPr>
        <w:lastRenderedPageBreak/>
        <w:t>obserwację obrazu pod kątem prostym. Pozostałych regulacji można dokonać samemu bez użycia siły poprzez prostą zmianę położenia całego monitora wraz z podstawą.</w:t>
      </w:r>
    </w:p>
    <w:p w14:paraId="445C6384" w14:textId="53C8E649" w:rsidR="0085007D" w:rsidRPr="00263741" w:rsidRDefault="00446264" w:rsidP="0085007D">
      <w:pPr>
        <w:spacing w:after="120" w:line="36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w projektowanym brzmieniu nie zawiera również wymogu, by ekran monitora musiał być pokryty warstwą </w:t>
      </w:r>
      <w:proofErr w:type="spellStart"/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antyodbiciową</w:t>
      </w:r>
      <w:proofErr w:type="spellEnd"/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posiadać odpowiedni filtr. </w:t>
      </w:r>
      <w:r w:rsidR="0085007D" w:rsidRPr="00263741">
        <w:rPr>
          <w:rFonts w:ascii="Times New Roman" w:eastAsia="Calibri" w:hAnsi="Times New Roman" w:cs="Times New Roman"/>
          <w:iCs/>
          <w:kern w:val="2"/>
          <w:sz w:val="24"/>
          <w:szCs w:val="24"/>
        </w:rPr>
        <w:t xml:space="preserve">Współczesne monitory są już wyposażone w odpowiednie warstwy </w:t>
      </w:r>
      <w:proofErr w:type="spellStart"/>
      <w:r w:rsidR="0085007D" w:rsidRPr="00263741">
        <w:rPr>
          <w:rFonts w:ascii="Times New Roman" w:eastAsia="Calibri" w:hAnsi="Times New Roman" w:cs="Times New Roman"/>
          <w:iCs/>
          <w:kern w:val="2"/>
          <w:sz w:val="24"/>
          <w:szCs w:val="24"/>
        </w:rPr>
        <w:t>an</w:t>
      </w:r>
      <w:r w:rsidR="003A505E" w:rsidRPr="00263741">
        <w:rPr>
          <w:rFonts w:ascii="Times New Roman" w:eastAsia="Calibri" w:hAnsi="Times New Roman" w:cs="Times New Roman"/>
          <w:iCs/>
          <w:kern w:val="2"/>
          <w:sz w:val="24"/>
          <w:szCs w:val="24"/>
        </w:rPr>
        <w:t>tyodbiciowe</w:t>
      </w:r>
      <w:proofErr w:type="spellEnd"/>
      <w:r w:rsidR="003A505E" w:rsidRPr="00263741">
        <w:rPr>
          <w:rFonts w:ascii="Times New Roman" w:eastAsia="Calibri" w:hAnsi="Times New Roman" w:cs="Times New Roman"/>
          <w:iCs/>
          <w:kern w:val="2"/>
          <w:sz w:val="24"/>
          <w:szCs w:val="24"/>
        </w:rPr>
        <w:t xml:space="preserve"> przez producentów. Natomiast w</w:t>
      </w:r>
      <w:r w:rsidR="0085007D" w:rsidRPr="00263741">
        <w:rPr>
          <w:rFonts w:ascii="Times New Roman" w:eastAsia="Calibri" w:hAnsi="Times New Roman" w:cs="Times New Roman"/>
          <w:iCs/>
          <w:kern w:val="2"/>
          <w:sz w:val="24"/>
          <w:szCs w:val="24"/>
        </w:rPr>
        <w:t xml:space="preserve"> przypadku błyszczących moni</w:t>
      </w:r>
      <w:r w:rsidR="003A505E" w:rsidRPr="00263741">
        <w:rPr>
          <w:rFonts w:ascii="Times New Roman" w:eastAsia="Calibri" w:hAnsi="Times New Roman" w:cs="Times New Roman"/>
          <w:iCs/>
          <w:kern w:val="2"/>
          <w:sz w:val="24"/>
          <w:szCs w:val="24"/>
        </w:rPr>
        <w:t>torów dotykowych takie wymaganie</w:t>
      </w:r>
      <w:r w:rsidR="0085007D" w:rsidRPr="00263741">
        <w:rPr>
          <w:rFonts w:ascii="Times New Roman" w:eastAsia="Calibri" w:hAnsi="Times New Roman" w:cs="Times New Roman"/>
          <w:iCs/>
          <w:kern w:val="2"/>
          <w:sz w:val="24"/>
          <w:szCs w:val="24"/>
        </w:rPr>
        <w:t xml:space="preserve"> byłoby niecelowe ze względu na utratę możliwości dotykowej obsługi monitora. Producenci z pewnością sami będą również w przyszłości oferować odpowiednie warstwy i filtry – np. chroniące przed nadmiarem światła niebieskiego.</w:t>
      </w:r>
    </w:p>
    <w:p w14:paraId="2762A96E" w14:textId="77777777" w:rsidR="00BF3B20" w:rsidRPr="00263741" w:rsidRDefault="00BF3B20" w:rsidP="00BF3B2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Obecnie nie jest również konieczne, a wręcz wskazane, korzystanie z oddzielnej podstawy monitora. </w:t>
      </w:r>
      <w:r w:rsidRPr="00263741">
        <w:rPr>
          <w:rFonts w:ascii="Times New Roman" w:eastAsia="Calibri" w:hAnsi="Times New Roman" w:cs="Times New Roman"/>
          <w:iCs/>
          <w:kern w:val="2"/>
          <w:sz w:val="24"/>
          <w:szCs w:val="24"/>
        </w:rPr>
        <w:t>Współczesne monitory mają zwykle regulację wysokości położenia ekranu, a zastosowanie oddzielnej podstawy powoduje zbyt wysokie położenie ekranu względem oczu użytkownika.</w:t>
      </w: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powyższym proponuje się wprowadzenie </w:t>
      </w:r>
      <w:r w:rsidR="00FB65F9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ogólnego </w:t>
      </w: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wymogu, by ustawienie monitora oraz innych elementów wyposażenia nie wymuszało niewygodnych ruchów</w:t>
      </w:r>
      <w:r w:rsidR="006A78EA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głowy i szyi. </w:t>
      </w:r>
    </w:p>
    <w:p w14:paraId="0F0A98B6" w14:textId="24696E71" w:rsidR="00B13851" w:rsidRPr="00263741" w:rsidRDefault="00D843E7" w:rsidP="00B13851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obecnie obowiązujące</w:t>
      </w:r>
      <w:r w:rsidR="00B13851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wymagania dotyczące konstrukcji klawiatury, w szczególności w zakresie jej wysokości i kąta pochylenia, są uważane za nadmierne i daleko wykraczające poza wymagania przewidziane w dyrektywie</w:t>
      </w: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18BE">
        <w:rPr>
          <w:rFonts w:ascii="Times New Roman" w:hAnsi="Times New Roman" w:cs="Times New Roman"/>
          <w:sz w:val="24"/>
          <w:szCs w:val="24"/>
        </w:rPr>
        <w:t>90/270</w:t>
      </w:r>
      <w:r w:rsidRPr="00263741">
        <w:rPr>
          <w:rFonts w:ascii="Times New Roman" w:hAnsi="Times New Roman" w:cs="Times New Roman"/>
          <w:sz w:val="24"/>
          <w:szCs w:val="24"/>
        </w:rPr>
        <w:t>/EWG</w:t>
      </w:r>
      <w:r w:rsidR="00B13851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. W opinii projektodawcy wystarczają</w:t>
      </w:r>
      <w:r w:rsidR="00F85405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ce jest,</w:t>
      </w:r>
      <w:r w:rsidR="00B13851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konstrukcja klawiatury umożliwiała użytkownikowi przyjęcie pozycji, która nie powodowałaby zmęczenia mięśni kończyn górnych podczas pracy. </w:t>
      </w:r>
    </w:p>
    <w:p w14:paraId="249136FD" w14:textId="5D375C2E" w:rsidR="00B03AD8" w:rsidRPr="00263741" w:rsidRDefault="005341FF" w:rsidP="00B03AD8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Proponuje się </w:t>
      </w:r>
      <w:r w:rsidR="00B03AD8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zmianę wymagań w zakresie konstrukcji stołu i powierzchni roboczej, w szczególności poprzez ich uproszczenie. Zgodnie z </w:t>
      </w:r>
      <w:r w:rsidR="00D843E7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projektowaną </w:t>
      </w:r>
      <w:r w:rsidR="00B03AD8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treścią załącznika do rozporządzenia k</w:t>
      </w:r>
      <w:r w:rsidR="00D843E7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onstrukcja</w:t>
      </w:r>
      <w:r w:rsidR="00B03AD8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stołu i powierzchnia robocza powinny umożliwiać ergonomiczne ustawienie elementów wyposażenia stanowiska pracy, w tym zróżnicowaną wysokość ustawienia monitora ekranowego i klawiatury, a w szczególności powinny zapewniać: </w:t>
      </w:r>
    </w:p>
    <w:p w14:paraId="71F75C94" w14:textId="77777777" w:rsidR="00B03AD8" w:rsidRPr="00263741" w:rsidRDefault="00B03AD8" w:rsidP="00B03AD8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wystarczającą powierzchnię, gwarantującą łatwe posługiwanie się elementami wyposażenia stanowiska i wykonywanie czynności związanych z pracą,</w:t>
      </w:r>
    </w:p>
    <w:p w14:paraId="39A77D59" w14:textId="77777777" w:rsidR="00B03AD8" w:rsidRPr="00263741" w:rsidRDefault="00B03AD8" w:rsidP="00B03AD8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ustawienie klawiatury z zachowaniem takiej odległości od przedniej krawędzi stołu, która umożliwia podparcie dla rąk i przedramion z zachowaniem co najmniej kąta prostego między ramieniem i przedramieniem,</w:t>
      </w:r>
    </w:p>
    <w:p w14:paraId="6980823E" w14:textId="77777777" w:rsidR="00B03AD8" w:rsidRPr="00263741" w:rsidRDefault="00B03AD8" w:rsidP="00B03AD8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ustawienie elementów wyposażenia w odpowiedniej odległości od pracownika, bez konieczności przyjmowania wymuszonych pozycji.</w:t>
      </w:r>
    </w:p>
    <w:p w14:paraId="0211663C" w14:textId="77777777" w:rsidR="00A261C3" w:rsidRPr="00263741" w:rsidRDefault="001C7923" w:rsidP="00A261C3">
      <w:pPr>
        <w:spacing w:after="12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</w:t>
      </w:r>
      <w:r w:rsidR="00A261C3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stawienie klawiatury z zachowaniem takiej odległości od przedniej krawędzi stołu, która umożliwia podparcie dla rąk i przedramion z zachowaniem co najmniej kąta prostego mi</w:t>
      </w:r>
      <w:r w:rsidR="00D843E7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ędzy ramieniem i przedramieniem</w:t>
      </w:r>
      <w:r w:rsidR="00A261C3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odciążenie mięśni pracownika. </w:t>
      </w:r>
      <w:r w:rsidR="009633D3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pozostałe z ww. wymagań pozostają zasadniczo bez zmian w stosunku do obecnie obowiązujących.</w:t>
      </w:r>
    </w:p>
    <w:p w14:paraId="708BB9E0" w14:textId="2FD84381" w:rsidR="006A78EA" w:rsidRPr="00263741" w:rsidRDefault="00B03AD8" w:rsidP="00BF3B2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w zakresie wysokości stołu oraz siedziska krzesła wyczerpuje zawarty w pkt 2.1. załącznika wymóg, by ustawienie monitora oraz innych elementów wyposażenia nie </w:t>
      </w:r>
      <w:r w:rsidR="00F25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wymuszało </w:t>
      </w: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niewygodnych ruchów głowy i szyi. </w:t>
      </w:r>
    </w:p>
    <w:p w14:paraId="3B66BB6A" w14:textId="2F6CC559" w:rsidR="009A28FB" w:rsidRPr="00263741" w:rsidRDefault="009A28FB" w:rsidP="009A28FB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Proponuje się również zachowanie wymagania, by w przypadku, gdy przy pracy istnieje konieczność korzystania z dokumentów, stanowisko pracy należało wyposażyć w uchwyt na dokument</w:t>
      </w:r>
      <w:r w:rsidR="00F25CD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posiadający regulację ustawienia wysokości, pochylenia oraz odległości od pracownika. Natomiast szczegółowe regulacje w zakresie ustawienia uchwytu na dokumenty są zbędne z uwagi na przywołaną powyżej ogólną wytyczną, zgodnie z którą ustawienie elementów wyposażenia nie powinno wymuszać niewygodnych ruchów głowy i szyi. </w:t>
      </w:r>
    </w:p>
    <w:p w14:paraId="6F30B7C8" w14:textId="7837FDB3" w:rsidR="009A28FB" w:rsidRPr="00263741" w:rsidRDefault="009A28FB" w:rsidP="009A28FB">
      <w:pPr>
        <w:spacing w:after="12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projektowanym załączniku przewidziano konieczność wyposażenia stanowiska pracy w podnóżek na życzenie pracownika – zgodnie z dyrektywą </w:t>
      </w:r>
      <w:r w:rsidR="004A18BE">
        <w:rPr>
          <w:rFonts w:ascii="Times New Roman" w:hAnsi="Times New Roman" w:cs="Times New Roman"/>
          <w:sz w:val="24"/>
          <w:szCs w:val="24"/>
        </w:rPr>
        <w:t>90/270</w:t>
      </w:r>
      <w:r w:rsidRPr="00263741">
        <w:rPr>
          <w:rFonts w:ascii="Times New Roman" w:hAnsi="Times New Roman" w:cs="Times New Roman"/>
          <w:sz w:val="24"/>
          <w:szCs w:val="24"/>
        </w:rPr>
        <w:t xml:space="preserve">/EWG. </w:t>
      </w:r>
      <w:r w:rsidR="009F5A4E" w:rsidRPr="00263741">
        <w:rPr>
          <w:rFonts w:ascii="Times New Roman" w:hAnsi="Times New Roman" w:cs="Times New Roman"/>
          <w:sz w:val="24"/>
          <w:szCs w:val="24"/>
        </w:rPr>
        <w:t xml:space="preserve">Zrezygnowano natomiast z określania wytycznych w zakresie kąta nachylenia oraz powierzchni podnóżka, z uwagi na ich zbytnią szczegółowość. </w:t>
      </w:r>
    </w:p>
    <w:p w14:paraId="3B077189" w14:textId="16A269D5" w:rsidR="009F5A4E" w:rsidRDefault="009633D3" w:rsidP="009A28FB">
      <w:pPr>
        <w:spacing w:after="12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sz w:val="24"/>
          <w:szCs w:val="24"/>
        </w:rPr>
        <w:t xml:space="preserve">Stanowisko pracy wyposażone w monitor ekranowy powinno być tak zaprojektowane, aby pracownik miał zapewnioną dostateczną przestrzeń pracy, umożliwiającą umieszczenie wszystkich elementów obsługiwanych ręcznie w zasięgu kończyn górnych. Stanowisko  powinno być tak usytuowane w pomieszczeniu, aby dostęp do niego był swobodny. </w:t>
      </w:r>
      <w:r w:rsidR="0005426A" w:rsidRPr="00263741">
        <w:rPr>
          <w:rFonts w:ascii="Times New Roman" w:hAnsi="Times New Roman" w:cs="Times New Roman"/>
          <w:sz w:val="24"/>
          <w:szCs w:val="24"/>
        </w:rPr>
        <w:t>Pozostałe wymagania obecnie obowiązującego rozporządzenia w zakresie odległości, jakie należy zachować pomiędzy sąsiednimi monitorami oraz między pracownikiem i tyłem sąsiedniego monitora</w:t>
      </w:r>
      <w:r w:rsidR="00016456">
        <w:rPr>
          <w:rFonts w:ascii="Times New Roman" w:hAnsi="Times New Roman" w:cs="Times New Roman"/>
          <w:sz w:val="24"/>
          <w:szCs w:val="24"/>
        </w:rPr>
        <w:t>, a także odległości oczu pracownika od ekranu,</w:t>
      </w:r>
      <w:r w:rsidR="0005426A" w:rsidRPr="00263741">
        <w:rPr>
          <w:rFonts w:ascii="Times New Roman" w:hAnsi="Times New Roman" w:cs="Times New Roman"/>
          <w:sz w:val="24"/>
          <w:szCs w:val="24"/>
        </w:rPr>
        <w:t xml:space="preserve"> w ocenie projektodawcy są zbyt restrykcyjne, stawiające nadmierne wymagania. W związku z powyższym należy z nich zrezygnować.</w:t>
      </w:r>
    </w:p>
    <w:p w14:paraId="030FFAB8" w14:textId="77777777" w:rsidR="00016456" w:rsidRPr="00405A47" w:rsidRDefault="00016456" w:rsidP="00CC02BA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Oświetlenie powinno zapewniać komfort pracy wzrokowej, a szczególnie:</w:t>
      </w:r>
    </w:p>
    <w:p w14:paraId="0DFD37E9" w14:textId="77777777" w:rsidR="00016456" w:rsidRDefault="00016456" w:rsidP="00CC02BA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B78">
        <w:rPr>
          <w:rFonts w:ascii="Times New Roman" w:hAnsi="Times New Roman" w:cs="Times New Roman"/>
          <w:sz w:val="24"/>
          <w:szCs w:val="24"/>
        </w:rPr>
        <w:t>oświetlenie dzienne na poszczególnych stanowiskach pracy powinno być dostosowane do rodzaju wykonywanych prac i wymaganej dokładności</w:t>
      </w:r>
      <w:r w:rsidRPr="00405A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9B749B" w14:textId="7DFD6D91" w:rsidR="009A28FB" w:rsidRPr="00CC02BA" w:rsidRDefault="00016456" w:rsidP="00CC02BA">
      <w:pPr>
        <w:pStyle w:val="Akapitzlist"/>
        <w:numPr>
          <w:ilvl w:val="0"/>
          <w:numId w:val="5"/>
        </w:numPr>
        <w:tabs>
          <w:tab w:val="left" w:pos="567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ograniczyć olśnienie bezpośrednie od opraw, okien, przezroczystych lub półprzezroczystych ścian albo jasnych płaszczyzn pomieszczenia oraz olśnienie odbiciowe od ekranu monitora, w szczególności przez stosowanie odpowiednich </w:t>
      </w:r>
      <w:r w:rsidRPr="00CC02B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opraw oświetleniowych, instalowanie </w:t>
      </w:r>
      <w:r w:rsidRPr="00CC02BA">
        <w:rPr>
          <w:rFonts w:ascii="Times New Roman" w:hAnsi="Times New Roman" w:cs="Times New Roman"/>
          <w:sz w:val="24"/>
        </w:rPr>
        <w:t>urządzeń eliminujących nadmierne operowanie promieni słonecznych padających na s</w:t>
      </w:r>
      <w:r w:rsidR="00F25A9E" w:rsidRPr="00F25A9E">
        <w:rPr>
          <w:rFonts w:ascii="Times New Roman" w:hAnsi="Times New Roman" w:cs="Times New Roman"/>
          <w:sz w:val="24"/>
        </w:rPr>
        <w:t>tanowiska</w:t>
      </w:r>
      <w:r w:rsidRPr="00CC02BA">
        <w:rPr>
          <w:rFonts w:ascii="Times New Roman" w:hAnsi="Times New Roman" w:cs="Times New Roman"/>
          <w:sz w:val="24"/>
        </w:rPr>
        <w:t xml:space="preserve"> pracy</w:t>
      </w:r>
      <w:r>
        <w:rPr>
          <w:rFonts w:ascii="Times New Roman" w:hAnsi="Times New Roman" w:cs="Times New Roman"/>
          <w:sz w:val="24"/>
        </w:rPr>
        <w:t>.</w:t>
      </w:r>
    </w:p>
    <w:p w14:paraId="11D51E00" w14:textId="0EDBA90C" w:rsidR="00B46891" w:rsidRDefault="00B03AD8" w:rsidP="00C26F0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minimalne wymagania bezpieczeństwa i higieny pracy oraz ergonomii, jakie powinny spełniać stanowiska pracy wyposażone w monitory ekranowe pozostają bez zmian w stosunku do obecnie obowiązują</w:t>
      </w:r>
      <w:r w:rsidR="00C26F00" w:rsidRPr="00263741">
        <w:rPr>
          <w:rFonts w:ascii="Times New Roman" w:eastAsia="Times New Roman" w:hAnsi="Times New Roman" w:cs="Times New Roman"/>
          <w:sz w:val="24"/>
          <w:szCs w:val="24"/>
          <w:lang w:eastAsia="pl-PL"/>
        </w:rPr>
        <w:t>cych.</w:t>
      </w:r>
    </w:p>
    <w:p w14:paraId="1BF0D780" w14:textId="4A96CBF1" w:rsidR="006A6313" w:rsidRPr="00971D66" w:rsidRDefault="006A6313" w:rsidP="00C26F00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971D66">
        <w:rPr>
          <w:rFonts w:ascii="Times New Roman" w:hAnsi="Times New Roman" w:cs="Times New Roman"/>
          <w:sz w:val="24"/>
        </w:rPr>
        <w:t>Projekt zawiera przepis przejściowy, który nakłada na pracodawców obowiązek dostosowania w terminie 3 miesięcy od dnia wejścia w życie projektowanego rozporządzenia stanowisk pracy wyposażonych w monitory ekranowe utworzonych przed dniem wejścia w życie projektowanego rozporządzenia do minimalnych wymagań bezpieczeństwa i higieny pracy oraz er</w:t>
      </w:r>
      <w:r w:rsidR="004070C7">
        <w:rPr>
          <w:rFonts w:ascii="Times New Roman" w:hAnsi="Times New Roman" w:cs="Times New Roman"/>
          <w:sz w:val="24"/>
        </w:rPr>
        <w:t>gonomii</w:t>
      </w:r>
      <w:r w:rsidRPr="00971D66">
        <w:rPr>
          <w:rFonts w:ascii="Times New Roman" w:hAnsi="Times New Roman" w:cs="Times New Roman"/>
          <w:sz w:val="24"/>
        </w:rPr>
        <w:t xml:space="preserve"> określonych w załączniku do tego rozporządzenia.</w:t>
      </w:r>
      <w:r>
        <w:rPr>
          <w:rFonts w:ascii="Times New Roman" w:hAnsi="Times New Roman" w:cs="Times New Roman"/>
          <w:sz w:val="24"/>
        </w:rPr>
        <w:t xml:space="preserve"> W opinii projektodawcy 3-miesięczny okres jest wystarczającym czasem na spełnienie tego obowiązku. </w:t>
      </w:r>
    </w:p>
    <w:p w14:paraId="37ECA89D" w14:textId="77777777" w:rsidR="001674AD" w:rsidRPr="00263741" w:rsidRDefault="001674AD" w:rsidP="00554DA7">
      <w:pPr>
        <w:spacing w:after="12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3741">
        <w:rPr>
          <w:rFonts w:ascii="Times New Roman" w:eastAsia="Calibri" w:hAnsi="Times New Roman" w:cs="Times New Roman"/>
          <w:bCs/>
          <w:sz w:val="24"/>
          <w:szCs w:val="24"/>
        </w:rPr>
        <w:t xml:space="preserve">Proponuje się, aby projektowane zmiany weszły w życie </w:t>
      </w:r>
      <w:r w:rsidRPr="00263741">
        <w:rPr>
          <w:rFonts w:ascii="Times New Roman" w:hAnsi="Times New Roman" w:cs="Times New Roman"/>
          <w:sz w:val="24"/>
          <w:szCs w:val="24"/>
        </w:rPr>
        <w:t xml:space="preserve">po upływie 14 dni od dnia ogłoszenia. </w:t>
      </w:r>
      <w:r w:rsidRPr="002637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F86985" w14:textId="72920447" w:rsidR="00695E82" w:rsidRDefault="00695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rozporządzenia jest zgodny z przepisami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dyrektywy</w:t>
      </w:r>
      <w:r w:rsidRPr="0026374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A18BE">
        <w:rPr>
          <w:rFonts w:ascii="Times New Roman" w:hAnsi="Times New Roman" w:cs="Times New Roman"/>
          <w:sz w:val="24"/>
          <w:szCs w:val="24"/>
        </w:rPr>
        <w:t>90/270</w:t>
      </w:r>
      <w:r w:rsidRPr="00263741">
        <w:rPr>
          <w:rFonts w:ascii="Times New Roman" w:hAnsi="Times New Roman" w:cs="Times New Roman"/>
          <w:sz w:val="24"/>
          <w:szCs w:val="24"/>
        </w:rPr>
        <w:t>/EWG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D54DF" w14:textId="192C5CFF" w:rsidR="001674AD" w:rsidRDefault="001674AD" w:rsidP="00167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sz w:val="24"/>
          <w:szCs w:val="24"/>
        </w:rPr>
        <w:t>Projekt rozporządzenia nie stwarza zagrożenia korupcyjnego.</w:t>
      </w:r>
    </w:p>
    <w:p w14:paraId="1778D3F2" w14:textId="77777777" w:rsidR="001674AD" w:rsidRPr="00263741" w:rsidRDefault="001674AD" w:rsidP="00167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sz w:val="24"/>
          <w:szCs w:val="24"/>
        </w:rPr>
        <w:t>Projekt rozporządzenia nie zawiera przepisów technicznych, a zatem nie podlega notyfikacji, zgodnie z trybem przewidzianym w przepisach rozporządzenia Rady Ministrów z dnia 23 grudnia 2002 r. w sprawie sposobu funkcjonowania krajowego systemu notyfikacji norm i aktów prawnych (Dz. U. poz. 2039, z późn. zm.).</w:t>
      </w:r>
    </w:p>
    <w:p w14:paraId="1167A1D7" w14:textId="77777777" w:rsidR="001674AD" w:rsidRPr="00263741" w:rsidRDefault="001674AD" w:rsidP="00167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sz w:val="24"/>
          <w:szCs w:val="24"/>
        </w:rPr>
        <w:t>Projekt rozporządzenia nie wymaga przedłożenia właściwym instytucjom i organom Unii Europejskiej, w tym Europejskiemu Bankowi Centralnemu, w celu uzyskania opinii, dokonania powiadomienia, konsultacji lub uzgodnienia.</w:t>
      </w:r>
    </w:p>
    <w:p w14:paraId="4FB86E0D" w14:textId="77777777" w:rsidR="001674AD" w:rsidRPr="00263741" w:rsidRDefault="001674AD" w:rsidP="00167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sz w:val="24"/>
          <w:szCs w:val="24"/>
        </w:rPr>
        <w:t xml:space="preserve">Projekt </w:t>
      </w:r>
      <w:r w:rsidR="001B1B31" w:rsidRPr="00263741">
        <w:rPr>
          <w:rFonts w:ascii="Times New Roman" w:hAnsi="Times New Roman" w:cs="Times New Roman"/>
          <w:sz w:val="24"/>
          <w:szCs w:val="24"/>
        </w:rPr>
        <w:t xml:space="preserve">został </w:t>
      </w:r>
      <w:r w:rsidRPr="00263741">
        <w:rPr>
          <w:rFonts w:ascii="Times New Roman" w:hAnsi="Times New Roman" w:cs="Times New Roman"/>
          <w:sz w:val="24"/>
          <w:szCs w:val="24"/>
        </w:rPr>
        <w:t>udostępniony w Biuletynie Informacji Publicznej na stronie podmiotowej Rządowego Centrum Legislacji w zakładce Rządowy Proces Legislacyjny zgodnie z § 52 uchwały nr 190 Rady Ministrów z dnia 29 października 2013 r. – Regulamin pracy Rady Ministrów (</w:t>
      </w:r>
      <w:r w:rsidRPr="00263741">
        <w:rPr>
          <w:rFonts w:ascii="Times New Roman" w:hAnsi="Times New Roman" w:cs="Times New Roman"/>
          <w:bCs/>
          <w:kern w:val="36"/>
          <w:sz w:val="24"/>
          <w:szCs w:val="24"/>
        </w:rPr>
        <w:t xml:space="preserve">M.P. z 2022 r. poz. 348) </w:t>
      </w:r>
      <w:r w:rsidRPr="00263741">
        <w:rPr>
          <w:rFonts w:ascii="Times New Roman" w:hAnsi="Times New Roman" w:cs="Times New Roman"/>
          <w:sz w:val="24"/>
          <w:szCs w:val="24"/>
        </w:rPr>
        <w:t xml:space="preserve">oraz stosownie do wymogów art. 5 ustawy z dnia 7 lipca 2005 r. o działalności lobbingowej w procesie stanowienia prawa (Dz. U. z 2017 r. poz. 248). Nie wpłynęły zgłoszenia w trybie ww. ustawy. </w:t>
      </w:r>
    </w:p>
    <w:p w14:paraId="7162C45B" w14:textId="77777777" w:rsidR="001674AD" w:rsidRPr="00263741" w:rsidRDefault="001674AD" w:rsidP="001674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741">
        <w:rPr>
          <w:rFonts w:ascii="Times New Roman" w:hAnsi="Times New Roman" w:cs="Times New Roman"/>
          <w:sz w:val="24"/>
          <w:szCs w:val="24"/>
        </w:rPr>
        <w:t>Projekt nie podlega dokonaniu oceny OSR przez koordynatora OSR w trybie § 32 uchwały nr 190 Rady Ministrów z dnia 29 października 2013 r. – Regulamin pracy Rady Ministrów.</w:t>
      </w:r>
    </w:p>
    <w:p w14:paraId="7513DCE1" w14:textId="77777777" w:rsidR="001674AD" w:rsidRPr="00263741" w:rsidRDefault="001674AD" w:rsidP="001674AD">
      <w:pPr>
        <w:spacing w:line="360" w:lineRule="auto"/>
        <w:ind w:hanging="3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0D8D77" w14:textId="77777777" w:rsidR="00A16D0E" w:rsidRPr="00263741" w:rsidRDefault="00A16D0E">
      <w:pPr>
        <w:rPr>
          <w:rFonts w:ascii="Times New Roman" w:hAnsi="Times New Roman" w:cs="Times New Roman"/>
          <w:sz w:val="24"/>
          <w:szCs w:val="24"/>
        </w:rPr>
      </w:pPr>
    </w:p>
    <w:sectPr w:rsidR="00A16D0E" w:rsidRPr="002637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9368" w14:textId="77777777" w:rsidR="009C4F49" w:rsidRDefault="009C4F49" w:rsidP="002A7C46">
      <w:pPr>
        <w:spacing w:after="0" w:line="240" w:lineRule="auto"/>
      </w:pPr>
      <w:r>
        <w:separator/>
      </w:r>
    </w:p>
  </w:endnote>
  <w:endnote w:type="continuationSeparator" w:id="0">
    <w:p w14:paraId="054F8CD2" w14:textId="77777777" w:rsidR="009C4F49" w:rsidRDefault="009C4F49" w:rsidP="002A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85825780"/>
      <w:docPartObj>
        <w:docPartGallery w:val="Page Numbers (Bottom of Page)"/>
        <w:docPartUnique/>
      </w:docPartObj>
    </w:sdtPr>
    <w:sdtEndPr/>
    <w:sdtContent>
      <w:p w14:paraId="3CB592E2" w14:textId="25DABC96" w:rsidR="002A7C46" w:rsidRPr="002A7C46" w:rsidRDefault="002A7C46">
        <w:pPr>
          <w:pStyle w:val="Stopka"/>
          <w:jc w:val="center"/>
          <w:rPr>
            <w:rFonts w:ascii="Times New Roman" w:hAnsi="Times New Roman" w:cs="Times New Roman"/>
          </w:rPr>
        </w:pPr>
        <w:r w:rsidRPr="002A7C46">
          <w:rPr>
            <w:rFonts w:ascii="Times New Roman" w:hAnsi="Times New Roman" w:cs="Times New Roman"/>
          </w:rPr>
          <w:fldChar w:fldCharType="begin"/>
        </w:r>
        <w:r w:rsidRPr="002A7C46">
          <w:rPr>
            <w:rFonts w:ascii="Times New Roman" w:hAnsi="Times New Roman" w:cs="Times New Roman"/>
          </w:rPr>
          <w:instrText>PAGE   \* MERGEFORMAT</w:instrText>
        </w:r>
        <w:r w:rsidRPr="002A7C46">
          <w:rPr>
            <w:rFonts w:ascii="Times New Roman" w:hAnsi="Times New Roman" w:cs="Times New Roman"/>
          </w:rPr>
          <w:fldChar w:fldCharType="separate"/>
        </w:r>
        <w:r w:rsidR="004070C7">
          <w:rPr>
            <w:rFonts w:ascii="Times New Roman" w:hAnsi="Times New Roman" w:cs="Times New Roman"/>
            <w:noProof/>
          </w:rPr>
          <w:t>5</w:t>
        </w:r>
        <w:r w:rsidRPr="002A7C46">
          <w:rPr>
            <w:rFonts w:ascii="Times New Roman" w:hAnsi="Times New Roman" w:cs="Times New Roman"/>
          </w:rPr>
          <w:fldChar w:fldCharType="end"/>
        </w:r>
      </w:p>
    </w:sdtContent>
  </w:sdt>
  <w:p w14:paraId="1CD0B50E" w14:textId="77777777" w:rsidR="002A7C46" w:rsidRDefault="002A7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0BBC" w14:textId="77777777" w:rsidR="009C4F49" w:rsidRDefault="009C4F49" w:rsidP="002A7C46">
      <w:pPr>
        <w:spacing w:after="0" w:line="240" w:lineRule="auto"/>
      </w:pPr>
      <w:r>
        <w:separator/>
      </w:r>
    </w:p>
  </w:footnote>
  <w:footnote w:type="continuationSeparator" w:id="0">
    <w:p w14:paraId="69544912" w14:textId="77777777" w:rsidR="009C4F49" w:rsidRDefault="009C4F49" w:rsidP="002A7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19"/>
    <w:multiLevelType w:val="hybridMultilevel"/>
    <w:tmpl w:val="03C859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4E2229"/>
    <w:multiLevelType w:val="hybridMultilevel"/>
    <w:tmpl w:val="71CE6AB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6B578D"/>
    <w:multiLevelType w:val="hybridMultilevel"/>
    <w:tmpl w:val="D5A0F57A"/>
    <w:lvl w:ilvl="0" w:tplc="007AB150">
      <w:start w:val="1"/>
      <w:numFmt w:val="lowerLetter"/>
      <w:lvlText w:val="%1)"/>
      <w:lvlJc w:val="left"/>
      <w:pPr>
        <w:ind w:left="2127" w:hanging="11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3" w15:restartNumberingAfterBreak="0">
    <w:nsid w:val="2D043C4B"/>
    <w:multiLevelType w:val="hybridMultilevel"/>
    <w:tmpl w:val="D5CED1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8B6C9F"/>
    <w:multiLevelType w:val="hybridMultilevel"/>
    <w:tmpl w:val="03C859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4AD"/>
    <w:rsid w:val="00010D0F"/>
    <w:rsid w:val="00016456"/>
    <w:rsid w:val="0005426A"/>
    <w:rsid w:val="000C17D9"/>
    <w:rsid w:val="000D0D20"/>
    <w:rsid w:val="000E7082"/>
    <w:rsid w:val="000F2F42"/>
    <w:rsid w:val="00130CA4"/>
    <w:rsid w:val="00155A40"/>
    <w:rsid w:val="0016642C"/>
    <w:rsid w:val="001674AD"/>
    <w:rsid w:val="001B1B31"/>
    <w:rsid w:val="001C7923"/>
    <w:rsid w:val="001D5A78"/>
    <w:rsid w:val="001E3A34"/>
    <w:rsid w:val="00216A29"/>
    <w:rsid w:val="002503B9"/>
    <w:rsid w:val="00263741"/>
    <w:rsid w:val="00265FCA"/>
    <w:rsid w:val="00271A01"/>
    <w:rsid w:val="002A7C46"/>
    <w:rsid w:val="002D4C05"/>
    <w:rsid w:val="002F1DC2"/>
    <w:rsid w:val="0038078A"/>
    <w:rsid w:val="00384249"/>
    <w:rsid w:val="00391FCA"/>
    <w:rsid w:val="003A505E"/>
    <w:rsid w:val="004012BD"/>
    <w:rsid w:val="004070C7"/>
    <w:rsid w:val="00424683"/>
    <w:rsid w:val="004259F6"/>
    <w:rsid w:val="004261B6"/>
    <w:rsid w:val="00446264"/>
    <w:rsid w:val="00461955"/>
    <w:rsid w:val="00486FE5"/>
    <w:rsid w:val="004A18BE"/>
    <w:rsid w:val="004C08A1"/>
    <w:rsid w:val="005341FF"/>
    <w:rsid w:val="00554DA7"/>
    <w:rsid w:val="005F1E5E"/>
    <w:rsid w:val="00627DDE"/>
    <w:rsid w:val="006721DF"/>
    <w:rsid w:val="00695E82"/>
    <w:rsid w:val="006A6313"/>
    <w:rsid w:val="006A78EA"/>
    <w:rsid w:val="0070159A"/>
    <w:rsid w:val="007C3ADE"/>
    <w:rsid w:val="007D6F4D"/>
    <w:rsid w:val="0081165B"/>
    <w:rsid w:val="0085007D"/>
    <w:rsid w:val="00850D22"/>
    <w:rsid w:val="008734D5"/>
    <w:rsid w:val="008741E1"/>
    <w:rsid w:val="00883996"/>
    <w:rsid w:val="008A0B3E"/>
    <w:rsid w:val="008B1CFD"/>
    <w:rsid w:val="008E3CF9"/>
    <w:rsid w:val="008E6CAA"/>
    <w:rsid w:val="009071E1"/>
    <w:rsid w:val="00946926"/>
    <w:rsid w:val="009633D3"/>
    <w:rsid w:val="00971D66"/>
    <w:rsid w:val="009A28FB"/>
    <w:rsid w:val="009C4F49"/>
    <w:rsid w:val="009F0675"/>
    <w:rsid w:val="009F5A4E"/>
    <w:rsid w:val="00A00817"/>
    <w:rsid w:val="00A16D0E"/>
    <w:rsid w:val="00A24937"/>
    <w:rsid w:val="00A261C3"/>
    <w:rsid w:val="00A82084"/>
    <w:rsid w:val="00AE231D"/>
    <w:rsid w:val="00AF5A6F"/>
    <w:rsid w:val="00B03AD8"/>
    <w:rsid w:val="00B13851"/>
    <w:rsid w:val="00B3151C"/>
    <w:rsid w:val="00B46891"/>
    <w:rsid w:val="00B47D69"/>
    <w:rsid w:val="00B601C8"/>
    <w:rsid w:val="00B8437C"/>
    <w:rsid w:val="00BE0082"/>
    <w:rsid w:val="00BF3B20"/>
    <w:rsid w:val="00C26F00"/>
    <w:rsid w:val="00C275C0"/>
    <w:rsid w:val="00C728BD"/>
    <w:rsid w:val="00CC02BA"/>
    <w:rsid w:val="00CF35FC"/>
    <w:rsid w:val="00D566C6"/>
    <w:rsid w:val="00D843E7"/>
    <w:rsid w:val="00D950DF"/>
    <w:rsid w:val="00DB09BC"/>
    <w:rsid w:val="00DD6A01"/>
    <w:rsid w:val="00DE0FEB"/>
    <w:rsid w:val="00DF580D"/>
    <w:rsid w:val="00E613E3"/>
    <w:rsid w:val="00EA68CC"/>
    <w:rsid w:val="00EB1C9D"/>
    <w:rsid w:val="00EB3B64"/>
    <w:rsid w:val="00F111A4"/>
    <w:rsid w:val="00F25A9E"/>
    <w:rsid w:val="00F25CD5"/>
    <w:rsid w:val="00F4478A"/>
    <w:rsid w:val="00F85405"/>
    <w:rsid w:val="00FB5AFD"/>
    <w:rsid w:val="00F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E7FB"/>
  <w15:chartTrackingRefBased/>
  <w15:docId w15:val="{7FB2AC34-E40F-40CB-A81A-D1600693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uiPriority w:val="2"/>
    <w:qFormat/>
    <w:rsid w:val="001674AD"/>
    <w:rPr>
      <w:b w:val="0"/>
      <w:i w:val="0"/>
      <w:vanish w:val="0"/>
      <w:spacing w:val="0"/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8B1CFD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zmlitliter">
    <w:name w:val="Z_LIT/LIT – zm. lit. literą"/>
    <w:basedOn w:val="Normalny"/>
    <w:uiPriority w:val="48"/>
    <w:qFormat/>
    <w:rsid w:val="008B1CFD"/>
    <w:pPr>
      <w:spacing w:after="0" w:line="360" w:lineRule="auto"/>
      <w:ind w:left="146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130CA4"/>
  </w:style>
  <w:style w:type="paragraph" w:styleId="Nagwek">
    <w:name w:val="header"/>
    <w:basedOn w:val="Normalny"/>
    <w:link w:val="NagwekZnak"/>
    <w:uiPriority w:val="99"/>
    <w:unhideWhenUsed/>
    <w:rsid w:val="002A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C46"/>
  </w:style>
  <w:style w:type="paragraph" w:styleId="Stopka">
    <w:name w:val="footer"/>
    <w:basedOn w:val="Normalny"/>
    <w:link w:val="StopkaZnak"/>
    <w:uiPriority w:val="99"/>
    <w:unhideWhenUsed/>
    <w:rsid w:val="002A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C46"/>
  </w:style>
  <w:style w:type="character" w:styleId="Hipercze">
    <w:name w:val="Hyperlink"/>
    <w:basedOn w:val="Domylnaczcionkaakapitu"/>
    <w:uiPriority w:val="99"/>
    <w:semiHidden/>
    <w:unhideWhenUsed/>
    <w:rsid w:val="00B4689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689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6891"/>
    <w:rPr>
      <w:sz w:val="20"/>
      <w:szCs w:val="20"/>
    </w:rPr>
  </w:style>
  <w:style w:type="character" w:customStyle="1" w:styleId="tytul">
    <w:name w:val="tytul"/>
    <w:basedOn w:val="Domylnaczcionkaakapitu"/>
    <w:rsid w:val="00B46891"/>
  </w:style>
  <w:style w:type="paragraph" w:styleId="Tekstdymka">
    <w:name w:val="Balloon Text"/>
    <w:basedOn w:val="Normalny"/>
    <w:link w:val="TekstdymkaZnak"/>
    <w:uiPriority w:val="99"/>
    <w:semiHidden/>
    <w:unhideWhenUsed/>
    <w:rsid w:val="00B46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891"/>
    <w:rPr>
      <w:rFonts w:ascii="Segoe UI" w:hAnsi="Segoe UI" w:cs="Segoe UI"/>
      <w:sz w:val="18"/>
      <w:szCs w:val="18"/>
    </w:rPr>
  </w:style>
  <w:style w:type="character" w:customStyle="1" w:styleId="highlight-disabled">
    <w:name w:val="highlight-disabled"/>
    <w:basedOn w:val="Domylnaczcionkaakapitu"/>
    <w:rsid w:val="00F85405"/>
  </w:style>
  <w:style w:type="paragraph" w:styleId="Akapitzlist">
    <w:name w:val="List Paragraph"/>
    <w:basedOn w:val="Normalny"/>
    <w:uiPriority w:val="34"/>
    <w:qFormat/>
    <w:rsid w:val="00B03AD8"/>
    <w:pPr>
      <w:spacing w:after="200" w:line="276" w:lineRule="auto"/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8F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8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Latoszek</dc:creator>
  <cp:keywords/>
  <dc:description/>
  <cp:lastModifiedBy>Zuzanna Bodzon</cp:lastModifiedBy>
  <cp:revision>4</cp:revision>
  <cp:lastPrinted>2023-05-08T06:02:00Z</cp:lastPrinted>
  <dcterms:created xsi:type="dcterms:W3CDTF">2023-05-19T12:47:00Z</dcterms:created>
  <dcterms:modified xsi:type="dcterms:W3CDTF">2023-05-19T14:35:00Z</dcterms:modified>
</cp:coreProperties>
</file>