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F78FD" w14:textId="744E339A" w:rsidR="00C71705" w:rsidRDefault="00134DB4" w:rsidP="00134DB4">
      <w:pPr>
        <w:tabs>
          <w:tab w:val="right" w:pos="9072"/>
        </w:tabs>
      </w:pPr>
      <w:r>
        <w:rPr>
          <w:noProof/>
        </w:rPr>
        <w:drawing>
          <wp:inline distT="0" distB="0" distL="0" distR="0" wp14:anchorId="4BC4B791" wp14:editId="388CCFE1">
            <wp:extent cx="1733948" cy="971550"/>
            <wp:effectExtent l="0" t="0" r="0" b="0"/>
            <wp:docPr id="1712918061" name="Obraz 98" descr="Obraz zawierający tekst, Grafika, projekt graficzny, symbol&#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18061" name="Obraz 98" descr="Obraz zawierający tekst, Grafika, projekt graficzny, symbol&#10;&#10;Zawartość wygenerowana przez AI może być niepopraw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9208" cy="974497"/>
                    </a:xfrm>
                    <a:prstGeom prst="rect">
                      <a:avLst/>
                    </a:prstGeom>
                    <a:noFill/>
                    <a:ln>
                      <a:noFill/>
                    </a:ln>
                  </pic:spPr>
                </pic:pic>
              </a:graphicData>
            </a:graphic>
          </wp:inline>
        </w:drawing>
      </w:r>
      <w:r w:rsidR="002870DD">
        <w:rPr>
          <w:noProof/>
        </w:rPr>
        <mc:AlternateContent>
          <mc:Choice Requires="wps">
            <w:drawing>
              <wp:anchor distT="0" distB="0" distL="114300" distR="114300" simplePos="0" relativeHeight="251658243" behindDoc="0" locked="0" layoutInCell="1" allowOverlap="1" wp14:anchorId="45545AEF" wp14:editId="39D870FD">
                <wp:simplePos x="0" y="0"/>
                <wp:positionH relativeFrom="column">
                  <wp:posOffset>3519805</wp:posOffset>
                </wp:positionH>
                <wp:positionV relativeFrom="paragraph">
                  <wp:posOffset>151765</wp:posOffset>
                </wp:positionV>
                <wp:extent cx="2011680" cy="609600"/>
                <wp:effectExtent l="0" t="0" r="7620" b="0"/>
                <wp:wrapNone/>
                <wp:docPr id="1595242808" name="Prostokąt 1"/>
                <wp:cNvGraphicFramePr/>
                <a:graphic xmlns:a="http://schemas.openxmlformats.org/drawingml/2006/main">
                  <a:graphicData uri="http://schemas.microsoft.com/office/word/2010/wordprocessingShape">
                    <wps:wsp>
                      <wps:cNvSpPr/>
                      <wps:spPr>
                        <a:xfrm>
                          <a:off x="0" y="0"/>
                          <a:ext cx="2011680" cy="609600"/>
                        </a:xfrm>
                        <a:prstGeom prst="rect">
                          <a:avLst/>
                        </a:prstGeom>
                        <a:solidFill>
                          <a:srgbClr val="C00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63F14C" w14:textId="1372050B" w:rsidR="002870DD" w:rsidRPr="004D0462" w:rsidRDefault="002870DD" w:rsidP="002870DD">
                            <w:pPr>
                              <w:spacing w:after="0"/>
                              <w:jc w:val="center"/>
                              <w:rPr>
                                <w:rFonts w:ascii="Bahnschrift" w:hAnsi="Bahnschrift"/>
                                <w:b/>
                                <w:bCs/>
                                <w:sz w:val="28"/>
                                <w:szCs w:val="28"/>
                              </w:rPr>
                            </w:pPr>
                            <w:r w:rsidRPr="004D0462">
                              <w:rPr>
                                <w:rFonts w:ascii="Bahnschrift" w:hAnsi="Bahnschrift"/>
                                <w:b/>
                                <w:bCs/>
                                <w:sz w:val="28"/>
                                <w:szCs w:val="28"/>
                              </w:rPr>
                              <w:t>PROJEKT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545AEF" id="Prostokąt 1" o:spid="_x0000_s1026" style="position:absolute;left:0;text-align:left;margin-left:277.15pt;margin-top:11.95pt;width:158.4pt;height:48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" fillcolor="#c00000" stroked="f" strokeweight="1pt">
                <v:textbox>
                  <w:txbxContent>
                    <w:p w14:paraId="2963F14C" w14:textId="1372050B" w:rsidR="002870DD" w:rsidRPr="004D0462" w:rsidRDefault="002870DD" w:rsidP="002870DD">
                      <w:pPr>
                        <w:spacing w:after="0"/>
                        <w:jc w:val="center"/>
                        <w:rPr>
                          <w:rFonts w:ascii="Bahnschrift" w:hAnsi="Bahnschrift"/>
                          <w:b/>
                          <w:bCs/>
                          <w:sz w:val="28"/>
                          <w:szCs w:val="28"/>
                        </w:rPr>
                      </w:pPr>
                      <w:r w:rsidRPr="004D0462">
                        <w:rPr>
                          <w:rFonts w:ascii="Bahnschrift" w:hAnsi="Bahnschrift"/>
                          <w:b/>
                          <w:bCs/>
                          <w:sz w:val="28"/>
                          <w:szCs w:val="28"/>
                        </w:rPr>
                        <w:t>PROJEKT</w:t>
                      </w:r>
                    </w:p>
                  </w:txbxContent>
                </v:textbox>
              </v:rect>
            </w:pict>
          </mc:Fallback>
        </mc:AlternateContent>
      </w:r>
      <w:r w:rsidR="00FD4E61">
        <w:rPr>
          <w:noProof/>
        </w:rPr>
        <mc:AlternateContent>
          <mc:Choice Requires="wps">
            <w:drawing>
              <wp:anchor distT="0" distB="0" distL="114300" distR="114300" simplePos="0" relativeHeight="251658241" behindDoc="1" locked="0" layoutInCell="1" allowOverlap="1" wp14:anchorId="3091B5C1" wp14:editId="4A2ED3C6">
                <wp:simplePos x="0" y="0"/>
                <wp:positionH relativeFrom="page">
                  <wp:align>left</wp:align>
                </wp:positionH>
                <wp:positionV relativeFrom="paragraph">
                  <wp:posOffset>-899795</wp:posOffset>
                </wp:positionV>
                <wp:extent cx="7920000" cy="10800000"/>
                <wp:effectExtent l="0" t="0" r="5080" b="1905"/>
                <wp:wrapNone/>
                <wp:docPr id="1526617421" name="Prostokąt 1"/>
                <wp:cNvGraphicFramePr/>
                <a:graphic xmlns:a="http://schemas.openxmlformats.org/drawingml/2006/main">
                  <a:graphicData uri="http://schemas.microsoft.com/office/word/2010/wordprocessingShape">
                    <wps:wsp>
                      <wps:cNvSpPr/>
                      <wps:spPr>
                        <a:xfrm>
                          <a:off x="0" y="0"/>
                          <a:ext cx="7920000" cy="10800000"/>
                        </a:xfrm>
                        <a:prstGeom prst="rect">
                          <a:avLst/>
                        </a:prstGeom>
                        <a:solidFill>
                          <a:srgbClr val="8FB996"/>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FBD6F3C" w14:textId="77777777" w:rsidR="002870DD" w:rsidRDefault="002870DD" w:rsidP="002870D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1B5C1" id="_x0000_s1027" style="position:absolute;left:0;text-align:left;margin-left:0;margin-top:-70.85pt;width:623.6pt;height:850.4pt;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" fillcolor="#8fb996" stroked="f" strokeweight="1pt">
                <v:textbox>
                  <w:txbxContent>
                    <w:p w14:paraId="7FBD6F3C" w14:textId="77777777" w:rsidR="002870DD" w:rsidRDefault="002870DD" w:rsidP="002870DD">
                      <w:pPr>
                        <w:jc w:val="center"/>
                      </w:pPr>
                    </w:p>
                  </w:txbxContent>
                </v:textbox>
                <w10:wrap anchorx="page"/>
              </v:rect>
            </w:pict>
          </mc:Fallback>
        </mc:AlternateContent>
      </w:r>
    </w:p>
    <w:p w14:paraId="789496BB" w14:textId="5C91BDA1" w:rsidR="00E01666" w:rsidRDefault="00E01666" w:rsidP="00E01666"/>
    <w:p w14:paraId="7065D203" w14:textId="08332B95" w:rsidR="00FD4E61" w:rsidRDefault="00FD4E61" w:rsidP="00FD4E61">
      <w:pPr>
        <w:pStyle w:val="Tytu"/>
        <w:spacing w:after="0"/>
        <w:contextualSpacing w:val="0"/>
        <w:rPr>
          <w:rFonts w:ascii="Bahnschrift" w:eastAsiaTheme="minorHAnsi" w:hAnsi="Bahnschrift"/>
          <w:b/>
          <w:bCs/>
          <w:color w:val="FFFFFF" w:themeColor="background1"/>
          <w:sz w:val="68"/>
          <w:szCs w:val="68"/>
        </w:rPr>
      </w:pPr>
    </w:p>
    <w:p w14:paraId="789144F8" w14:textId="1480E9DA" w:rsidR="00C71705" w:rsidRPr="00FD4E61" w:rsidRDefault="00C71705" w:rsidP="006E1905">
      <w:pPr>
        <w:pStyle w:val="Tytu"/>
        <w:spacing w:after="0"/>
        <w:contextualSpacing w:val="0"/>
        <w:rPr>
          <w:rFonts w:ascii="Bahnschrift" w:eastAsiaTheme="minorHAnsi" w:hAnsi="Bahnschrift"/>
          <w:b/>
          <w:bCs/>
          <w:color w:val="FFFFFF" w:themeColor="background1"/>
          <w:sz w:val="68"/>
          <w:szCs w:val="68"/>
        </w:rPr>
      </w:pPr>
      <w:r w:rsidRPr="00FD4E61">
        <w:rPr>
          <w:rFonts w:ascii="Bahnschrift" w:eastAsiaTheme="minorHAnsi" w:hAnsi="Bahnschrift"/>
          <w:b/>
          <w:bCs/>
          <w:color w:val="FFFFFF" w:themeColor="background1"/>
          <w:sz w:val="68"/>
          <w:szCs w:val="68"/>
        </w:rPr>
        <w:t xml:space="preserve">Załącznik </w:t>
      </w:r>
      <w:r w:rsidR="0080256E">
        <w:rPr>
          <w:rFonts w:ascii="Bahnschrift" w:eastAsiaTheme="minorHAnsi" w:hAnsi="Bahnschrift"/>
          <w:b/>
          <w:bCs/>
          <w:color w:val="FFFFFF" w:themeColor="background1"/>
          <w:sz w:val="68"/>
          <w:szCs w:val="68"/>
        </w:rPr>
        <w:t>5</w:t>
      </w:r>
      <w:r w:rsidRPr="00FD4E61">
        <w:rPr>
          <w:rFonts w:ascii="Bahnschrift" w:eastAsiaTheme="minorHAnsi" w:hAnsi="Bahnschrift"/>
          <w:b/>
          <w:bCs/>
          <w:color w:val="FFFFFF" w:themeColor="background1"/>
          <w:sz w:val="68"/>
          <w:szCs w:val="68"/>
        </w:rPr>
        <w:t>. do aKPEiK</w:t>
      </w:r>
    </w:p>
    <w:p w14:paraId="0453B3E1" w14:textId="2980E173" w:rsidR="00E01666" w:rsidRPr="00FD4E61" w:rsidRDefault="00FD4E61" w:rsidP="00287EBB">
      <w:pPr>
        <w:pStyle w:val="Tytu"/>
        <w:spacing w:before="160" w:after="160"/>
        <w:contextualSpacing w:val="0"/>
        <w:jc w:val="left"/>
        <w:rPr>
          <w:rFonts w:ascii="Bahnschrift" w:eastAsiaTheme="minorHAnsi" w:hAnsi="Bahnschrift"/>
          <w:b/>
          <w:bCs/>
          <w:color w:val="FFFFFF" w:themeColor="background1"/>
        </w:rPr>
      </w:pPr>
      <w:r>
        <w:rPr>
          <w:rFonts w:ascii="Bahnschrift" w:eastAsiaTheme="minorHAnsi" w:hAnsi="Bahnschrift"/>
          <w:b/>
          <w:bCs/>
          <w:color w:val="FFFFFF" w:themeColor="background1"/>
        </w:rPr>
        <w:t>Finansowanie transformacji klimatyczno-energetycznej</w:t>
      </w:r>
    </w:p>
    <w:p w14:paraId="4AC7A222" w14:textId="3034B914" w:rsidR="00E01666" w:rsidRDefault="006833BA" w:rsidP="00C71705">
      <w:pPr>
        <w:pStyle w:val="Tytu"/>
        <w:spacing w:after="360"/>
        <w:contextualSpacing w:val="0"/>
        <w:rPr>
          <w:rFonts w:eastAsiaTheme="minorHAnsi"/>
          <w:b/>
          <w:bCs/>
          <w:color w:val="FFFFFF" w:themeColor="background1"/>
          <w:sz w:val="68"/>
          <w:szCs w:val="68"/>
        </w:rPr>
      </w:pPr>
      <w:bookmarkStart w:id="0" w:name="_Hlk174096711"/>
      <w:bookmarkEnd w:id="0"/>
      <w:r w:rsidRPr="00694A4E">
        <w:rPr>
          <w:noProof/>
        </w:rPr>
        <w:drawing>
          <wp:anchor distT="0" distB="0" distL="114300" distR="114300" simplePos="0" relativeHeight="251658240" behindDoc="0" locked="0" layoutInCell="1" allowOverlap="1" wp14:anchorId="3737E1A5" wp14:editId="0FE81B2D">
            <wp:simplePos x="0" y="0"/>
            <wp:positionH relativeFrom="page">
              <wp:posOffset>0</wp:posOffset>
            </wp:positionH>
            <wp:positionV relativeFrom="paragraph">
              <wp:posOffset>494756</wp:posOffset>
            </wp:positionV>
            <wp:extent cx="7557770" cy="4289850"/>
            <wp:effectExtent l="0" t="0" r="5080" b="0"/>
            <wp:wrapNone/>
            <wp:docPr id="9" name="Obraz 8" descr="Obraz zawierający roślina, donica, roślina domowa, zioło&#10;&#10;Opis wygenerowany automatycznie">
              <a:extLst xmlns:a="http://schemas.openxmlformats.org/drawingml/2006/main">
                <a:ext uri="{FF2B5EF4-FFF2-40B4-BE49-F238E27FC236}">
                  <a16:creationId xmlns:a16="http://schemas.microsoft.com/office/drawing/2014/main" id="{36223417-3A6E-79A3-E3B0-F15469B9EF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8" descr="Obraz zawierający roślina, donica, roślina domowa, zioło&#10;&#10;Opis wygenerowany automatycznie">
                      <a:extLst>
                        <a:ext uri="{FF2B5EF4-FFF2-40B4-BE49-F238E27FC236}">
                          <a16:creationId xmlns:a16="http://schemas.microsoft.com/office/drawing/2014/main" id="{36223417-3A6E-79A3-E3B0-F15469B9EF54}"/>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7557770" cy="4289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C69D88" w14:textId="77777777" w:rsidR="00E01666" w:rsidRDefault="00E01666" w:rsidP="00C71705">
      <w:pPr>
        <w:pStyle w:val="Tytu"/>
        <w:spacing w:after="360"/>
        <w:contextualSpacing w:val="0"/>
        <w:rPr>
          <w:rFonts w:eastAsiaTheme="minorHAnsi"/>
          <w:b/>
          <w:bCs/>
          <w:color w:val="FFFFFF" w:themeColor="background1"/>
          <w:sz w:val="68"/>
          <w:szCs w:val="68"/>
        </w:rPr>
      </w:pPr>
    </w:p>
    <w:p w14:paraId="06D73AD9" w14:textId="77777777" w:rsidR="00E01666" w:rsidRDefault="00E01666" w:rsidP="00C71705">
      <w:pPr>
        <w:pStyle w:val="Tytu"/>
        <w:spacing w:after="360"/>
        <w:contextualSpacing w:val="0"/>
        <w:rPr>
          <w:rFonts w:eastAsiaTheme="minorHAnsi"/>
          <w:b/>
          <w:bCs/>
          <w:color w:val="FFFFFF" w:themeColor="background1"/>
          <w:sz w:val="68"/>
          <w:szCs w:val="68"/>
        </w:rPr>
      </w:pPr>
    </w:p>
    <w:p w14:paraId="39F55DC5" w14:textId="77777777" w:rsidR="00E01666" w:rsidRDefault="00E01666" w:rsidP="00C71705">
      <w:pPr>
        <w:pStyle w:val="Tytu"/>
        <w:spacing w:after="360"/>
        <w:contextualSpacing w:val="0"/>
        <w:rPr>
          <w:rFonts w:eastAsiaTheme="minorHAnsi"/>
          <w:b/>
          <w:bCs/>
          <w:color w:val="FFFFFF" w:themeColor="background1"/>
          <w:sz w:val="68"/>
          <w:szCs w:val="68"/>
        </w:rPr>
      </w:pPr>
    </w:p>
    <w:p w14:paraId="4E7F68BA" w14:textId="77777777" w:rsidR="00E01666" w:rsidRDefault="00E01666" w:rsidP="00E01666"/>
    <w:p w14:paraId="507E902D" w14:textId="77777777" w:rsidR="00E01666" w:rsidRDefault="00E01666" w:rsidP="00E01666"/>
    <w:p w14:paraId="138624C2" w14:textId="77777777" w:rsidR="0003358D" w:rsidRDefault="0003358D" w:rsidP="00E01666">
      <w:pPr>
        <w:rPr>
          <w:b/>
          <w:bCs/>
          <w:color w:val="FFFFFF" w:themeColor="background1"/>
        </w:rPr>
      </w:pPr>
    </w:p>
    <w:p w14:paraId="66E98725" w14:textId="77777777" w:rsidR="0003358D" w:rsidRDefault="0003358D" w:rsidP="00E01666">
      <w:pPr>
        <w:rPr>
          <w:b/>
          <w:bCs/>
          <w:color w:val="FFFFFF" w:themeColor="background1"/>
        </w:rPr>
      </w:pPr>
    </w:p>
    <w:p w14:paraId="1E0346B7" w14:textId="77777777" w:rsidR="0003358D" w:rsidRDefault="0003358D" w:rsidP="00E01666">
      <w:pPr>
        <w:rPr>
          <w:b/>
          <w:bCs/>
          <w:color w:val="FFFFFF" w:themeColor="background1"/>
        </w:rPr>
      </w:pPr>
    </w:p>
    <w:p w14:paraId="288BF4B3" w14:textId="6C5B5FC6" w:rsidR="00C71705" w:rsidRDefault="00C71705"/>
    <w:p w14:paraId="10824DB2" w14:textId="796AEB86" w:rsidR="00C71705" w:rsidRDefault="00C71705"/>
    <w:p w14:paraId="13E6A75B" w14:textId="77777777" w:rsidR="006E1905" w:rsidRDefault="006E1905"/>
    <w:p w14:paraId="15DA7F59" w14:textId="765184B2" w:rsidR="00FD4E61" w:rsidRDefault="00FD4E61" w:rsidP="00FD4E61">
      <w:pPr>
        <w:rPr>
          <w:rFonts w:ascii="Bahnschrift" w:eastAsia="Calibri" w:hAnsi="Bahnschrift" w:cs="Times New Roman"/>
          <w:color w:val="FFFFFF"/>
          <w:sz w:val="24"/>
          <w:szCs w:val="28"/>
        </w:rPr>
      </w:pPr>
      <w:r w:rsidRPr="00C76FA9">
        <w:rPr>
          <w:rFonts w:ascii="Bahnschrift" w:eastAsia="Calibri" w:hAnsi="Bahnschrift" w:cs="Times New Roman"/>
          <w:color w:val="FFFFFF"/>
          <w:sz w:val="24"/>
          <w:szCs w:val="28"/>
        </w:rPr>
        <w:t>Warszawa</w:t>
      </w:r>
      <w:r>
        <w:rPr>
          <w:rFonts w:ascii="Bahnschrift" w:eastAsia="Calibri" w:hAnsi="Bahnschrift" w:cs="Times New Roman"/>
          <w:color w:val="FFFFFF"/>
          <w:sz w:val="24"/>
          <w:szCs w:val="28"/>
        </w:rPr>
        <w:t xml:space="preserve">, </w:t>
      </w:r>
      <w:r w:rsidR="00035912">
        <w:rPr>
          <w:rFonts w:ascii="Bahnschrift" w:eastAsia="Calibri" w:hAnsi="Bahnschrift" w:cs="Times New Roman"/>
          <w:color w:val="FFFFFF"/>
          <w:sz w:val="24"/>
          <w:szCs w:val="28"/>
        </w:rPr>
        <w:t>lipiec</w:t>
      </w:r>
      <w:r w:rsidR="00AC137D">
        <w:rPr>
          <w:rFonts w:ascii="Bahnschrift" w:eastAsia="Calibri" w:hAnsi="Bahnschrift" w:cs="Times New Roman"/>
          <w:color w:val="FFFFFF"/>
          <w:sz w:val="24"/>
          <w:szCs w:val="28"/>
        </w:rPr>
        <w:t xml:space="preserve"> </w:t>
      </w:r>
      <w:r w:rsidRPr="00C76FA9">
        <w:rPr>
          <w:rFonts w:ascii="Bahnschrift" w:eastAsia="Calibri" w:hAnsi="Bahnschrift" w:cs="Times New Roman"/>
          <w:color w:val="FFFFFF"/>
          <w:sz w:val="24"/>
          <w:szCs w:val="28"/>
        </w:rPr>
        <w:t>202</w:t>
      </w:r>
      <w:r w:rsidR="006001D8">
        <w:rPr>
          <w:rFonts w:ascii="Bahnschrift" w:eastAsia="Calibri" w:hAnsi="Bahnschrift" w:cs="Times New Roman"/>
          <w:color w:val="FFFFFF"/>
          <w:sz w:val="24"/>
          <w:szCs w:val="28"/>
        </w:rPr>
        <w:t>5</w:t>
      </w:r>
      <w:r w:rsidR="002A2108">
        <w:rPr>
          <w:rFonts w:ascii="Bahnschrift" w:eastAsia="Calibri" w:hAnsi="Bahnschrift" w:cs="Times New Roman"/>
          <w:color w:val="FFFFFF"/>
          <w:sz w:val="24"/>
          <w:szCs w:val="28"/>
        </w:rPr>
        <w:t xml:space="preserve"> r.</w:t>
      </w:r>
      <w:r>
        <w:rPr>
          <w:rFonts w:ascii="Bahnschrift" w:eastAsia="Calibri" w:hAnsi="Bahnschrift" w:cs="Times New Roman"/>
          <w:color w:val="FFFFFF"/>
          <w:sz w:val="24"/>
          <w:szCs w:val="28"/>
        </w:rPr>
        <w:br w:type="page"/>
      </w:r>
    </w:p>
    <w:bookmarkStart w:id="1" w:name="_Toc195860632" w:displacedByCustomXml="next"/>
    <w:bookmarkStart w:id="2" w:name="_Hlk174436475" w:displacedByCustomXml="next"/>
    <w:sdt>
      <w:sdtPr>
        <w:rPr>
          <w:b/>
        </w:rPr>
        <w:id w:val="884613756"/>
        <w:docPartObj>
          <w:docPartGallery w:val="Table of Contents"/>
          <w:docPartUnique/>
        </w:docPartObj>
      </w:sdtPr>
      <w:sdtEndPr>
        <w:rPr>
          <w:b w:val="0"/>
          <w:bCs/>
        </w:rPr>
      </w:sdtEndPr>
      <w:sdtContent>
        <w:p w14:paraId="181B1139" w14:textId="342569ED" w:rsidR="00C50626" w:rsidRPr="00632DA6" w:rsidRDefault="00C50626" w:rsidP="00632DA6">
          <w:pPr>
            <w:rPr>
              <w:rFonts w:ascii="Bahnschrift" w:hAnsi="Bahnschrift"/>
              <w:b/>
              <w:bCs/>
              <w:sz w:val="40"/>
              <w:szCs w:val="40"/>
            </w:rPr>
          </w:pPr>
          <w:r w:rsidRPr="00632DA6">
            <w:rPr>
              <w:rFonts w:ascii="Bahnschrift" w:hAnsi="Bahnschrift"/>
              <w:b/>
              <w:bCs/>
              <w:sz w:val="40"/>
              <w:szCs w:val="40"/>
            </w:rPr>
            <w:t>Spis treści</w:t>
          </w:r>
        </w:p>
        <w:p w14:paraId="2D5F1927" w14:textId="280E636C" w:rsidR="006314AC" w:rsidRDefault="00C50626">
          <w:pPr>
            <w:pStyle w:val="Spistreci1"/>
            <w:rPr>
              <w:rFonts w:asciiTheme="minorHAnsi" w:eastAsiaTheme="minorEastAsia" w:hAnsiTheme="minorHAnsi"/>
              <w:noProof/>
              <w:sz w:val="24"/>
              <w:szCs w:val="24"/>
              <w:lang w:eastAsia="pl-PL"/>
            </w:rPr>
          </w:pPr>
          <w:r>
            <w:fldChar w:fldCharType="begin"/>
          </w:r>
          <w:r>
            <w:instrText xml:space="preserve"> TOC \o "1-3" \h \z \u </w:instrText>
          </w:r>
          <w:r>
            <w:fldChar w:fldCharType="separate"/>
          </w:r>
          <w:hyperlink w:anchor="_Toc202967955" w:history="1">
            <w:r w:rsidR="006314AC" w:rsidRPr="0015733E">
              <w:rPr>
                <w:rStyle w:val="Hipercze"/>
                <w:noProof/>
              </w:rPr>
              <w:t>1.</w:t>
            </w:r>
            <w:r w:rsidR="006314AC">
              <w:rPr>
                <w:rFonts w:asciiTheme="minorHAnsi" w:eastAsiaTheme="minorEastAsia" w:hAnsiTheme="minorHAnsi"/>
                <w:noProof/>
                <w:sz w:val="24"/>
                <w:szCs w:val="24"/>
                <w:lang w:eastAsia="pl-PL"/>
              </w:rPr>
              <w:tab/>
            </w:r>
            <w:r w:rsidR="006314AC" w:rsidRPr="0015733E">
              <w:rPr>
                <w:rStyle w:val="Hipercze"/>
                <w:noProof/>
              </w:rPr>
              <w:t>Potrzeby inwestycyjne</w:t>
            </w:r>
            <w:r w:rsidR="006314AC">
              <w:rPr>
                <w:noProof/>
                <w:webHidden/>
              </w:rPr>
              <w:tab/>
            </w:r>
            <w:r w:rsidR="006314AC">
              <w:rPr>
                <w:noProof/>
                <w:webHidden/>
              </w:rPr>
              <w:fldChar w:fldCharType="begin"/>
            </w:r>
            <w:r w:rsidR="006314AC">
              <w:rPr>
                <w:noProof/>
                <w:webHidden/>
              </w:rPr>
              <w:instrText xml:space="preserve"> PAGEREF _Toc202967955 \h </w:instrText>
            </w:r>
            <w:r w:rsidR="006314AC">
              <w:rPr>
                <w:noProof/>
                <w:webHidden/>
              </w:rPr>
            </w:r>
            <w:r w:rsidR="006314AC">
              <w:rPr>
                <w:noProof/>
                <w:webHidden/>
              </w:rPr>
              <w:fldChar w:fldCharType="separate"/>
            </w:r>
            <w:r w:rsidR="006314AC">
              <w:rPr>
                <w:noProof/>
                <w:webHidden/>
              </w:rPr>
              <w:t>3</w:t>
            </w:r>
            <w:r w:rsidR="006314AC">
              <w:rPr>
                <w:noProof/>
                <w:webHidden/>
              </w:rPr>
              <w:fldChar w:fldCharType="end"/>
            </w:r>
          </w:hyperlink>
        </w:p>
        <w:p w14:paraId="3454BB05" w14:textId="31C23CAE" w:rsidR="006314AC" w:rsidRDefault="006314AC">
          <w:pPr>
            <w:pStyle w:val="Spistreci1"/>
            <w:rPr>
              <w:rFonts w:asciiTheme="minorHAnsi" w:eastAsiaTheme="minorEastAsia" w:hAnsiTheme="minorHAnsi"/>
              <w:noProof/>
              <w:sz w:val="24"/>
              <w:szCs w:val="24"/>
              <w:lang w:eastAsia="pl-PL"/>
            </w:rPr>
          </w:pPr>
          <w:hyperlink w:anchor="_Toc202967956" w:history="1">
            <w:r w:rsidRPr="0015733E">
              <w:rPr>
                <w:rStyle w:val="Hipercze"/>
                <w:noProof/>
              </w:rPr>
              <w:t>2.</w:t>
            </w:r>
            <w:r>
              <w:rPr>
                <w:rFonts w:asciiTheme="minorHAnsi" w:eastAsiaTheme="minorEastAsia" w:hAnsiTheme="minorHAnsi"/>
                <w:noProof/>
                <w:sz w:val="24"/>
                <w:szCs w:val="24"/>
                <w:lang w:eastAsia="pl-PL"/>
              </w:rPr>
              <w:tab/>
            </w:r>
            <w:r w:rsidRPr="0015733E">
              <w:rPr>
                <w:rStyle w:val="Hipercze"/>
                <w:noProof/>
              </w:rPr>
              <w:t>Wpływ środków unijnych, reform i kamieni milowych na realizację celów wskazanych w aKPEiK</w:t>
            </w:r>
            <w:r>
              <w:rPr>
                <w:noProof/>
                <w:webHidden/>
              </w:rPr>
              <w:tab/>
            </w:r>
            <w:r>
              <w:rPr>
                <w:noProof/>
                <w:webHidden/>
              </w:rPr>
              <w:fldChar w:fldCharType="begin"/>
            </w:r>
            <w:r>
              <w:rPr>
                <w:noProof/>
                <w:webHidden/>
              </w:rPr>
              <w:instrText xml:space="preserve"> PAGEREF _Toc202967956 \h </w:instrText>
            </w:r>
            <w:r>
              <w:rPr>
                <w:noProof/>
                <w:webHidden/>
              </w:rPr>
            </w:r>
            <w:r>
              <w:rPr>
                <w:noProof/>
                <w:webHidden/>
              </w:rPr>
              <w:fldChar w:fldCharType="separate"/>
            </w:r>
            <w:r>
              <w:rPr>
                <w:noProof/>
                <w:webHidden/>
              </w:rPr>
              <w:t>10</w:t>
            </w:r>
            <w:r>
              <w:rPr>
                <w:noProof/>
                <w:webHidden/>
              </w:rPr>
              <w:fldChar w:fldCharType="end"/>
            </w:r>
          </w:hyperlink>
        </w:p>
        <w:p w14:paraId="31977E17" w14:textId="7B563795" w:rsidR="006314AC" w:rsidRDefault="006314AC">
          <w:pPr>
            <w:pStyle w:val="Spistreci1"/>
            <w:rPr>
              <w:rFonts w:asciiTheme="minorHAnsi" w:eastAsiaTheme="minorEastAsia" w:hAnsiTheme="minorHAnsi"/>
              <w:noProof/>
              <w:sz w:val="24"/>
              <w:szCs w:val="24"/>
              <w:lang w:eastAsia="pl-PL"/>
            </w:rPr>
          </w:pPr>
          <w:hyperlink w:anchor="_Toc202967957" w:history="1">
            <w:r w:rsidRPr="0015733E">
              <w:rPr>
                <w:rStyle w:val="Hipercze"/>
                <w:noProof/>
              </w:rPr>
              <w:t>3.</w:t>
            </w:r>
            <w:r>
              <w:rPr>
                <w:rFonts w:asciiTheme="minorHAnsi" w:eastAsiaTheme="minorEastAsia" w:hAnsiTheme="minorHAnsi"/>
                <w:noProof/>
                <w:sz w:val="24"/>
                <w:szCs w:val="24"/>
                <w:lang w:eastAsia="pl-PL"/>
              </w:rPr>
              <w:tab/>
            </w:r>
            <w:r w:rsidRPr="0015733E">
              <w:rPr>
                <w:rStyle w:val="Hipercze"/>
                <w:noProof/>
              </w:rPr>
              <w:t>Możliwe do wykorzystania źródła finansowania</w:t>
            </w:r>
            <w:r>
              <w:rPr>
                <w:noProof/>
                <w:webHidden/>
              </w:rPr>
              <w:tab/>
            </w:r>
            <w:r>
              <w:rPr>
                <w:noProof/>
                <w:webHidden/>
              </w:rPr>
              <w:fldChar w:fldCharType="begin"/>
            </w:r>
            <w:r>
              <w:rPr>
                <w:noProof/>
                <w:webHidden/>
              </w:rPr>
              <w:instrText xml:space="preserve"> PAGEREF _Toc202967957 \h </w:instrText>
            </w:r>
            <w:r>
              <w:rPr>
                <w:noProof/>
                <w:webHidden/>
              </w:rPr>
            </w:r>
            <w:r>
              <w:rPr>
                <w:noProof/>
                <w:webHidden/>
              </w:rPr>
              <w:fldChar w:fldCharType="separate"/>
            </w:r>
            <w:r>
              <w:rPr>
                <w:noProof/>
                <w:webHidden/>
              </w:rPr>
              <w:t>15</w:t>
            </w:r>
            <w:r>
              <w:rPr>
                <w:noProof/>
                <w:webHidden/>
              </w:rPr>
              <w:fldChar w:fldCharType="end"/>
            </w:r>
          </w:hyperlink>
        </w:p>
        <w:p w14:paraId="1BCD18F1" w14:textId="38BC63C5" w:rsidR="006314AC" w:rsidRDefault="006314AC">
          <w:pPr>
            <w:pStyle w:val="Spistreci1"/>
            <w:rPr>
              <w:rFonts w:asciiTheme="minorHAnsi" w:eastAsiaTheme="minorEastAsia" w:hAnsiTheme="minorHAnsi"/>
              <w:noProof/>
              <w:sz w:val="24"/>
              <w:szCs w:val="24"/>
              <w:lang w:eastAsia="pl-PL"/>
            </w:rPr>
          </w:pPr>
          <w:hyperlink w:anchor="_Toc202967958" w:history="1">
            <w:r w:rsidRPr="0015733E">
              <w:rPr>
                <w:rStyle w:val="Hipercze"/>
                <w:noProof/>
              </w:rPr>
              <w:t>4.</w:t>
            </w:r>
            <w:r>
              <w:rPr>
                <w:rFonts w:asciiTheme="minorHAnsi" w:eastAsiaTheme="minorEastAsia" w:hAnsiTheme="minorHAnsi"/>
                <w:noProof/>
                <w:sz w:val="24"/>
                <w:szCs w:val="24"/>
                <w:lang w:eastAsia="pl-PL"/>
              </w:rPr>
              <w:tab/>
            </w:r>
            <w:r w:rsidRPr="0015733E">
              <w:rPr>
                <w:rStyle w:val="Hipercze"/>
                <w:noProof/>
              </w:rPr>
              <w:t>Podsumowanie</w:t>
            </w:r>
            <w:r>
              <w:rPr>
                <w:noProof/>
                <w:webHidden/>
              </w:rPr>
              <w:tab/>
            </w:r>
            <w:r>
              <w:rPr>
                <w:noProof/>
                <w:webHidden/>
              </w:rPr>
              <w:fldChar w:fldCharType="begin"/>
            </w:r>
            <w:r>
              <w:rPr>
                <w:noProof/>
                <w:webHidden/>
              </w:rPr>
              <w:instrText xml:space="preserve"> PAGEREF _Toc202967958 \h </w:instrText>
            </w:r>
            <w:r>
              <w:rPr>
                <w:noProof/>
                <w:webHidden/>
              </w:rPr>
            </w:r>
            <w:r>
              <w:rPr>
                <w:noProof/>
                <w:webHidden/>
              </w:rPr>
              <w:fldChar w:fldCharType="separate"/>
            </w:r>
            <w:r>
              <w:rPr>
                <w:noProof/>
                <w:webHidden/>
              </w:rPr>
              <w:t>40</w:t>
            </w:r>
            <w:r>
              <w:rPr>
                <w:noProof/>
                <w:webHidden/>
              </w:rPr>
              <w:fldChar w:fldCharType="end"/>
            </w:r>
          </w:hyperlink>
        </w:p>
        <w:p w14:paraId="617076DF" w14:textId="26428E33" w:rsidR="00C50626" w:rsidRDefault="00C50626">
          <w:r>
            <w:rPr>
              <w:b/>
              <w:bCs/>
            </w:rPr>
            <w:fldChar w:fldCharType="end"/>
          </w:r>
        </w:p>
      </w:sdtContent>
    </w:sdt>
    <w:p w14:paraId="52FB42D8" w14:textId="359265F5" w:rsidR="00EC4529" w:rsidRDefault="00EC4529" w:rsidP="00EC4529">
      <w:r>
        <w:br w:type="page"/>
      </w:r>
    </w:p>
    <w:p w14:paraId="5AA27AA3" w14:textId="69A6CEE2" w:rsidR="00ED52BB" w:rsidRPr="001B6B00" w:rsidRDefault="00ED52BB" w:rsidP="001B6B00">
      <w:pPr>
        <w:pStyle w:val="Nagwek1"/>
      </w:pPr>
      <w:bookmarkStart w:id="3" w:name="_Toc202967955"/>
      <w:r w:rsidRPr="001B6B00">
        <w:lastRenderedPageBreak/>
        <w:t xml:space="preserve">Potrzeby </w:t>
      </w:r>
      <w:r w:rsidR="001B6B00">
        <w:t>i</w:t>
      </w:r>
      <w:r w:rsidRPr="001B6B00">
        <w:t>nwestycyjne</w:t>
      </w:r>
      <w:bookmarkEnd w:id="3"/>
      <w:bookmarkEnd w:id="1"/>
    </w:p>
    <w:bookmarkEnd w:id="2"/>
    <w:p w14:paraId="588A5DB1" w14:textId="0746F3A5" w:rsidR="005D45FF" w:rsidRPr="005D45FF" w:rsidRDefault="005D45FF" w:rsidP="005D45FF">
      <w:pPr>
        <w:rPr>
          <w:rFonts w:eastAsia="Aptos" w:cs="Arial"/>
          <w:kern w:val="0"/>
          <w:szCs w:val="20"/>
        </w:rPr>
      </w:pPr>
      <w:r w:rsidRPr="005D45FF">
        <w:rPr>
          <w:rFonts w:eastAsia="Aptos" w:cs="Arial"/>
          <w:kern w:val="0"/>
          <w:szCs w:val="20"/>
        </w:rPr>
        <w:t>Transformacja klimatyczno-energetyczna w Polsce, mająca na celu dążenie do neutralności klimatycznej, wymaga znacznych nakładów inwestycyjnych.</w:t>
      </w:r>
      <w:r w:rsidR="00BE3F2B">
        <w:rPr>
          <w:rFonts w:eastAsia="Aptos" w:cs="Arial"/>
          <w:kern w:val="0"/>
          <w:szCs w:val="20"/>
        </w:rPr>
        <w:t xml:space="preserve"> </w:t>
      </w:r>
      <w:r w:rsidRPr="005D45FF">
        <w:rPr>
          <w:rFonts w:eastAsia="Aptos" w:cs="Arial"/>
          <w:kern w:val="0"/>
          <w:szCs w:val="20"/>
        </w:rPr>
        <w:t xml:space="preserve">Transformacja wiąże się z wieloma wyzwaniami technologicznymi, takimi jak rozwój i integracja OZE oraz technologii magazynowania energii, modernizacja sieci energetycznych oraz rozwój nowych technologii niskoemisyjnych, w tym gospodarki wodorowej i </w:t>
      </w:r>
      <w:proofErr w:type="spellStart"/>
      <w:r w:rsidRPr="005D45FF">
        <w:rPr>
          <w:rFonts w:eastAsia="Aptos" w:cs="Arial"/>
          <w:kern w:val="0"/>
          <w:szCs w:val="20"/>
        </w:rPr>
        <w:t>elektromobilności</w:t>
      </w:r>
      <w:proofErr w:type="spellEnd"/>
      <w:r w:rsidRPr="005D45FF">
        <w:rPr>
          <w:rFonts w:eastAsia="Aptos" w:cs="Arial"/>
          <w:kern w:val="0"/>
          <w:szCs w:val="20"/>
        </w:rPr>
        <w:t>. Sprostanie tym wyzwaniom wiąże się z koniecznością znacznych inwestycji kapitałowych, zarówno ze strony sektora publicznego, jak i</w:t>
      </w:r>
      <w:r w:rsidR="004D0462">
        <w:rPr>
          <w:rFonts w:eastAsia="Aptos" w:cs="Arial"/>
          <w:kern w:val="0"/>
          <w:szCs w:val="20"/>
        </w:rPr>
        <w:t> </w:t>
      </w:r>
      <w:r w:rsidRPr="005D45FF">
        <w:rPr>
          <w:rFonts w:eastAsia="Aptos" w:cs="Arial"/>
          <w:kern w:val="0"/>
          <w:szCs w:val="20"/>
        </w:rPr>
        <w:t>prywatnego, oraz stworzenie mechanizmów wsparcia i zachęt dla inwestorów, lecz efekty podejmowanych działań mają wpłynąć na innowacyjność gospodarki i jej konkurencyjność i</w:t>
      </w:r>
      <w:r w:rsidR="004D0462">
        <w:rPr>
          <w:rFonts w:eastAsia="Aptos" w:cs="Arial"/>
          <w:kern w:val="0"/>
          <w:szCs w:val="20"/>
        </w:rPr>
        <w:t> </w:t>
      </w:r>
      <w:r w:rsidRPr="005D45FF">
        <w:rPr>
          <w:rFonts w:eastAsia="Aptos" w:cs="Arial"/>
          <w:kern w:val="0"/>
          <w:szCs w:val="20"/>
        </w:rPr>
        <w:t>niepozostawanie w tyle w porównaniu do innych gospodarek.</w:t>
      </w:r>
    </w:p>
    <w:p w14:paraId="4F39411E" w14:textId="196F64B1" w:rsidR="005D45FF" w:rsidRPr="005D45FF" w:rsidRDefault="005D45FF" w:rsidP="005D45FF">
      <w:pPr>
        <w:rPr>
          <w:rFonts w:eastAsia="Aptos" w:cs="Arial"/>
          <w:kern w:val="0"/>
          <w:szCs w:val="20"/>
        </w:rPr>
      </w:pPr>
      <w:r w:rsidRPr="005D45FF">
        <w:rPr>
          <w:rFonts w:eastAsia="Aptos" w:cs="Arial"/>
          <w:kern w:val="0"/>
          <w:szCs w:val="20"/>
        </w:rPr>
        <w:t>Transformacja klimatyczno-energetyczna ma również istotny wymiar społeczny. Konieczne jest zapewnienie sprawiedliwej transformacji, która uwzględni potrzeby pracowników branż związanych z</w:t>
      </w:r>
      <w:r w:rsidR="004D0462">
        <w:rPr>
          <w:rFonts w:eastAsia="Aptos" w:cs="Arial"/>
          <w:kern w:val="0"/>
          <w:szCs w:val="20"/>
        </w:rPr>
        <w:t> </w:t>
      </w:r>
      <w:r w:rsidRPr="005D45FF">
        <w:rPr>
          <w:rFonts w:eastAsia="Aptos" w:cs="Arial"/>
          <w:kern w:val="0"/>
          <w:szCs w:val="20"/>
        </w:rPr>
        <w:t>paliwami kopalnymi, zapewni nowe miejsca pracy w sektorze OZE oraz innych technologii nisko i</w:t>
      </w:r>
      <w:r w:rsidR="004D0462">
        <w:rPr>
          <w:rFonts w:eastAsia="Aptos" w:cs="Arial"/>
          <w:kern w:val="0"/>
          <w:szCs w:val="20"/>
        </w:rPr>
        <w:t> </w:t>
      </w:r>
      <w:proofErr w:type="spellStart"/>
      <w:r w:rsidRPr="005D45FF">
        <w:rPr>
          <w:rFonts w:eastAsia="Aptos" w:cs="Arial"/>
          <w:kern w:val="0"/>
          <w:szCs w:val="20"/>
        </w:rPr>
        <w:t>bezemisyjnych</w:t>
      </w:r>
      <w:proofErr w:type="spellEnd"/>
      <w:r w:rsidRPr="005D45FF">
        <w:rPr>
          <w:rFonts w:eastAsia="Aptos" w:cs="Arial"/>
          <w:kern w:val="0"/>
          <w:szCs w:val="20"/>
        </w:rPr>
        <w:t xml:space="preserve"> oraz zminimalizuje negatywne skutki społeczne i ekonomiczne. Ważne jest również zwiększenie świadomości społecznej i edukacji w zakresie korzyści płynących z transformacji energetycznej.</w:t>
      </w:r>
    </w:p>
    <w:p w14:paraId="6283F25D" w14:textId="5FE6E1C0" w:rsidR="005D45FF" w:rsidRPr="005D45FF" w:rsidRDefault="005D45FF" w:rsidP="005D45FF">
      <w:pPr>
        <w:rPr>
          <w:rFonts w:eastAsia="Aptos" w:cs="Arial"/>
          <w:kern w:val="0"/>
          <w:szCs w:val="20"/>
        </w:rPr>
      </w:pPr>
      <w:r w:rsidRPr="005D45FF">
        <w:rPr>
          <w:rFonts w:eastAsia="Aptos" w:cs="Arial"/>
          <w:kern w:val="0"/>
          <w:szCs w:val="20"/>
        </w:rPr>
        <w:t xml:space="preserve">W niniejszym rozdziale przedstawione zostały potrzeby inwestycyjne, jakie wynikają z transformacji klimatyczno-energetycznej Polski. Analiza oparta jest na dwóch scenariuszach: WAM (ang. </w:t>
      </w:r>
      <w:r w:rsidRPr="005D45FF">
        <w:rPr>
          <w:rFonts w:eastAsia="Aptos" w:cs="Arial"/>
          <w:i/>
          <w:iCs/>
          <w:kern w:val="0"/>
          <w:szCs w:val="20"/>
        </w:rPr>
        <w:t xml:space="preserve">with </w:t>
      </w:r>
      <w:proofErr w:type="spellStart"/>
      <w:r w:rsidRPr="005D45FF">
        <w:rPr>
          <w:rFonts w:eastAsia="Aptos" w:cs="Arial"/>
          <w:i/>
          <w:iCs/>
          <w:kern w:val="0"/>
          <w:szCs w:val="20"/>
        </w:rPr>
        <w:t>additional</w:t>
      </w:r>
      <w:proofErr w:type="spellEnd"/>
      <w:r w:rsidRPr="005D45FF">
        <w:rPr>
          <w:rFonts w:eastAsia="Aptos" w:cs="Arial"/>
          <w:i/>
          <w:iCs/>
          <w:kern w:val="0"/>
          <w:szCs w:val="20"/>
        </w:rPr>
        <w:t xml:space="preserve"> </w:t>
      </w:r>
      <w:proofErr w:type="spellStart"/>
      <w:r w:rsidRPr="005D45FF">
        <w:rPr>
          <w:rFonts w:eastAsia="Aptos" w:cs="Arial"/>
          <w:i/>
          <w:iCs/>
          <w:kern w:val="0"/>
          <w:szCs w:val="20"/>
        </w:rPr>
        <w:t>measures</w:t>
      </w:r>
      <w:proofErr w:type="spellEnd"/>
      <w:r w:rsidRPr="005D45FF">
        <w:rPr>
          <w:rFonts w:eastAsia="Aptos" w:cs="Arial"/>
          <w:kern w:val="0"/>
          <w:szCs w:val="20"/>
        </w:rPr>
        <w:t xml:space="preserve">) i scenariuszach WEM (ang. </w:t>
      </w:r>
      <w:r w:rsidRPr="005D45FF">
        <w:rPr>
          <w:rFonts w:eastAsia="Aptos" w:cs="Arial"/>
          <w:i/>
          <w:iCs/>
          <w:kern w:val="0"/>
          <w:szCs w:val="20"/>
        </w:rPr>
        <w:t xml:space="preserve">with </w:t>
      </w:r>
      <w:proofErr w:type="spellStart"/>
      <w:r w:rsidRPr="005D45FF">
        <w:rPr>
          <w:rFonts w:eastAsia="Aptos" w:cs="Arial"/>
          <w:i/>
          <w:iCs/>
          <w:kern w:val="0"/>
          <w:szCs w:val="20"/>
        </w:rPr>
        <w:t>existing</w:t>
      </w:r>
      <w:proofErr w:type="spellEnd"/>
      <w:r w:rsidRPr="005D45FF">
        <w:rPr>
          <w:rFonts w:eastAsia="Aptos" w:cs="Arial"/>
          <w:i/>
          <w:iCs/>
          <w:kern w:val="0"/>
          <w:szCs w:val="20"/>
        </w:rPr>
        <w:t xml:space="preserve"> </w:t>
      </w:r>
      <w:proofErr w:type="spellStart"/>
      <w:r w:rsidRPr="005D45FF">
        <w:rPr>
          <w:rFonts w:eastAsia="Aptos" w:cs="Arial"/>
          <w:i/>
          <w:iCs/>
          <w:kern w:val="0"/>
          <w:szCs w:val="20"/>
        </w:rPr>
        <w:t>measures</w:t>
      </w:r>
      <w:proofErr w:type="spellEnd"/>
      <w:r w:rsidRPr="005D45FF">
        <w:rPr>
          <w:rFonts w:eastAsia="Aptos" w:cs="Arial"/>
          <w:kern w:val="0"/>
          <w:szCs w:val="20"/>
        </w:rPr>
        <w:t>). Scenariusze WEM i WAM opisane w</w:t>
      </w:r>
      <w:r w:rsidR="004D0462">
        <w:rPr>
          <w:rFonts w:eastAsia="Aptos" w:cs="Arial"/>
          <w:kern w:val="0"/>
          <w:szCs w:val="20"/>
        </w:rPr>
        <w:t> </w:t>
      </w:r>
      <w:r w:rsidRPr="005D45FF">
        <w:rPr>
          <w:rFonts w:eastAsia="Aptos" w:cs="Arial"/>
          <w:kern w:val="0"/>
          <w:szCs w:val="20"/>
        </w:rPr>
        <w:t xml:space="preserve">aktualizacji KPEiK w załączniku 1 (WAM) i załączniku 2 (WEM), przedstawiają dwa różne podejścia do realizacji celów klimatycznych – od bazowego scenariusza utrzymania istniejących polityk po scenariusz </w:t>
      </w:r>
      <w:r w:rsidR="004D0462">
        <w:rPr>
          <w:rFonts w:eastAsia="Aptos" w:cs="Arial"/>
          <w:kern w:val="0"/>
          <w:szCs w:val="20"/>
        </w:rPr>
        <w:t xml:space="preserve">aktywnej transformacji </w:t>
      </w:r>
      <w:r w:rsidRPr="005D45FF">
        <w:rPr>
          <w:rFonts w:eastAsia="Aptos" w:cs="Arial"/>
          <w:kern w:val="0"/>
          <w:szCs w:val="20"/>
        </w:rPr>
        <w:t xml:space="preserve">z dodatkowymi środkami i instrumentami. Analiza obejmuje łączne potrzeby inwestycyjne, przy czym w sektorze elektroenergetycznym dokonano również podziału na produkcję energii i jej transport. Dodatkowo szczegółowe informacje w kontekście rozwoju infrastruktury energetycznej, technologii OZE oraz modernizacji istniejących systemów energetycznych przedstawiono w załączniku 1 i załączniku 2 do aKPEiK.  </w:t>
      </w:r>
    </w:p>
    <w:p w14:paraId="7AF5CB26" w14:textId="4F7B910F" w:rsidR="005D45FF" w:rsidRPr="005D45FF" w:rsidRDefault="005D45FF" w:rsidP="00B020C3">
      <w:pPr>
        <w:spacing w:before="360"/>
        <w:rPr>
          <w:rFonts w:eastAsia="Times New Roman" w:cs="Times New Roman"/>
          <w:b/>
          <w:bCs/>
          <w:color w:val="000000" w:themeColor="text1"/>
          <w:kern w:val="0"/>
          <w:szCs w:val="20"/>
        </w:rPr>
      </w:pPr>
      <w:r w:rsidRPr="005D45FF">
        <w:rPr>
          <w:rFonts w:eastAsia="Times New Roman" w:cs="Times New Roman"/>
          <w:b/>
          <w:bCs/>
          <w:color w:val="000000" w:themeColor="text1"/>
          <w:kern w:val="0"/>
          <w:szCs w:val="20"/>
        </w:rPr>
        <w:t xml:space="preserve">Potrzeby </w:t>
      </w:r>
      <w:r w:rsidR="00B020C3">
        <w:rPr>
          <w:rFonts w:eastAsia="Times New Roman" w:cs="Times New Roman"/>
          <w:b/>
          <w:bCs/>
          <w:color w:val="000000" w:themeColor="text1"/>
          <w:kern w:val="0"/>
          <w:szCs w:val="20"/>
        </w:rPr>
        <w:t>i</w:t>
      </w:r>
      <w:r w:rsidRPr="005D45FF">
        <w:rPr>
          <w:rFonts w:eastAsia="Times New Roman" w:cs="Times New Roman"/>
          <w:b/>
          <w:bCs/>
          <w:color w:val="000000" w:themeColor="text1"/>
          <w:kern w:val="0"/>
          <w:szCs w:val="20"/>
        </w:rPr>
        <w:t>nwestycyjne w ramach scenariuszy WEM i WAM według wymiarów unii energetycznej</w:t>
      </w:r>
      <w:r w:rsidR="00C8277A">
        <w:rPr>
          <w:rStyle w:val="Odwoanieprzypisudolnego"/>
          <w:rFonts w:eastAsia="Times New Roman" w:cs="Times New Roman"/>
          <w:b/>
          <w:bCs/>
          <w:color w:val="000000" w:themeColor="text1"/>
          <w:kern w:val="0"/>
          <w:szCs w:val="20"/>
        </w:rPr>
        <w:footnoteReference w:id="2"/>
      </w:r>
    </w:p>
    <w:p w14:paraId="427F6A30" w14:textId="77777777" w:rsidR="005D45FF" w:rsidRPr="005D45FF" w:rsidRDefault="005D45FF" w:rsidP="005D45FF">
      <w:pPr>
        <w:rPr>
          <w:rFonts w:eastAsia="Aptos" w:cs="Arial"/>
          <w:kern w:val="0"/>
          <w:szCs w:val="20"/>
        </w:rPr>
      </w:pPr>
      <w:r w:rsidRPr="005D45FF">
        <w:rPr>
          <w:rFonts w:eastAsia="Aptos" w:cs="Arial"/>
          <w:kern w:val="0"/>
          <w:szCs w:val="20"/>
        </w:rPr>
        <w:t xml:space="preserve">Scenariusz WEM (załącznik 2 do aKPEiK) przedstawia potrzeby inwestycyjne związane z transformacją energetyczną Polski, bazując na analizie obecnych polityk i środków. </w:t>
      </w:r>
    </w:p>
    <w:p w14:paraId="2D19972B" w14:textId="4D70C12B" w:rsidR="005D45FF" w:rsidRPr="005D45FF" w:rsidRDefault="005D45FF" w:rsidP="005D45FF">
      <w:pPr>
        <w:rPr>
          <w:rFonts w:eastAsia="Aptos" w:cs="Arial"/>
          <w:kern w:val="0"/>
          <w:szCs w:val="20"/>
        </w:rPr>
      </w:pPr>
      <w:r w:rsidRPr="005D45FF">
        <w:rPr>
          <w:rFonts w:eastAsia="Aptos" w:cs="Arial"/>
          <w:kern w:val="0"/>
          <w:szCs w:val="20"/>
        </w:rPr>
        <w:t xml:space="preserve">Scenariusz WAM (załącznik 1 do aKPEiK) zakłada bardziej ambitne </w:t>
      </w:r>
      <w:r w:rsidR="004D0462">
        <w:rPr>
          <w:rFonts w:eastAsia="Aptos" w:cs="Arial"/>
          <w:kern w:val="0"/>
          <w:szCs w:val="20"/>
        </w:rPr>
        <w:t xml:space="preserve">(aktywne) </w:t>
      </w:r>
      <w:r w:rsidRPr="005D45FF">
        <w:rPr>
          <w:rFonts w:eastAsia="Aptos" w:cs="Arial"/>
          <w:kern w:val="0"/>
          <w:szCs w:val="20"/>
        </w:rPr>
        <w:t>podejście do transformacji energetycznej Polski w porównaniu ze scenariuszem WEM. Wymaga on</w:t>
      </w:r>
      <w:r w:rsidRPr="005D45FF" w:rsidDel="008F5072">
        <w:rPr>
          <w:rFonts w:eastAsia="Aptos" w:cs="Arial"/>
          <w:kern w:val="0"/>
          <w:szCs w:val="20"/>
        </w:rPr>
        <w:t xml:space="preserve"> </w:t>
      </w:r>
      <w:r w:rsidRPr="005D45FF">
        <w:rPr>
          <w:rFonts w:eastAsia="Aptos" w:cs="Arial"/>
          <w:kern w:val="0"/>
          <w:szCs w:val="20"/>
        </w:rPr>
        <w:t>większych nakładów inwestycyjnych w różnych sektorach gospodarki, aby zrealizować dodatkowe polityki i środki mające na celu głębszą redukcję emisji gazów cieplarnianych oraz zwiększenie efektywności energetycznej.</w:t>
      </w:r>
    </w:p>
    <w:p w14:paraId="49C91D65" w14:textId="77777777" w:rsidR="005D45FF" w:rsidRPr="005D45FF" w:rsidRDefault="005D45FF" w:rsidP="005D45FF">
      <w:pPr>
        <w:rPr>
          <w:rFonts w:eastAsia="Aptos" w:cs="Arial"/>
          <w:kern w:val="0"/>
          <w:szCs w:val="20"/>
        </w:rPr>
      </w:pPr>
      <w:r w:rsidRPr="005D45FF">
        <w:rPr>
          <w:rFonts w:eastAsia="Aptos" w:cs="Arial"/>
          <w:kern w:val="0"/>
          <w:szCs w:val="20"/>
        </w:rPr>
        <w:t>Analiza została podzielona na pięć głównych wymiarów: obniżenie emisyjności, efektywność energetyczna, bezpieczeństwo energetyczne, wewnętrzny rynek energii oraz badania naukowe, innowacje i konkurencyjność.</w:t>
      </w:r>
    </w:p>
    <w:p w14:paraId="43797E30" w14:textId="77777777" w:rsidR="005D45FF" w:rsidRPr="005D45FF" w:rsidRDefault="005D45FF" w:rsidP="00B020C3">
      <w:pPr>
        <w:spacing w:before="360"/>
        <w:rPr>
          <w:rFonts w:eastAsia="Aptos" w:cs="Arial"/>
          <w:b/>
          <w:bCs/>
          <w:kern w:val="0"/>
          <w:szCs w:val="20"/>
        </w:rPr>
      </w:pPr>
      <w:r w:rsidRPr="005D45FF">
        <w:rPr>
          <w:rFonts w:eastAsia="Aptos" w:cs="Arial"/>
          <w:b/>
          <w:bCs/>
          <w:kern w:val="0"/>
          <w:szCs w:val="20"/>
        </w:rPr>
        <w:t>Wymiar „Obniżenie emisyjności”</w:t>
      </w:r>
    </w:p>
    <w:p w14:paraId="07FBD4CB" w14:textId="79AF6D67" w:rsidR="00654F11" w:rsidRPr="008A580C" w:rsidRDefault="005D45FF" w:rsidP="008A580C">
      <w:pPr>
        <w:rPr>
          <w:rFonts w:eastAsia="Aptos" w:cs="Arial"/>
          <w:kern w:val="0"/>
          <w:szCs w:val="20"/>
        </w:rPr>
      </w:pPr>
      <w:r w:rsidRPr="005D45FF">
        <w:rPr>
          <w:rFonts w:eastAsia="Aptos" w:cs="Arial"/>
          <w:kern w:val="0"/>
          <w:szCs w:val="20"/>
        </w:rPr>
        <w:t xml:space="preserve">Potrzeby inwestycyjne w zakresie obniżenia emisyjności koncentrują się na redukcji emisji gazów cieplarnianych oraz innych zanieczyszczeń powietrza. Zgodnie z założeniami, przewiduje się znaczące inwestycje w OZE, takie jak farmy wiatrowe, instalacje fotowoltaiczne, </w:t>
      </w:r>
      <w:proofErr w:type="spellStart"/>
      <w:r w:rsidR="001B002E">
        <w:rPr>
          <w:rFonts w:eastAsia="Aptos" w:cs="Arial"/>
          <w:kern w:val="0"/>
          <w:szCs w:val="20"/>
        </w:rPr>
        <w:t>biometanownie</w:t>
      </w:r>
      <w:proofErr w:type="spellEnd"/>
      <w:r w:rsidR="001B002E">
        <w:rPr>
          <w:rFonts w:eastAsia="Aptos" w:cs="Arial"/>
          <w:kern w:val="0"/>
          <w:szCs w:val="20"/>
        </w:rPr>
        <w:t xml:space="preserve"> </w:t>
      </w:r>
      <w:r w:rsidR="000F5769">
        <w:rPr>
          <w:rFonts w:eastAsia="Aptos" w:cs="Arial"/>
          <w:kern w:val="0"/>
          <w:szCs w:val="20"/>
        </w:rPr>
        <w:t xml:space="preserve">i </w:t>
      </w:r>
      <w:r w:rsidRPr="005D45FF">
        <w:rPr>
          <w:rFonts w:eastAsia="Aptos" w:cs="Arial"/>
          <w:kern w:val="0"/>
          <w:szCs w:val="20"/>
        </w:rPr>
        <w:t>biogazownie. Rozwój tych technologii jest kluczowy dla zmniejszenia emisji CO</w:t>
      </w:r>
      <w:r w:rsidRPr="005D45FF">
        <w:rPr>
          <w:rFonts w:eastAsia="Aptos" w:cs="Arial"/>
          <w:kern w:val="0"/>
          <w:szCs w:val="20"/>
          <w:vertAlign w:val="subscript"/>
        </w:rPr>
        <w:t>2</w:t>
      </w:r>
      <w:r w:rsidRPr="005D45FF">
        <w:rPr>
          <w:rFonts w:eastAsia="Aptos" w:cs="Arial"/>
          <w:kern w:val="0"/>
          <w:szCs w:val="20"/>
        </w:rPr>
        <w:t xml:space="preserve"> oraz osiągnięcia unijnych celów klimatycznych. Ponadto budowa infrastruktury do wychwytywania i składowania CO</w:t>
      </w:r>
      <w:r w:rsidRPr="005D45FF">
        <w:rPr>
          <w:rFonts w:eastAsia="Aptos" w:cs="Arial"/>
          <w:kern w:val="0"/>
          <w:szCs w:val="20"/>
          <w:vertAlign w:val="subscript"/>
        </w:rPr>
        <w:t>2</w:t>
      </w:r>
      <w:r w:rsidRPr="005D45FF">
        <w:rPr>
          <w:rFonts w:eastAsia="Aptos" w:cs="Arial"/>
          <w:kern w:val="0"/>
          <w:szCs w:val="20"/>
        </w:rPr>
        <w:t xml:space="preserve"> (CCS) stanowi </w:t>
      </w:r>
      <w:r w:rsidRPr="005D45FF">
        <w:rPr>
          <w:rFonts w:eastAsia="Aptos" w:cs="Arial"/>
          <w:kern w:val="0"/>
          <w:szCs w:val="20"/>
        </w:rPr>
        <w:lastRenderedPageBreak/>
        <w:t>istotny element strategii obniżenia emisyjności. Inwestycje te wymagają wsparcia finansowego z funduszy krajowych i unijnych oraz współpracy z sektorem prywatnym.</w:t>
      </w:r>
    </w:p>
    <w:p w14:paraId="1957435F" w14:textId="17D60148" w:rsidR="005D45FF" w:rsidRPr="005D45FF" w:rsidRDefault="005D45FF" w:rsidP="00B020C3">
      <w:pPr>
        <w:spacing w:before="360"/>
        <w:rPr>
          <w:rFonts w:eastAsia="Aptos" w:cs="Arial"/>
          <w:b/>
          <w:bCs/>
          <w:kern w:val="0"/>
          <w:szCs w:val="20"/>
        </w:rPr>
      </w:pPr>
      <w:r w:rsidRPr="005D45FF">
        <w:rPr>
          <w:rFonts w:eastAsia="Aptos" w:cs="Arial"/>
          <w:b/>
          <w:bCs/>
          <w:kern w:val="0"/>
          <w:szCs w:val="20"/>
        </w:rPr>
        <w:t>Wymiar „Efektywność energetyczna”</w:t>
      </w:r>
    </w:p>
    <w:p w14:paraId="43C06363" w14:textId="37218C47" w:rsidR="005D45FF" w:rsidRPr="005D45FF" w:rsidRDefault="005D45FF" w:rsidP="005D45FF">
      <w:pPr>
        <w:rPr>
          <w:rFonts w:eastAsia="Aptos" w:cs="Arial"/>
          <w:kern w:val="0"/>
          <w:szCs w:val="20"/>
        </w:rPr>
      </w:pPr>
      <w:r w:rsidRPr="005D45FF">
        <w:rPr>
          <w:rFonts w:eastAsia="Aptos" w:cs="Arial"/>
          <w:kern w:val="0"/>
          <w:szCs w:val="20"/>
        </w:rPr>
        <w:t xml:space="preserve">Inwestycje w efektywność energetyczną obejmują modernizację budynków mieszkalnych,  komercyjnych i użyteczności publicznej, wprowadzenie energooszczędnych technologii w przemyśle oraz rozwój nowoczesnych systemów zarządzania energią. Kluczowe działania obejmują termomodernizację budynków, wymianę starych systemów grzewczych, a także wprowadzenie energooszczędnych urządzeń i technologii w sektorze przemysłowym. Prognozy zakładają również rozwój transportu publicznego i promocję </w:t>
      </w:r>
      <w:proofErr w:type="spellStart"/>
      <w:r w:rsidRPr="005D45FF">
        <w:rPr>
          <w:rFonts w:eastAsia="Aptos" w:cs="Arial"/>
          <w:kern w:val="0"/>
          <w:szCs w:val="20"/>
        </w:rPr>
        <w:t>elektromobilności</w:t>
      </w:r>
      <w:proofErr w:type="spellEnd"/>
      <w:r w:rsidRPr="005D45FF">
        <w:rPr>
          <w:rFonts w:eastAsia="Aptos" w:cs="Arial"/>
          <w:kern w:val="0"/>
          <w:szCs w:val="20"/>
        </w:rPr>
        <w:t>, co przyczyni się do zmniejszenia zużycia energii i emisji z sektora transportowego. Wsparcie finansowe dla tych działań powinno pochodzić zarówno z funduszy publicznych, jak i prywatnych, w tym z programów unijnych.</w:t>
      </w:r>
    </w:p>
    <w:p w14:paraId="46B19891" w14:textId="77777777" w:rsidR="005D45FF" w:rsidRPr="005D45FF" w:rsidRDefault="005D45FF" w:rsidP="00B020C3">
      <w:pPr>
        <w:spacing w:before="360"/>
        <w:rPr>
          <w:rFonts w:eastAsia="Aptos" w:cs="Arial"/>
          <w:b/>
          <w:bCs/>
          <w:kern w:val="0"/>
          <w:szCs w:val="20"/>
        </w:rPr>
      </w:pPr>
      <w:r w:rsidRPr="005D45FF">
        <w:rPr>
          <w:rFonts w:eastAsia="Aptos" w:cs="Arial"/>
          <w:b/>
          <w:bCs/>
          <w:kern w:val="0"/>
          <w:szCs w:val="20"/>
        </w:rPr>
        <w:t>Wymiar „Bezpieczeństwo energetyczne”</w:t>
      </w:r>
    </w:p>
    <w:p w14:paraId="2636D715" w14:textId="19EAC3D2" w:rsidR="005D45FF" w:rsidRPr="005D45FF" w:rsidRDefault="005D45FF" w:rsidP="005D45FF">
      <w:pPr>
        <w:rPr>
          <w:rFonts w:eastAsia="Aptos" w:cs="Arial"/>
          <w:kern w:val="0"/>
          <w:szCs w:val="20"/>
        </w:rPr>
      </w:pPr>
      <w:r w:rsidRPr="005D45FF">
        <w:rPr>
          <w:rFonts w:eastAsia="Aptos" w:cs="Arial"/>
          <w:kern w:val="0"/>
          <w:szCs w:val="20"/>
        </w:rPr>
        <w:t xml:space="preserve">Zapewnienie bezpieczeństwa energetycznego wymaga inwestycji w modernizację i rozbudowę infrastruktury energetycznej, w tym sieci przesyłowych i dystrybucyjnych. Konieczne są inwestycje w inteligentne sieci (ang. </w:t>
      </w:r>
      <w:r w:rsidRPr="005D45FF">
        <w:rPr>
          <w:rFonts w:eastAsia="Aptos" w:cs="Arial"/>
          <w:i/>
          <w:iCs/>
          <w:kern w:val="0"/>
          <w:szCs w:val="20"/>
        </w:rPr>
        <w:t xml:space="preserve">smart </w:t>
      </w:r>
      <w:proofErr w:type="spellStart"/>
      <w:r w:rsidRPr="005D45FF">
        <w:rPr>
          <w:rFonts w:eastAsia="Aptos" w:cs="Arial"/>
          <w:i/>
          <w:iCs/>
          <w:kern w:val="0"/>
          <w:szCs w:val="20"/>
        </w:rPr>
        <w:t>grids</w:t>
      </w:r>
      <w:proofErr w:type="spellEnd"/>
      <w:r w:rsidRPr="005D45FF">
        <w:rPr>
          <w:rFonts w:eastAsia="Aptos" w:cs="Arial"/>
          <w:kern w:val="0"/>
          <w:szCs w:val="20"/>
        </w:rPr>
        <w:t xml:space="preserve">), które umożliwią lepsze zarządzanie i integrację odnawialnych źródeł energii. Rozwój krajowych zasobów energetycznych, takich </w:t>
      </w:r>
      <w:r w:rsidR="00291E63">
        <w:rPr>
          <w:rFonts w:eastAsia="Aptos" w:cs="Arial"/>
          <w:kern w:val="0"/>
          <w:szCs w:val="20"/>
        </w:rPr>
        <w:t>l</w:t>
      </w:r>
      <w:r w:rsidR="00E12DC9">
        <w:rPr>
          <w:rFonts w:eastAsia="Aptos" w:cs="Arial"/>
          <w:kern w:val="0"/>
          <w:szCs w:val="20"/>
        </w:rPr>
        <w:t xml:space="preserve">ądowe i morskie elektrownie wiatrowe, farmy PV, </w:t>
      </w:r>
      <w:proofErr w:type="spellStart"/>
      <w:r w:rsidR="00291E63">
        <w:rPr>
          <w:rFonts w:eastAsia="Aptos" w:cs="Arial"/>
          <w:kern w:val="0"/>
          <w:szCs w:val="20"/>
        </w:rPr>
        <w:t>biometanownie</w:t>
      </w:r>
      <w:proofErr w:type="spellEnd"/>
      <w:r w:rsidR="00291E63">
        <w:rPr>
          <w:rFonts w:eastAsia="Aptos" w:cs="Arial"/>
          <w:kern w:val="0"/>
          <w:szCs w:val="20"/>
        </w:rPr>
        <w:t xml:space="preserve">, </w:t>
      </w:r>
      <w:r w:rsidR="00A268C7">
        <w:rPr>
          <w:rFonts w:eastAsia="Aptos" w:cs="Arial"/>
          <w:kern w:val="0"/>
          <w:szCs w:val="20"/>
        </w:rPr>
        <w:t xml:space="preserve">źródła dyspozycyjne, </w:t>
      </w:r>
      <w:r w:rsidRPr="005D45FF">
        <w:rPr>
          <w:rFonts w:eastAsia="Aptos" w:cs="Arial"/>
          <w:kern w:val="0"/>
          <w:szCs w:val="20"/>
        </w:rPr>
        <w:t>energia jądrowa i technologie magazynowania energii</w:t>
      </w:r>
      <w:r w:rsidR="00E12DC9">
        <w:rPr>
          <w:rFonts w:eastAsia="Aptos" w:cs="Arial"/>
          <w:kern w:val="0"/>
          <w:szCs w:val="20"/>
        </w:rPr>
        <w:t xml:space="preserve"> są </w:t>
      </w:r>
      <w:r w:rsidRPr="005D45FF">
        <w:rPr>
          <w:rFonts w:eastAsia="Aptos" w:cs="Arial"/>
          <w:kern w:val="0"/>
          <w:szCs w:val="20"/>
        </w:rPr>
        <w:t>kluczow</w:t>
      </w:r>
      <w:r w:rsidR="00E12DC9">
        <w:rPr>
          <w:rFonts w:eastAsia="Aptos" w:cs="Arial"/>
          <w:kern w:val="0"/>
          <w:szCs w:val="20"/>
        </w:rPr>
        <w:t>e</w:t>
      </w:r>
      <w:r w:rsidRPr="005D45FF">
        <w:rPr>
          <w:rFonts w:eastAsia="Aptos" w:cs="Arial"/>
          <w:kern w:val="0"/>
          <w:szCs w:val="20"/>
        </w:rPr>
        <w:t xml:space="preserve"> dla zapewnienia stabilności dostaw energii. Ponadto, inwestycje w infrastrukturę do </w:t>
      </w:r>
      <w:proofErr w:type="spellStart"/>
      <w:r w:rsidRPr="005D45FF">
        <w:rPr>
          <w:rFonts w:eastAsia="Aptos" w:cs="Arial"/>
          <w:kern w:val="0"/>
          <w:szCs w:val="20"/>
        </w:rPr>
        <w:t>przesyłu</w:t>
      </w:r>
      <w:proofErr w:type="spellEnd"/>
      <w:r w:rsidRPr="005D45FF">
        <w:rPr>
          <w:rFonts w:eastAsia="Aptos" w:cs="Arial"/>
          <w:kern w:val="0"/>
          <w:szCs w:val="20"/>
        </w:rPr>
        <w:t xml:space="preserve"> gazu ziemnego i ropy naftowej, a także rozwój alternatywnych źródeł energii, takich jak wodór i </w:t>
      </w:r>
      <w:proofErr w:type="spellStart"/>
      <w:r w:rsidRPr="005D45FF">
        <w:rPr>
          <w:rFonts w:eastAsia="Aptos" w:cs="Arial"/>
          <w:kern w:val="0"/>
          <w:szCs w:val="20"/>
        </w:rPr>
        <w:t>biometan</w:t>
      </w:r>
      <w:proofErr w:type="spellEnd"/>
      <w:r w:rsidRPr="005D45FF">
        <w:rPr>
          <w:rFonts w:eastAsia="Aptos" w:cs="Arial"/>
          <w:kern w:val="0"/>
          <w:szCs w:val="20"/>
        </w:rPr>
        <w:t>, są niezbędne dla zmniejszenia zależności od importu paliw kopalnych.</w:t>
      </w:r>
    </w:p>
    <w:p w14:paraId="20E60364" w14:textId="77777777" w:rsidR="005D45FF" w:rsidRPr="005D45FF" w:rsidRDefault="005D45FF" w:rsidP="00B020C3">
      <w:pPr>
        <w:spacing w:before="360"/>
        <w:rPr>
          <w:rFonts w:eastAsia="Aptos" w:cs="Arial"/>
          <w:b/>
          <w:bCs/>
          <w:kern w:val="0"/>
          <w:szCs w:val="20"/>
        </w:rPr>
      </w:pPr>
      <w:r w:rsidRPr="005D45FF">
        <w:rPr>
          <w:rFonts w:eastAsia="Aptos" w:cs="Arial"/>
          <w:b/>
          <w:bCs/>
          <w:kern w:val="0"/>
          <w:szCs w:val="20"/>
        </w:rPr>
        <w:t>Wymiar „Wewnątrzunijny rynek energii i społeczny aspekt transformacji”</w:t>
      </w:r>
    </w:p>
    <w:p w14:paraId="331CE719" w14:textId="690DC48D" w:rsidR="005D45FF" w:rsidRPr="005D45FF" w:rsidRDefault="005D45FF" w:rsidP="005D45FF">
      <w:pPr>
        <w:rPr>
          <w:rFonts w:eastAsia="Aptos" w:cs="Arial"/>
          <w:kern w:val="0"/>
          <w:szCs w:val="20"/>
        </w:rPr>
      </w:pPr>
      <w:r w:rsidRPr="005D45FF">
        <w:rPr>
          <w:rFonts w:eastAsia="Aptos" w:cs="Arial"/>
          <w:kern w:val="0"/>
          <w:szCs w:val="20"/>
        </w:rPr>
        <w:t xml:space="preserve">W celu integracji rynku energii i zapewnienia jego sprawnego funkcjonowania, konieczne są inwestycje w rozwój </w:t>
      </w:r>
      <w:r w:rsidR="00D463A7" w:rsidRPr="005D45FF">
        <w:rPr>
          <w:rFonts w:eastAsia="Aptos" w:cs="Arial"/>
          <w:kern w:val="0"/>
          <w:szCs w:val="20"/>
        </w:rPr>
        <w:t>elektroenergetyczn</w:t>
      </w:r>
      <w:r w:rsidR="00D463A7">
        <w:rPr>
          <w:rFonts w:eastAsia="Aptos" w:cs="Arial"/>
          <w:kern w:val="0"/>
          <w:szCs w:val="20"/>
        </w:rPr>
        <w:t xml:space="preserve">ej </w:t>
      </w:r>
      <w:r w:rsidRPr="005D45FF">
        <w:rPr>
          <w:rFonts w:eastAsia="Aptos" w:cs="Arial"/>
          <w:kern w:val="0"/>
          <w:szCs w:val="20"/>
        </w:rPr>
        <w:t xml:space="preserve">infrastruktury międzysystemowej. Modernizacja i rozbudowa infrastruktury do </w:t>
      </w:r>
      <w:proofErr w:type="spellStart"/>
      <w:r w:rsidRPr="005D45FF">
        <w:rPr>
          <w:rFonts w:eastAsia="Aptos" w:cs="Arial"/>
          <w:kern w:val="0"/>
          <w:szCs w:val="20"/>
        </w:rPr>
        <w:t>przesyłu</w:t>
      </w:r>
      <w:proofErr w:type="spellEnd"/>
      <w:r w:rsidRPr="005D45FF">
        <w:rPr>
          <w:rFonts w:eastAsia="Aptos" w:cs="Arial"/>
          <w:kern w:val="0"/>
          <w:szCs w:val="20"/>
        </w:rPr>
        <w:t xml:space="preserve"> energii elektrycznej, gazu ziemnego i ropy naftowej są kluczowe dla zapewnienia niezawodności dostaw i stabilności cen energii. Wspieranie rozwoju rynku mocy oraz wprowadzenie mechanizmów zwiększających konkurencyjność na rynku energii elektrycznej i gazu ziemnego są istotne dla obniżenia kosztów energii i poprawy jej dostępności dla odbiorców końcowych. Transformacja klimatyczno-energetyczna będzie uwzględniać również aspekty społeczne, w tym działania na rzecz redukcji ubóstwa energetycznego poprzez dostęp do tańszych i bardziej efektywnych źródeł energii oraz termomodernizacji, a także wsparcie regionów węglowych w procesie stopniowego odchodzenia od tradycyjnych sektorów przemysłowych.</w:t>
      </w:r>
    </w:p>
    <w:p w14:paraId="76DA86C4" w14:textId="77777777" w:rsidR="005D45FF" w:rsidRPr="005D45FF" w:rsidRDefault="005D45FF" w:rsidP="00B020C3">
      <w:pPr>
        <w:spacing w:before="360"/>
        <w:rPr>
          <w:rFonts w:eastAsia="Aptos" w:cs="Arial"/>
          <w:b/>
          <w:bCs/>
          <w:kern w:val="0"/>
          <w:szCs w:val="20"/>
        </w:rPr>
      </w:pPr>
      <w:r w:rsidRPr="005D45FF">
        <w:rPr>
          <w:rFonts w:eastAsia="Aptos" w:cs="Arial"/>
          <w:b/>
          <w:bCs/>
          <w:kern w:val="0"/>
          <w:szCs w:val="20"/>
        </w:rPr>
        <w:t>Wymiar „Badania naukowe, innowacje i konkurencyjność”</w:t>
      </w:r>
    </w:p>
    <w:p w14:paraId="3871017E" w14:textId="3B81BC94" w:rsidR="005D45FF" w:rsidRPr="005D45FF" w:rsidRDefault="005D45FF" w:rsidP="005D45FF">
      <w:pPr>
        <w:rPr>
          <w:rFonts w:eastAsia="Aptos" w:cs="Arial"/>
          <w:kern w:val="0"/>
          <w:szCs w:val="20"/>
        </w:rPr>
      </w:pPr>
      <w:r w:rsidRPr="005D45FF">
        <w:rPr>
          <w:rFonts w:eastAsia="Aptos" w:cs="Arial"/>
          <w:kern w:val="0"/>
          <w:szCs w:val="20"/>
        </w:rPr>
        <w:t xml:space="preserve">Rozwój badań naukowych i innowacji w obszarach sprzyjających transformacji do gospodarki neutralnej klimatycznie jest kluczowy dla długoterminowego sukcesu transformacji energetycznej. Inwestycje w badania i rozwój nowych </w:t>
      </w:r>
      <w:proofErr w:type="spellStart"/>
      <w:r w:rsidRPr="005D45FF">
        <w:rPr>
          <w:rFonts w:eastAsia="Aptos" w:cs="Arial"/>
          <w:kern w:val="0"/>
          <w:szCs w:val="20"/>
        </w:rPr>
        <w:t>technologiisą</w:t>
      </w:r>
      <w:proofErr w:type="spellEnd"/>
      <w:r w:rsidRPr="005D45FF">
        <w:rPr>
          <w:rFonts w:eastAsia="Aptos" w:cs="Arial"/>
          <w:kern w:val="0"/>
          <w:szCs w:val="20"/>
        </w:rPr>
        <w:t xml:space="preserve"> nieodzowne. Wsparcie dla innowacyjnych projektów oraz współpraca z ośrodkami badawczymi i przedsiębiorstwami technologicznymi mogą przyczynić się do zwiększenia konkurencyjności polskiego sektora energetycznego na rynku globalnym. Dodatkowo, zwiększenie nakładów na edukację i rozwój kompetencji w zakresie nowych technologii energetycznych jest niezbędne dla zapewnienia odpowiednich kadr do realizacji ambitnych celów klimatycznych.</w:t>
      </w:r>
    </w:p>
    <w:p w14:paraId="2AC6CB7D" w14:textId="15CCD98C" w:rsidR="00314A5A" w:rsidRPr="001E0DAD" w:rsidRDefault="00314A5A" w:rsidP="00314A5A">
      <w:pPr>
        <w:rPr>
          <w:rFonts w:cstheme="minorHAnsi"/>
        </w:rPr>
      </w:pPr>
      <w:bookmarkStart w:id="4" w:name="_Hlk197526326"/>
      <w:r>
        <w:rPr>
          <w:rFonts w:cstheme="minorHAnsi"/>
        </w:rPr>
        <w:t>Skuteczna</w:t>
      </w:r>
      <w:r w:rsidRPr="001E0DAD">
        <w:rPr>
          <w:rFonts w:cstheme="minorHAnsi"/>
        </w:rPr>
        <w:t xml:space="preserve"> transformacja </w:t>
      </w:r>
      <w:r>
        <w:rPr>
          <w:rFonts w:cstheme="minorHAnsi"/>
        </w:rPr>
        <w:t>energetyczna</w:t>
      </w:r>
      <w:r w:rsidRPr="001E0DAD">
        <w:rPr>
          <w:rFonts w:cstheme="minorHAnsi"/>
        </w:rPr>
        <w:t xml:space="preserve"> wymaga rozwoju </w:t>
      </w:r>
      <w:r>
        <w:rPr>
          <w:rFonts w:cstheme="minorHAnsi"/>
        </w:rPr>
        <w:t>szerokiego</w:t>
      </w:r>
      <w:r w:rsidRPr="001E0DAD">
        <w:rPr>
          <w:rFonts w:cstheme="minorHAnsi"/>
        </w:rPr>
        <w:t xml:space="preserve"> spektrum innowacyjnych technologii. Priorytetowe obszary badawcze obejmują przede wszystkim sektor energetyczny (rozwój rozproszonych źródeł OZE, inteligentnych sieci przesyłowych, magazynowanie energii, systemy zarządzania popytem oraz integrację prosumentów), ciepłownictwo (pompy ciepła, niskoemisyjne źródła ciepła, odzysk ciepła odpadowego, lokalne sieci grzewcze), transport (elektryfikację pojazdów osobowych i ciężarowych, rozbudowę infrastruktury ładowania, systemy transportu publicznego i intermodalnego oraz logistykę o </w:t>
      </w:r>
      <w:r w:rsidRPr="001E0DAD">
        <w:rPr>
          <w:rFonts w:cstheme="minorHAnsi"/>
        </w:rPr>
        <w:lastRenderedPageBreak/>
        <w:t>zerowej emisji) oraz rolnictwo i sektor spożywczy (rolnictwo precyzyjne, innowacyjne technologie upraw i hodowli, biogazownie, odzysk składników pokarmowych, nowe źródła białka). Równie istotne są działania w obszarze gospodarki o obiegu zamkniętym (recykling, odzysk surowców z produktów złożonych, ograniczanie ilości odpadów i ponowne użycie surowców), gospodarki wodno-ściekowej (technologie oszczędzania wody, odzysk wody i pierwiastków, ograniczanie mikrozanieczyszczeń, inteligentne systemy kanalizacyjne) oraz budownictwa (budynki nisko- i zeroemisyjne, prefabrykacja, materiały o niskim śladzie węglowym, automatyka budynków, systemy retencji wody deszczowej).</w:t>
      </w:r>
    </w:p>
    <w:p w14:paraId="7282A55D" w14:textId="3AFC8B52" w:rsidR="00314A5A" w:rsidRDefault="00314A5A" w:rsidP="00314A5A">
      <w:r w:rsidRPr="001E0DAD">
        <w:rPr>
          <w:rFonts w:cstheme="minorHAnsi"/>
        </w:rPr>
        <w:t xml:space="preserve">Kluczowe znaczenie ma także kompleksowa transformacja przemysłu, obejmująca zarówno </w:t>
      </w:r>
      <w:r>
        <w:rPr>
          <w:rFonts w:cstheme="minorHAnsi"/>
        </w:rPr>
        <w:t>przemysł</w:t>
      </w:r>
      <w:r w:rsidRPr="001E0DAD">
        <w:rPr>
          <w:rFonts w:cstheme="minorHAnsi"/>
        </w:rPr>
        <w:t xml:space="preserve"> ciężki, jak i przetwórcz</w:t>
      </w:r>
      <w:r>
        <w:rPr>
          <w:rFonts w:cstheme="minorHAnsi"/>
        </w:rPr>
        <w:t>y</w:t>
      </w:r>
      <w:r w:rsidRPr="001E0DAD">
        <w:rPr>
          <w:rFonts w:cstheme="minorHAnsi"/>
        </w:rPr>
        <w:t>. W hutnictwie, cementowniach i przemyśle chemicznym priorytetem jest elektryfikacja i dekarbonizacja procesów produkcyjnych oraz zastępowanie paliw kopalnych energią odnawialną</w:t>
      </w:r>
      <w:r>
        <w:rPr>
          <w:rFonts w:cstheme="minorHAnsi"/>
        </w:rPr>
        <w:t xml:space="preserve"> i wodorem</w:t>
      </w:r>
      <w:r w:rsidR="00E91511">
        <w:rPr>
          <w:rFonts w:cstheme="minorHAnsi"/>
        </w:rPr>
        <w:t xml:space="preserve"> odnawialnym pochodzenia </w:t>
      </w:r>
      <w:proofErr w:type="spellStart"/>
      <w:r w:rsidR="00E91511">
        <w:rPr>
          <w:rFonts w:cstheme="minorHAnsi"/>
        </w:rPr>
        <w:t>niebiologicznego</w:t>
      </w:r>
      <w:proofErr w:type="spellEnd"/>
      <w:r>
        <w:rPr>
          <w:rFonts w:cstheme="minorHAnsi"/>
        </w:rPr>
        <w:t>. Istotną rolę będą grać też  wysokotemperaturowe</w:t>
      </w:r>
      <w:r w:rsidRPr="001E0DAD">
        <w:rPr>
          <w:rFonts w:cstheme="minorHAnsi"/>
        </w:rPr>
        <w:t xml:space="preserve"> pomp</w:t>
      </w:r>
      <w:r>
        <w:rPr>
          <w:rFonts w:cstheme="minorHAnsi"/>
        </w:rPr>
        <w:t>y</w:t>
      </w:r>
      <w:r w:rsidRPr="001E0DAD">
        <w:rPr>
          <w:rFonts w:cstheme="minorHAnsi"/>
        </w:rPr>
        <w:t xml:space="preserve"> ciepła</w:t>
      </w:r>
      <w:r>
        <w:rPr>
          <w:rFonts w:cstheme="minorHAnsi"/>
        </w:rPr>
        <w:t xml:space="preserve"> i magazyny ciepła</w:t>
      </w:r>
      <w:r w:rsidRPr="001E0DAD">
        <w:rPr>
          <w:rFonts w:cstheme="minorHAnsi"/>
        </w:rPr>
        <w:t>, a także rozwój niskoemisyjnych surowców i zamkniętych obiegów materiałowych</w:t>
      </w:r>
      <w:r>
        <w:rPr>
          <w:rFonts w:cstheme="minorHAnsi"/>
        </w:rPr>
        <w:t>. Tam</w:t>
      </w:r>
      <w:r w:rsidR="00632DA6">
        <w:rPr>
          <w:rFonts w:cstheme="minorHAnsi"/>
        </w:rPr>
        <w:t>,</w:t>
      </w:r>
      <w:r w:rsidRPr="001E0DAD">
        <w:t xml:space="preserve"> </w:t>
      </w:r>
      <w:r>
        <w:t>gdzie redukcja emisji innymi metodami byłaby technicznie niemożliwa lub zbyt kosztowna,</w:t>
      </w:r>
      <w:r w:rsidRPr="001E0DAD" w:rsidDel="001E0DAD">
        <w:rPr>
          <w:rFonts w:cstheme="minorHAnsi"/>
        </w:rPr>
        <w:t xml:space="preserve"> </w:t>
      </w:r>
      <w:r>
        <w:rPr>
          <w:rFonts w:cstheme="minorHAnsi"/>
        </w:rPr>
        <w:t>k</w:t>
      </w:r>
      <w:r w:rsidRPr="001E0DAD">
        <w:rPr>
          <w:rFonts w:cstheme="minorHAnsi"/>
        </w:rPr>
        <w:t xml:space="preserve">onieczne jest wdrażanie technologii wychwytu, wykorzystania lub składowania dwutlenku węgla. W przemyśle lekkim szczególny nacisk kładzie się na efektywność energetyczną linii technologicznych, odzysk ciepła odpadowego, automatyzację i cyfryzację produkcji, a także na stosowanie odnawialnych źródeł energii i paliw </w:t>
      </w:r>
      <w:r>
        <w:rPr>
          <w:rFonts w:cstheme="minorHAnsi"/>
        </w:rPr>
        <w:t>zero</w:t>
      </w:r>
      <w:r w:rsidRPr="001E0DAD">
        <w:rPr>
          <w:rFonts w:cstheme="minorHAnsi"/>
        </w:rPr>
        <w:t>emisyjnych. We wszystkich zakładach produkcyjnych rośnie znaczenie zaawansowanych systemów zarządzania energią i materiałami, integrujących lokalne źródła OZE, magazyny energii i recykling surowców w ramach inteligentnych, niskoemisyjnych fabryk.</w:t>
      </w:r>
    </w:p>
    <w:bookmarkEnd w:id="4"/>
    <w:p w14:paraId="10C1D514" w14:textId="3593E1A6" w:rsidR="0080256E" w:rsidRDefault="005D45FF" w:rsidP="005D45FF">
      <w:pPr>
        <w:rPr>
          <w:rFonts w:eastAsia="Aptos" w:cs="Arial"/>
          <w:kern w:val="0"/>
          <w:szCs w:val="20"/>
        </w:rPr>
      </w:pPr>
      <w:r w:rsidRPr="005D45FF">
        <w:rPr>
          <w:rFonts w:eastAsia="Aptos" w:cs="Arial"/>
          <w:kern w:val="0"/>
          <w:szCs w:val="20"/>
        </w:rPr>
        <w:t>Podsumowując, potrzeby inwestycyjne obejmują szeroki zakres działań, od rozwoju OZE i technologii zapewniających ich bezpieczny przyrost, przez modernizację infrastruktury energetycznej, po inwestycje w efektywność energetyczną i technologie innowacyjne. Kluczowym wyzwaniem jest zapewnienie źródeł finansowania i zaplanowanie ich wydatkowania w taki sposób, aby pozwalały osiągać cele w sposób adekwatny do rzeczywistych potrzeb i indywidualnej dynamiki rozwoju. Niewłaściwą jest sytuacja, w</w:t>
      </w:r>
      <w:r w:rsidR="00632DA6">
        <w:rPr>
          <w:rFonts w:eastAsia="Aptos" w:cs="Arial"/>
          <w:kern w:val="0"/>
          <w:szCs w:val="20"/>
        </w:rPr>
        <w:t> </w:t>
      </w:r>
      <w:r w:rsidRPr="005D45FF">
        <w:rPr>
          <w:rFonts w:eastAsia="Aptos" w:cs="Arial"/>
          <w:kern w:val="0"/>
          <w:szCs w:val="20"/>
        </w:rPr>
        <w:t>której następuje zbyt szybki rozwój jednej technologii, podczas gdy komplementarne nie rozwijają się w</w:t>
      </w:r>
      <w:r w:rsidR="00632DA6">
        <w:rPr>
          <w:rFonts w:eastAsia="Aptos" w:cs="Arial"/>
          <w:kern w:val="0"/>
          <w:szCs w:val="20"/>
        </w:rPr>
        <w:t> </w:t>
      </w:r>
      <w:r w:rsidRPr="005D45FF">
        <w:rPr>
          <w:rFonts w:eastAsia="Aptos" w:cs="Arial"/>
          <w:kern w:val="0"/>
          <w:szCs w:val="20"/>
        </w:rPr>
        <w:t>dostatecznym stopniu. Równie ważne jest stworzenie odpowiednich warunków regulacyjnych i</w:t>
      </w:r>
      <w:r w:rsidR="00632DA6">
        <w:rPr>
          <w:rFonts w:eastAsia="Aptos" w:cs="Arial"/>
          <w:kern w:val="0"/>
          <w:szCs w:val="20"/>
        </w:rPr>
        <w:t> </w:t>
      </w:r>
      <w:r w:rsidRPr="005D45FF">
        <w:rPr>
          <w:rFonts w:eastAsia="Aptos" w:cs="Arial"/>
          <w:kern w:val="0"/>
          <w:szCs w:val="20"/>
        </w:rPr>
        <w:t>administracyjnych, które umożliwią efektywną realizację tych inwestycji.</w:t>
      </w:r>
    </w:p>
    <w:p w14:paraId="5EAA5357" w14:textId="77777777" w:rsidR="00231310" w:rsidRDefault="00231310" w:rsidP="005D45FF">
      <w:pPr>
        <w:rPr>
          <w:rFonts w:eastAsia="Aptos" w:cs="Arial"/>
          <w:kern w:val="0"/>
          <w:szCs w:val="20"/>
        </w:rPr>
      </w:pPr>
    </w:p>
    <w:p w14:paraId="18746866" w14:textId="5B8C6441" w:rsidR="00245783" w:rsidRDefault="0086223E" w:rsidP="00245783">
      <w:r>
        <w:t>Podsumowując</w:t>
      </w:r>
      <w:r w:rsidRPr="0086223E">
        <w:t xml:space="preserve"> </w:t>
      </w:r>
      <w:r>
        <w:t xml:space="preserve">w </w:t>
      </w:r>
      <w:r w:rsidRPr="0086223E">
        <w:t>tabel</w:t>
      </w:r>
      <w:r w:rsidR="0038134B">
        <w:t>ach poniżej</w:t>
      </w:r>
      <w:r w:rsidRPr="0086223E">
        <w:t xml:space="preserve"> (Tabela </w:t>
      </w:r>
      <w:r>
        <w:t>1.1</w:t>
      </w:r>
      <w:r w:rsidR="0038134B">
        <w:t>,</w:t>
      </w:r>
      <w:r w:rsidR="00BF1A7A">
        <w:t xml:space="preserve"> Tabela 1.2</w:t>
      </w:r>
      <w:r w:rsidRPr="0086223E">
        <w:t>) zaprezentowano prognozowane nakłady inwestycyjne w sektorach paliwowo-energetycznych w podziale na sektory. Obejmują one</w:t>
      </w:r>
      <w:r>
        <w:t>:</w:t>
      </w:r>
    </w:p>
    <w:p w14:paraId="44D5D829" w14:textId="2E1D1DCE" w:rsidR="00245783" w:rsidRDefault="00245783" w:rsidP="00245783">
      <w:pPr>
        <w:pStyle w:val="Akapitzlist"/>
        <w:numPr>
          <w:ilvl w:val="0"/>
          <w:numId w:val="6"/>
        </w:numPr>
      </w:pPr>
      <w:r w:rsidRPr="00632DA6">
        <w:rPr>
          <w:b/>
          <w:bCs/>
        </w:rPr>
        <w:t>w przemyśle</w:t>
      </w:r>
      <w:r>
        <w:t xml:space="preserve"> – </w:t>
      </w:r>
      <w:r w:rsidRPr="00E5519D">
        <w:t>elektryfikację procesów przemysłowych, w tym ciepła przemysłowego z</w:t>
      </w:r>
      <w:r w:rsidR="00632DA6">
        <w:t> </w:t>
      </w:r>
      <w:r w:rsidRPr="00E5519D">
        <w:t xml:space="preserve">uwzględnieniem magazynowania ciepła, pod kątem dostosowania procesów przemysłowych do pracy z systemem energetycznym z dominującym udziałem źródeł </w:t>
      </w:r>
      <w:proofErr w:type="spellStart"/>
      <w:r w:rsidRPr="00E5519D">
        <w:t>pogodozależnych</w:t>
      </w:r>
      <w:proofErr w:type="spellEnd"/>
      <w:r w:rsidRPr="00E5519D">
        <w:t>, tam gdzie nie jest możliwa bezpośrednia elektryfikacja wykorzystanie wodoru do celów energetycznych a także jako wsadu procesowego (np. w hutnictwie do redukcji żelaza pierwotnego czy procesach rafineryjnych), poprawa efektywności energetycznej,</w:t>
      </w:r>
      <w:r w:rsidR="00C965A3">
        <w:t xml:space="preserve"> </w:t>
      </w:r>
      <w:r w:rsidR="00C965A3" w:rsidRPr="00C965A3">
        <w:t>wymiana lub modernizacja kotłów przemysłowych i pieców, wymiana i modernizacja napędów elektrycznych oraz źródeł światła</w:t>
      </w:r>
      <w:r w:rsidRPr="00E5519D">
        <w:t>, maksymalizacja wykorzystania ciepła odpadowego zarówno w samych zakładach jak i na potrzeby zewnętrzne (np. sieci ciepłownicze lub zakłady potrzebujące ciepła o niższej temperaturze), instalacje CCS tam gdzie inn</w:t>
      </w:r>
      <w:r>
        <w:t>a</w:t>
      </w:r>
      <w:r w:rsidRPr="00E5519D">
        <w:t xml:space="preserve"> redukcja emisji innymi metodami byłaby technicznie niemożliwa lub zbyt kosztowna</w:t>
      </w:r>
      <w:r>
        <w:t>,</w:t>
      </w:r>
    </w:p>
    <w:p w14:paraId="5AD28532" w14:textId="0005BA5F" w:rsidR="00245783" w:rsidRDefault="00245783" w:rsidP="00245783">
      <w:pPr>
        <w:pStyle w:val="Akapitzlist"/>
        <w:numPr>
          <w:ilvl w:val="0"/>
          <w:numId w:val="6"/>
        </w:numPr>
      </w:pPr>
      <w:r w:rsidRPr="00632DA6">
        <w:rPr>
          <w:b/>
          <w:bCs/>
        </w:rPr>
        <w:t>w transporcie</w:t>
      </w:r>
      <w:r>
        <w:t xml:space="preserve"> </w:t>
      </w:r>
      <w:r w:rsidR="00632DA6">
        <w:t>–</w:t>
      </w:r>
      <w:r>
        <w:t xml:space="preserve"> </w:t>
      </w:r>
      <w:r w:rsidRPr="00EE5A1B">
        <w:t>rozwój infrastruktury do ładowania pojazdów i in. działania na rzecz elektryfikacji transportu drogowego, modernizacja infrastruktury drogowej pod kątem zwiększenia udziału efektywnych energetycznie środków transportu (transport zbiorowy, rowery) oraz rozwój transportu publicznego, nakłady na infrastrukturę kolejową (tory, stacje, tabor), rozwój transportu intermodalnego</w:t>
      </w:r>
      <w:r>
        <w:t>,</w:t>
      </w:r>
    </w:p>
    <w:p w14:paraId="594CA302" w14:textId="30D4F55A" w:rsidR="00245783" w:rsidRDefault="00245783" w:rsidP="00245783">
      <w:pPr>
        <w:pStyle w:val="Akapitzlist"/>
        <w:numPr>
          <w:ilvl w:val="0"/>
          <w:numId w:val="6"/>
        </w:numPr>
      </w:pPr>
      <w:r w:rsidRPr="00632DA6">
        <w:rPr>
          <w:b/>
          <w:bCs/>
        </w:rPr>
        <w:t>w gospodarstwach domowych</w:t>
      </w:r>
      <w:r>
        <w:t xml:space="preserve"> </w:t>
      </w:r>
      <w:r w:rsidR="00632DA6">
        <w:t>–</w:t>
      </w:r>
      <w:r>
        <w:t xml:space="preserve"> </w:t>
      </w:r>
      <w:r w:rsidRPr="004043C4">
        <w:t>nakłady na termomodernizację budynków</w:t>
      </w:r>
      <w:r w:rsidRPr="009B4FB3">
        <w:t xml:space="preserve"> z uwzględnieniem rekuperacji, zastąpienie </w:t>
      </w:r>
      <w:r w:rsidR="00D45167">
        <w:t xml:space="preserve">kuchenek gazowych oraz </w:t>
      </w:r>
      <w:r w:rsidRPr="009B4FB3">
        <w:t>źródeł ogrzewania i c.w.u.</w:t>
      </w:r>
      <w:r w:rsidR="00D45167">
        <w:t xml:space="preserve"> opar</w:t>
      </w:r>
      <w:r w:rsidR="00AD6174">
        <w:t>tych</w:t>
      </w:r>
      <w:r w:rsidR="00D45167">
        <w:t xml:space="preserve"> </w:t>
      </w:r>
      <w:r w:rsidR="00AD6174">
        <w:t xml:space="preserve">na </w:t>
      </w:r>
      <w:r w:rsidR="00D45167">
        <w:t>spalani</w:t>
      </w:r>
      <w:r w:rsidR="00AD6174">
        <w:t>u</w:t>
      </w:r>
      <w:r w:rsidR="00D45167">
        <w:t xml:space="preserve"> paliw</w:t>
      </w:r>
      <w:r w:rsidR="002271A4">
        <w:t>,</w:t>
      </w:r>
      <w:r w:rsidRPr="009B4FB3">
        <w:t xml:space="preserve"> </w:t>
      </w:r>
      <w:r w:rsidRPr="00AB48CD">
        <w:t>elektryczności</w:t>
      </w:r>
      <w:r w:rsidR="00AB48CD" w:rsidRPr="00AB48CD">
        <w:t>ą</w:t>
      </w:r>
      <w:r w:rsidR="00C965A3">
        <w:t>,</w:t>
      </w:r>
      <w:r w:rsidR="00AB48CD" w:rsidRPr="00AB48CD">
        <w:t xml:space="preserve"> głównie </w:t>
      </w:r>
      <w:r w:rsidR="002271A4">
        <w:t>przy użyciu</w:t>
      </w:r>
      <w:r w:rsidR="00AB48CD" w:rsidRPr="00AB48CD">
        <w:t xml:space="preserve"> pomp ciepła, magazyn</w:t>
      </w:r>
      <w:r w:rsidR="002271A4">
        <w:t>ów</w:t>
      </w:r>
      <w:r w:rsidR="00AB48CD" w:rsidRPr="00AB48CD">
        <w:t xml:space="preserve"> ciepła i system</w:t>
      </w:r>
      <w:r w:rsidR="002271A4">
        <w:t>ów</w:t>
      </w:r>
      <w:r w:rsidR="00AB48CD" w:rsidRPr="00AB48CD">
        <w:t xml:space="preserve"> BEMS</w:t>
      </w:r>
      <w:r w:rsidRPr="00AB48CD">
        <w:t>,</w:t>
      </w:r>
    </w:p>
    <w:p w14:paraId="6C166761" w14:textId="26AEFDC9" w:rsidR="00245783" w:rsidRDefault="00245783" w:rsidP="00245783">
      <w:pPr>
        <w:pStyle w:val="Akapitzlist"/>
        <w:numPr>
          <w:ilvl w:val="0"/>
          <w:numId w:val="6"/>
        </w:numPr>
      </w:pPr>
      <w:r w:rsidRPr="00632DA6">
        <w:rPr>
          <w:b/>
          <w:bCs/>
        </w:rPr>
        <w:lastRenderedPageBreak/>
        <w:t>w usługach</w:t>
      </w:r>
      <w:r>
        <w:t xml:space="preserve"> </w:t>
      </w:r>
      <w:r w:rsidR="00632DA6">
        <w:t>–</w:t>
      </w:r>
      <w:r>
        <w:t xml:space="preserve"> </w:t>
      </w:r>
      <w:r w:rsidRPr="00F3105B">
        <w:t>nakłady na termomodernizację budynków użyteczności publicznej/komercyjnych z uwzględnieniem rekuperacji, zastąpienie źródeł ogrzewania i c.w.u., ogrzewania gazowego i kuchenek gazowych elektrycznością, wymiana i modernizacja oświetlenia ulicznego</w:t>
      </w:r>
      <w:r>
        <w:t>,</w:t>
      </w:r>
    </w:p>
    <w:p w14:paraId="3288E468" w14:textId="55AF136C" w:rsidR="00245783" w:rsidRDefault="00245783" w:rsidP="00245783">
      <w:pPr>
        <w:pStyle w:val="Akapitzlist"/>
        <w:numPr>
          <w:ilvl w:val="0"/>
          <w:numId w:val="6"/>
        </w:numPr>
      </w:pPr>
      <w:r w:rsidRPr="00632DA6">
        <w:rPr>
          <w:b/>
          <w:bCs/>
        </w:rPr>
        <w:t>w rolnictwie</w:t>
      </w:r>
      <w:r>
        <w:t xml:space="preserve"> </w:t>
      </w:r>
      <w:r w:rsidR="00632DA6">
        <w:t>–</w:t>
      </w:r>
      <w:r>
        <w:t xml:space="preserve"> </w:t>
      </w:r>
      <w:r w:rsidR="00864470">
        <w:t>z</w:t>
      </w:r>
      <w:r w:rsidR="00864470" w:rsidRPr="00864470">
        <w:t>astępowanie maszyn i procesów opartych na paliwach kopalnych rozwiązaniami zasilanymi energią elektryczną, nakłady na poprawę efektywności energetycznej poprzez termomodernizację budynków, wymianę i modernizację oświetlenia, zastąpienie źródeł ogrzewania i c.w.u., ogrzewania gazowego i kuchenek gazowych elektrycznością, wdrażanie praktyk ograniczających emisję GHG, w szczególności metanu poprzez zmianę metod uprawy i chowu zwierząt, rozwój rolnictwa ekologicznego</w:t>
      </w:r>
      <w:r w:rsidR="000746D2">
        <w:t>,</w:t>
      </w:r>
    </w:p>
    <w:p w14:paraId="48AF4079" w14:textId="789CD880" w:rsidR="00245783" w:rsidRDefault="00632DA6" w:rsidP="00245783">
      <w:pPr>
        <w:pStyle w:val="Akapitzlist"/>
        <w:numPr>
          <w:ilvl w:val="0"/>
          <w:numId w:val="6"/>
        </w:numPr>
      </w:pPr>
      <w:r w:rsidRPr="00632DA6">
        <w:rPr>
          <w:b/>
          <w:bCs/>
        </w:rPr>
        <w:t xml:space="preserve">w </w:t>
      </w:r>
      <w:r w:rsidR="00245783" w:rsidRPr="00632DA6">
        <w:rPr>
          <w:b/>
          <w:bCs/>
        </w:rPr>
        <w:t>sektorze energetycznym</w:t>
      </w:r>
      <w:r w:rsidR="00245783">
        <w:t xml:space="preserve"> – nakłady na budowę odnawialnych źródeł energii, </w:t>
      </w:r>
      <w:proofErr w:type="spellStart"/>
      <w:r w:rsidR="00245783">
        <w:t>biometanowni</w:t>
      </w:r>
      <w:proofErr w:type="spellEnd"/>
      <w:r w:rsidR="00245783">
        <w:t xml:space="preserve"> oraz</w:t>
      </w:r>
      <w:r w:rsidR="00245783" w:rsidRPr="00D059ED">
        <w:t xml:space="preserve"> modernizację źródeł wytwarzania energii elektrycznej i ciepła w skojarzeniu, a także nakłady na modernizację i budowę sieci przesyłowej i dystrybucyjnej oraz magazynów energii</w:t>
      </w:r>
      <w:r w:rsidR="00245783">
        <w:t>,</w:t>
      </w:r>
    </w:p>
    <w:p w14:paraId="064941DE" w14:textId="77777777" w:rsidR="00245783" w:rsidRDefault="00245783" w:rsidP="00245783">
      <w:pPr>
        <w:pStyle w:val="Akapitzlist"/>
        <w:numPr>
          <w:ilvl w:val="0"/>
          <w:numId w:val="6"/>
        </w:numPr>
      </w:pPr>
      <w:r w:rsidRPr="00632DA6">
        <w:rPr>
          <w:b/>
          <w:bCs/>
        </w:rPr>
        <w:t>w sektorze ciepłowniczym</w:t>
      </w:r>
      <w:r>
        <w:t xml:space="preserve"> – </w:t>
      </w:r>
      <w:r w:rsidRPr="005A4985">
        <w:t>nakłady na budowę i modernizację ciepłowni komercyjnych, sieci dystrybucji ciepła systemowego oraz magazynów ciepła, a także przyłączy energetycznych do ciepłowni w związku z elektryfikacją ciepła i rozwojem szczytowych źródeł kogeneracyjnych</w:t>
      </w:r>
      <w:r>
        <w:t>,</w:t>
      </w:r>
    </w:p>
    <w:p w14:paraId="4370A84E" w14:textId="77777777" w:rsidR="00245783" w:rsidRDefault="00245783" w:rsidP="00245783">
      <w:pPr>
        <w:pStyle w:val="Akapitzlist"/>
        <w:numPr>
          <w:ilvl w:val="0"/>
          <w:numId w:val="6"/>
        </w:numPr>
      </w:pPr>
      <w:r w:rsidRPr="00632DA6">
        <w:rPr>
          <w:b/>
          <w:bCs/>
        </w:rPr>
        <w:t>w sektorze gazowym</w:t>
      </w:r>
      <w:r>
        <w:t xml:space="preserve"> – </w:t>
      </w:r>
      <w:r w:rsidRPr="0096014A">
        <w:t>nakłady na rozbudowę i modernizację sieci gazowniczych, magazynów gazu</w:t>
      </w:r>
      <w:r w:rsidRPr="00D82745">
        <w:t xml:space="preserve"> i instalacji </w:t>
      </w:r>
      <w:proofErr w:type="spellStart"/>
      <w:r w:rsidRPr="00D82745">
        <w:t>regazyfikacyjnych</w:t>
      </w:r>
      <w:proofErr w:type="spellEnd"/>
      <w:r>
        <w:t>,</w:t>
      </w:r>
    </w:p>
    <w:p w14:paraId="53F59D30" w14:textId="59C96D59" w:rsidR="00245783" w:rsidRDefault="00245783" w:rsidP="00245783">
      <w:pPr>
        <w:pStyle w:val="Akapitzlist"/>
        <w:numPr>
          <w:ilvl w:val="0"/>
          <w:numId w:val="6"/>
        </w:numPr>
      </w:pPr>
      <w:r w:rsidRPr="00632DA6">
        <w:rPr>
          <w:b/>
          <w:bCs/>
        </w:rPr>
        <w:t>w sektorze paliw płynnych</w:t>
      </w:r>
      <w:r>
        <w:t xml:space="preserve"> – nakłady na modernizacje rafinerii, budowę zakładów produkcji </w:t>
      </w:r>
      <w:r w:rsidRPr="00775D36">
        <w:t xml:space="preserve">RFNBO oraz biopaliw, instalacji do </w:t>
      </w:r>
      <w:proofErr w:type="spellStart"/>
      <w:r w:rsidRPr="00775D36">
        <w:t>blendowania</w:t>
      </w:r>
      <w:proofErr w:type="spellEnd"/>
      <w:r w:rsidRPr="00775D36">
        <w:t xml:space="preserve"> paliw, rozwój infrastruktury dystrybucji paliw</w:t>
      </w:r>
      <w:r>
        <w:t>,</w:t>
      </w:r>
    </w:p>
    <w:p w14:paraId="109C2703" w14:textId="77777777" w:rsidR="00245783" w:rsidRDefault="00245783" w:rsidP="00245783">
      <w:pPr>
        <w:pStyle w:val="Akapitzlist"/>
        <w:numPr>
          <w:ilvl w:val="0"/>
          <w:numId w:val="6"/>
        </w:numPr>
      </w:pPr>
      <w:r w:rsidRPr="00632DA6">
        <w:rPr>
          <w:b/>
          <w:bCs/>
        </w:rPr>
        <w:t>w górnictwie</w:t>
      </w:r>
      <w:r>
        <w:t xml:space="preserve"> – koszty </w:t>
      </w:r>
      <w:r w:rsidRPr="0096014A">
        <w:t xml:space="preserve">zamykania kopalń i rekultywacji terenów </w:t>
      </w:r>
      <w:proofErr w:type="spellStart"/>
      <w:r w:rsidRPr="0096014A">
        <w:t>pogórniczych</w:t>
      </w:r>
      <w:proofErr w:type="spellEnd"/>
      <w:r>
        <w:t>.</w:t>
      </w:r>
    </w:p>
    <w:p w14:paraId="4B01E7E0" w14:textId="77777777" w:rsidR="00231310" w:rsidRPr="005D45FF" w:rsidRDefault="00231310" w:rsidP="005D45FF">
      <w:pPr>
        <w:rPr>
          <w:rFonts w:eastAsia="Aptos" w:cs="Arial"/>
          <w:kern w:val="0"/>
          <w:szCs w:val="20"/>
        </w:rPr>
      </w:pPr>
    </w:p>
    <w:p w14:paraId="285A16EB" w14:textId="5841B9C2" w:rsidR="005D45FF" w:rsidRPr="00646AB0" w:rsidRDefault="005D45FF" w:rsidP="00646AB0">
      <w:pPr>
        <w:spacing w:before="360"/>
        <w:rPr>
          <w:b/>
          <w:bCs/>
          <w:sz w:val="28"/>
          <w:szCs w:val="32"/>
        </w:rPr>
      </w:pPr>
      <w:r w:rsidRPr="00646AB0">
        <w:rPr>
          <w:b/>
          <w:bCs/>
          <w:sz w:val="28"/>
          <w:szCs w:val="32"/>
        </w:rPr>
        <w:t>Zestawienie potrzeb inwestycyjnych według scenariuszy WEM i WAM</w:t>
      </w:r>
    </w:p>
    <w:p w14:paraId="232DEE65" w14:textId="77777777" w:rsidR="005D45FF" w:rsidRPr="005D45FF" w:rsidRDefault="005D45FF" w:rsidP="005D45FF">
      <w:pPr>
        <w:rPr>
          <w:rFonts w:eastAsia="Aptos" w:cs="Arial"/>
          <w:b/>
          <w:bCs/>
          <w:kern w:val="0"/>
          <w:szCs w:val="20"/>
        </w:rPr>
      </w:pPr>
      <w:r w:rsidRPr="005D45FF">
        <w:rPr>
          <w:rFonts w:eastAsia="Aptos" w:cs="Arial"/>
          <w:b/>
          <w:bCs/>
          <w:kern w:val="0"/>
          <w:szCs w:val="20"/>
        </w:rPr>
        <w:t>Łączne nakłady inwestycyjne</w:t>
      </w:r>
    </w:p>
    <w:p w14:paraId="341F54EF" w14:textId="5CAA26DA" w:rsidR="005D45FF" w:rsidRPr="005D45FF" w:rsidRDefault="005D45FF" w:rsidP="00B20666">
      <w:pPr>
        <w:rPr>
          <w:rFonts w:eastAsia="Aptos" w:cs="Arial"/>
          <w:kern w:val="0"/>
          <w:szCs w:val="20"/>
        </w:rPr>
      </w:pPr>
      <w:r w:rsidRPr="005D45FF">
        <w:rPr>
          <w:rFonts w:eastAsia="Aptos" w:cs="Arial"/>
          <w:kern w:val="0"/>
          <w:szCs w:val="20"/>
        </w:rPr>
        <w:t xml:space="preserve">W poniższych tabelach zaprezentowano prognozowane nakłady inwestycyjne w sektorach paliwowo-energetycznych w podziale na sektory. Szczegółowe prognozowane nakłady inwestycyjne w sektorze energetycznym znajdują się w rozdziale </w:t>
      </w:r>
      <w:r w:rsidR="00EF6EA7">
        <w:rPr>
          <w:rFonts w:eastAsia="Aptos" w:cs="Arial"/>
          <w:kern w:val="0"/>
          <w:szCs w:val="20"/>
        </w:rPr>
        <w:t>4</w:t>
      </w:r>
      <w:r w:rsidRPr="005D45FF">
        <w:rPr>
          <w:rFonts w:eastAsia="Aptos" w:cs="Arial"/>
          <w:kern w:val="0"/>
          <w:szCs w:val="20"/>
        </w:rPr>
        <w:t xml:space="preserve">.3. Załącznika </w:t>
      </w:r>
      <w:r w:rsidR="003A0458">
        <w:rPr>
          <w:rFonts w:eastAsia="Aptos" w:cs="Arial"/>
          <w:kern w:val="0"/>
          <w:szCs w:val="20"/>
        </w:rPr>
        <w:t>1</w:t>
      </w:r>
      <w:r w:rsidRPr="005D45FF">
        <w:rPr>
          <w:rFonts w:eastAsia="Aptos" w:cs="Arial"/>
          <w:kern w:val="0"/>
          <w:szCs w:val="20"/>
        </w:rPr>
        <w:t>.</w:t>
      </w:r>
    </w:p>
    <w:p w14:paraId="1933A4FD" w14:textId="43E756D5" w:rsidR="00993E16" w:rsidRDefault="00993E16" w:rsidP="00AE1F66">
      <w:pPr>
        <w:pStyle w:val="Legenda"/>
        <w:rPr>
          <w:lang w:val="pl-PL" w:eastAsia="en-GB"/>
        </w:rPr>
      </w:pPr>
      <w:r w:rsidRPr="00403CC2">
        <w:rPr>
          <w:lang w:val="pl-PL"/>
        </w:rPr>
        <w:t xml:space="preserve">Tabela </w:t>
      </w:r>
      <w:r>
        <w:rPr>
          <w:lang w:val="pl-PL"/>
        </w:rPr>
        <w:fldChar w:fldCharType="begin"/>
      </w:r>
      <w:r>
        <w:rPr>
          <w:lang w:val="pl-PL"/>
        </w:rPr>
        <w:instrText xml:space="preserve"> STYLEREF 1 \s </w:instrText>
      </w:r>
      <w:r>
        <w:rPr>
          <w:lang w:val="pl-PL"/>
        </w:rPr>
        <w:fldChar w:fldCharType="separate"/>
      </w:r>
      <w:r w:rsidR="006314AC">
        <w:rPr>
          <w:noProof/>
          <w:lang w:val="pl-PL"/>
        </w:rPr>
        <w:t>1</w:t>
      </w:r>
      <w:r>
        <w:rPr>
          <w:lang w:val="pl-PL"/>
        </w:rPr>
        <w:fldChar w:fldCharType="end"/>
      </w:r>
      <w:r>
        <w:rPr>
          <w:lang w:val="pl-PL"/>
        </w:rPr>
        <w:t>.</w:t>
      </w:r>
      <w:r>
        <w:rPr>
          <w:lang w:val="pl-PL"/>
        </w:rPr>
        <w:fldChar w:fldCharType="begin"/>
      </w:r>
      <w:r>
        <w:rPr>
          <w:lang w:val="pl-PL"/>
        </w:rPr>
        <w:instrText xml:space="preserve"> SEQ Tabela \* ARABIC \s 1 </w:instrText>
      </w:r>
      <w:r>
        <w:rPr>
          <w:lang w:val="pl-PL"/>
        </w:rPr>
        <w:fldChar w:fldCharType="separate"/>
      </w:r>
      <w:r w:rsidR="006314AC">
        <w:rPr>
          <w:noProof/>
          <w:lang w:val="pl-PL"/>
        </w:rPr>
        <w:t>1</w:t>
      </w:r>
      <w:r>
        <w:rPr>
          <w:lang w:val="pl-PL"/>
        </w:rPr>
        <w:fldChar w:fldCharType="end"/>
      </w:r>
      <w:r w:rsidRPr="00403CC2">
        <w:rPr>
          <w:lang w:val="pl-PL"/>
        </w:rPr>
        <w:t xml:space="preserve">. </w:t>
      </w:r>
      <w:r w:rsidRPr="002E3F56">
        <w:rPr>
          <w:lang w:val="pl-PL" w:eastAsia="en-GB"/>
        </w:rPr>
        <w:t>Nakłady inwestycyjne w sektorach paliwowo-</w:t>
      </w:r>
      <w:r w:rsidRPr="00E91511">
        <w:rPr>
          <w:lang w:val="pl-PL"/>
        </w:rPr>
        <w:t>energetycznych</w:t>
      </w:r>
      <w:r w:rsidRPr="002E3F56">
        <w:rPr>
          <w:lang w:val="pl-PL" w:eastAsia="en-GB"/>
        </w:rPr>
        <w:t xml:space="preserve"> [mln </w:t>
      </w:r>
      <w:r>
        <w:rPr>
          <w:lang w:val="pl-PL" w:eastAsia="en-GB"/>
        </w:rPr>
        <w:t>PLN</w:t>
      </w:r>
      <w:r w:rsidR="001706B4">
        <w:rPr>
          <w:lang w:val="pl-PL" w:eastAsia="en-GB"/>
        </w:rPr>
        <w:t>’2024</w:t>
      </w:r>
      <w:r w:rsidRPr="002E3F56">
        <w:rPr>
          <w:lang w:val="pl-PL" w:eastAsia="en-GB"/>
        </w:rPr>
        <w:t>] dla scenariusza WEM</w:t>
      </w:r>
    </w:p>
    <w:tbl>
      <w:tblPr>
        <w:tblW w:w="8550" w:type="dxa"/>
        <w:tblCellMar>
          <w:left w:w="70" w:type="dxa"/>
          <w:right w:w="70" w:type="dxa"/>
        </w:tblCellMar>
        <w:tblLook w:val="04A0" w:firstRow="1" w:lastRow="0" w:firstColumn="1" w:lastColumn="0" w:noHBand="0" w:noVBand="1"/>
      </w:tblPr>
      <w:tblGrid>
        <w:gridCol w:w="1223"/>
        <w:gridCol w:w="2402"/>
        <w:gridCol w:w="946"/>
        <w:gridCol w:w="946"/>
        <w:gridCol w:w="946"/>
        <w:gridCol w:w="946"/>
        <w:gridCol w:w="1141"/>
      </w:tblGrid>
      <w:tr w:rsidR="00D8239D" w:rsidRPr="00D8239D" w14:paraId="0112BB2C" w14:textId="77777777" w:rsidTr="004C2DF8">
        <w:trPr>
          <w:trHeight w:val="275"/>
        </w:trPr>
        <w:tc>
          <w:tcPr>
            <w:tcW w:w="3625" w:type="dxa"/>
            <w:gridSpan w:val="2"/>
            <w:tcBorders>
              <w:top w:val="single" w:sz="4" w:space="0" w:color="auto"/>
              <w:left w:val="single" w:sz="4" w:space="0" w:color="auto"/>
              <w:bottom w:val="single" w:sz="4" w:space="0" w:color="auto"/>
              <w:right w:val="single" w:sz="4" w:space="0" w:color="000000"/>
            </w:tcBorders>
            <w:shd w:val="clear" w:color="000000" w:fill="70AD47"/>
            <w:noWrap/>
            <w:vAlign w:val="center"/>
            <w:hideMark/>
          </w:tcPr>
          <w:p w14:paraId="2627E36E" w14:textId="14C43142" w:rsidR="00D8239D" w:rsidRPr="00D8239D" w:rsidRDefault="004405EC" w:rsidP="00D8239D">
            <w:pPr>
              <w:spacing w:after="0" w:line="240" w:lineRule="auto"/>
              <w:jc w:val="center"/>
              <w:rPr>
                <w:rFonts w:eastAsia="Times New Roman" w:cs="Times New Roman"/>
                <w:b/>
                <w:bCs/>
                <w:color w:val="FFFFFF"/>
                <w:kern w:val="0"/>
                <w:sz w:val="16"/>
                <w:szCs w:val="16"/>
                <w:lang w:eastAsia="pl-PL"/>
                <w14:ligatures w14:val="none"/>
              </w:rPr>
            </w:pPr>
            <w:r>
              <w:rPr>
                <w:rFonts w:eastAsia="Times New Roman" w:cs="Times New Roman"/>
                <w:b/>
                <w:bCs/>
                <w:color w:val="FFFFFF"/>
                <w:kern w:val="0"/>
                <w:sz w:val="16"/>
                <w:szCs w:val="16"/>
                <w:lang w:eastAsia="pl-PL"/>
                <w14:ligatures w14:val="none"/>
              </w:rPr>
              <w:t>S</w:t>
            </w:r>
            <w:r w:rsidR="00D8239D" w:rsidRPr="00D8239D">
              <w:rPr>
                <w:rFonts w:eastAsia="Times New Roman" w:cs="Times New Roman"/>
                <w:b/>
                <w:bCs/>
                <w:color w:val="FFFFFF"/>
                <w:kern w:val="0"/>
                <w:sz w:val="16"/>
                <w:szCs w:val="16"/>
                <w:lang w:eastAsia="pl-PL"/>
                <w14:ligatures w14:val="none"/>
              </w:rPr>
              <w:t>ektor</w:t>
            </w:r>
          </w:p>
        </w:tc>
        <w:tc>
          <w:tcPr>
            <w:tcW w:w="946"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34CC215" w14:textId="1D37C1B8" w:rsidR="00D8239D" w:rsidRPr="00D8239D" w:rsidRDefault="00D8239D" w:rsidP="00D8239D">
            <w:pPr>
              <w:spacing w:after="0" w:line="240" w:lineRule="auto"/>
              <w:jc w:val="center"/>
              <w:rPr>
                <w:rFonts w:eastAsia="Times New Roman" w:cs="Times New Roman"/>
                <w:b/>
                <w:bCs/>
                <w:color w:val="FFFFFF"/>
                <w:kern w:val="0"/>
                <w:sz w:val="16"/>
                <w:szCs w:val="16"/>
                <w:lang w:eastAsia="pl-PL"/>
                <w14:ligatures w14:val="none"/>
              </w:rPr>
            </w:pPr>
            <w:r w:rsidRPr="00D8239D">
              <w:rPr>
                <w:rFonts w:eastAsia="Times New Roman" w:cs="Times New Roman"/>
                <w:b/>
                <w:bCs/>
                <w:color w:val="FFFFFF"/>
                <w:kern w:val="0"/>
                <w:sz w:val="16"/>
                <w:szCs w:val="16"/>
                <w:lang w:eastAsia="pl-PL"/>
                <w14:ligatures w14:val="none"/>
              </w:rPr>
              <w:t>2021</w:t>
            </w:r>
            <w:r w:rsidR="002A2374">
              <w:rPr>
                <w:rFonts w:eastAsia="Times New Roman" w:cs="Times New Roman"/>
                <w:b/>
                <w:bCs/>
                <w:color w:val="FFFFFF"/>
                <w:kern w:val="0"/>
                <w:sz w:val="16"/>
                <w:szCs w:val="16"/>
                <w:lang w:eastAsia="pl-PL"/>
                <w14:ligatures w14:val="none"/>
              </w:rPr>
              <w:t>–2</w:t>
            </w:r>
            <w:r w:rsidRPr="00D8239D">
              <w:rPr>
                <w:rFonts w:eastAsia="Times New Roman" w:cs="Times New Roman"/>
                <w:b/>
                <w:bCs/>
                <w:color w:val="FFFFFF"/>
                <w:kern w:val="0"/>
                <w:sz w:val="16"/>
                <w:szCs w:val="16"/>
                <w:lang w:eastAsia="pl-PL"/>
                <w14:ligatures w14:val="none"/>
              </w:rPr>
              <w:t>025</w:t>
            </w:r>
          </w:p>
        </w:tc>
        <w:tc>
          <w:tcPr>
            <w:tcW w:w="946" w:type="dxa"/>
            <w:tcBorders>
              <w:top w:val="single" w:sz="4" w:space="0" w:color="auto"/>
              <w:left w:val="nil"/>
              <w:bottom w:val="single" w:sz="4" w:space="0" w:color="auto"/>
              <w:right w:val="single" w:sz="4" w:space="0" w:color="auto"/>
            </w:tcBorders>
            <w:shd w:val="clear" w:color="000000" w:fill="70AD47"/>
            <w:noWrap/>
            <w:vAlign w:val="center"/>
            <w:hideMark/>
          </w:tcPr>
          <w:p w14:paraId="12BE98A4" w14:textId="10952219" w:rsidR="00D8239D" w:rsidRPr="00D8239D" w:rsidRDefault="00D8239D" w:rsidP="00D8239D">
            <w:pPr>
              <w:spacing w:after="0" w:line="240" w:lineRule="auto"/>
              <w:jc w:val="center"/>
              <w:rPr>
                <w:rFonts w:eastAsia="Times New Roman" w:cs="Times New Roman"/>
                <w:b/>
                <w:bCs/>
                <w:color w:val="FFFFFF"/>
                <w:kern w:val="0"/>
                <w:sz w:val="16"/>
                <w:szCs w:val="16"/>
                <w:lang w:eastAsia="pl-PL"/>
                <w14:ligatures w14:val="none"/>
              </w:rPr>
            </w:pPr>
            <w:r w:rsidRPr="00D8239D">
              <w:rPr>
                <w:rFonts w:eastAsia="Times New Roman" w:cs="Times New Roman"/>
                <w:b/>
                <w:bCs/>
                <w:color w:val="FFFFFF"/>
                <w:kern w:val="0"/>
                <w:sz w:val="16"/>
                <w:szCs w:val="16"/>
                <w:lang w:eastAsia="pl-PL"/>
                <w14:ligatures w14:val="none"/>
              </w:rPr>
              <w:t>2026</w:t>
            </w:r>
            <w:r w:rsidR="002A2374">
              <w:rPr>
                <w:rFonts w:eastAsia="Times New Roman" w:cs="Times New Roman"/>
                <w:b/>
                <w:bCs/>
                <w:color w:val="FFFFFF"/>
                <w:kern w:val="0"/>
                <w:sz w:val="16"/>
                <w:szCs w:val="16"/>
                <w:lang w:eastAsia="pl-PL"/>
                <w14:ligatures w14:val="none"/>
              </w:rPr>
              <w:t>–2</w:t>
            </w:r>
            <w:r w:rsidRPr="00D8239D">
              <w:rPr>
                <w:rFonts w:eastAsia="Times New Roman" w:cs="Times New Roman"/>
                <w:b/>
                <w:bCs/>
                <w:color w:val="FFFFFF"/>
                <w:kern w:val="0"/>
                <w:sz w:val="16"/>
                <w:szCs w:val="16"/>
                <w:lang w:eastAsia="pl-PL"/>
                <w14:ligatures w14:val="none"/>
              </w:rPr>
              <w:t>030</w:t>
            </w:r>
          </w:p>
        </w:tc>
        <w:tc>
          <w:tcPr>
            <w:tcW w:w="946" w:type="dxa"/>
            <w:tcBorders>
              <w:top w:val="single" w:sz="4" w:space="0" w:color="auto"/>
              <w:left w:val="nil"/>
              <w:bottom w:val="single" w:sz="4" w:space="0" w:color="auto"/>
              <w:right w:val="single" w:sz="4" w:space="0" w:color="auto"/>
            </w:tcBorders>
            <w:shd w:val="clear" w:color="000000" w:fill="70AD47"/>
            <w:noWrap/>
            <w:vAlign w:val="center"/>
            <w:hideMark/>
          </w:tcPr>
          <w:p w14:paraId="34F28C78" w14:textId="5D256809" w:rsidR="00D8239D" w:rsidRPr="00D8239D" w:rsidRDefault="00D8239D" w:rsidP="00D8239D">
            <w:pPr>
              <w:spacing w:after="0" w:line="240" w:lineRule="auto"/>
              <w:jc w:val="center"/>
              <w:rPr>
                <w:rFonts w:eastAsia="Times New Roman" w:cs="Times New Roman"/>
                <w:b/>
                <w:bCs/>
                <w:color w:val="FFFFFF"/>
                <w:kern w:val="0"/>
                <w:sz w:val="16"/>
                <w:szCs w:val="16"/>
                <w:lang w:eastAsia="pl-PL"/>
                <w14:ligatures w14:val="none"/>
              </w:rPr>
            </w:pPr>
            <w:r w:rsidRPr="00D8239D">
              <w:rPr>
                <w:rFonts w:eastAsia="Times New Roman" w:cs="Times New Roman"/>
                <w:b/>
                <w:bCs/>
                <w:color w:val="FFFFFF"/>
                <w:kern w:val="0"/>
                <w:sz w:val="16"/>
                <w:szCs w:val="16"/>
                <w:lang w:eastAsia="pl-PL"/>
                <w14:ligatures w14:val="none"/>
              </w:rPr>
              <w:t>2031</w:t>
            </w:r>
            <w:r w:rsidR="002A2374">
              <w:rPr>
                <w:rFonts w:eastAsia="Times New Roman" w:cs="Times New Roman"/>
                <w:b/>
                <w:bCs/>
                <w:color w:val="FFFFFF"/>
                <w:kern w:val="0"/>
                <w:sz w:val="16"/>
                <w:szCs w:val="16"/>
                <w:lang w:eastAsia="pl-PL"/>
                <w14:ligatures w14:val="none"/>
              </w:rPr>
              <w:t>–2</w:t>
            </w:r>
            <w:r w:rsidRPr="00D8239D">
              <w:rPr>
                <w:rFonts w:eastAsia="Times New Roman" w:cs="Times New Roman"/>
                <w:b/>
                <w:bCs/>
                <w:color w:val="FFFFFF"/>
                <w:kern w:val="0"/>
                <w:sz w:val="16"/>
                <w:szCs w:val="16"/>
                <w:lang w:eastAsia="pl-PL"/>
                <w14:ligatures w14:val="none"/>
              </w:rPr>
              <w:t>035</w:t>
            </w:r>
          </w:p>
        </w:tc>
        <w:tc>
          <w:tcPr>
            <w:tcW w:w="946" w:type="dxa"/>
            <w:tcBorders>
              <w:top w:val="single" w:sz="4" w:space="0" w:color="auto"/>
              <w:left w:val="nil"/>
              <w:bottom w:val="single" w:sz="4" w:space="0" w:color="auto"/>
              <w:right w:val="single" w:sz="4" w:space="0" w:color="auto"/>
            </w:tcBorders>
            <w:shd w:val="clear" w:color="000000" w:fill="70AD47"/>
            <w:noWrap/>
            <w:vAlign w:val="center"/>
            <w:hideMark/>
          </w:tcPr>
          <w:p w14:paraId="5803969B" w14:textId="64ACDEED" w:rsidR="00D8239D" w:rsidRPr="00D8239D" w:rsidRDefault="00D8239D" w:rsidP="00D8239D">
            <w:pPr>
              <w:spacing w:after="0" w:line="240" w:lineRule="auto"/>
              <w:jc w:val="center"/>
              <w:rPr>
                <w:rFonts w:eastAsia="Times New Roman" w:cs="Times New Roman"/>
                <w:b/>
                <w:bCs/>
                <w:color w:val="FFFFFF"/>
                <w:kern w:val="0"/>
                <w:sz w:val="16"/>
                <w:szCs w:val="16"/>
                <w:lang w:eastAsia="pl-PL"/>
                <w14:ligatures w14:val="none"/>
              </w:rPr>
            </w:pPr>
            <w:r w:rsidRPr="00D8239D">
              <w:rPr>
                <w:rFonts w:eastAsia="Times New Roman" w:cs="Times New Roman"/>
                <w:b/>
                <w:bCs/>
                <w:color w:val="FFFFFF"/>
                <w:kern w:val="0"/>
                <w:sz w:val="16"/>
                <w:szCs w:val="16"/>
                <w:lang w:eastAsia="pl-PL"/>
                <w14:ligatures w14:val="none"/>
              </w:rPr>
              <w:t>2036</w:t>
            </w:r>
            <w:r w:rsidR="002A2374">
              <w:rPr>
                <w:rFonts w:eastAsia="Times New Roman" w:cs="Times New Roman"/>
                <w:b/>
                <w:bCs/>
                <w:color w:val="FFFFFF"/>
                <w:kern w:val="0"/>
                <w:sz w:val="16"/>
                <w:szCs w:val="16"/>
                <w:lang w:eastAsia="pl-PL"/>
                <w14:ligatures w14:val="none"/>
              </w:rPr>
              <w:t>–2</w:t>
            </w:r>
            <w:r w:rsidRPr="00D8239D">
              <w:rPr>
                <w:rFonts w:eastAsia="Times New Roman" w:cs="Times New Roman"/>
                <w:b/>
                <w:bCs/>
                <w:color w:val="FFFFFF"/>
                <w:kern w:val="0"/>
                <w:sz w:val="16"/>
                <w:szCs w:val="16"/>
                <w:lang w:eastAsia="pl-PL"/>
                <w14:ligatures w14:val="none"/>
              </w:rPr>
              <w:t>040</w:t>
            </w:r>
          </w:p>
        </w:tc>
        <w:tc>
          <w:tcPr>
            <w:tcW w:w="1141" w:type="dxa"/>
            <w:tcBorders>
              <w:top w:val="single" w:sz="4" w:space="0" w:color="auto"/>
              <w:left w:val="nil"/>
              <w:bottom w:val="single" w:sz="4" w:space="0" w:color="auto"/>
              <w:right w:val="single" w:sz="4" w:space="0" w:color="auto"/>
            </w:tcBorders>
            <w:shd w:val="clear" w:color="000000" w:fill="70AD47"/>
            <w:noWrap/>
            <w:vAlign w:val="center"/>
            <w:hideMark/>
          </w:tcPr>
          <w:p w14:paraId="1CB5AF4C" w14:textId="79C0425F" w:rsidR="00D8239D" w:rsidRPr="00D8239D" w:rsidRDefault="00D8239D" w:rsidP="00D8239D">
            <w:pPr>
              <w:spacing w:after="0" w:line="240" w:lineRule="auto"/>
              <w:jc w:val="center"/>
              <w:rPr>
                <w:rFonts w:eastAsia="Times New Roman" w:cs="Times New Roman"/>
                <w:b/>
                <w:bCs/>
                <w:color w:val="FFFFFF"/>
                <w:kern w:val="0"/>
                <w:sz w:val="16"/>
                <w:szCs w:val="16"/>
                <w:lang w:eastAsia="pl-PL"/>
                <w14:ligatures w14:val="none"/>
              </w:rPr>
            </w:pPr>
            <w:r w:rsidRPr="00D8239D">
              <w:rPr>
                <w:rFonts w:eastAsia="Times New Roman" w:cs="Times New Roman"/>
                <w:b/>
                <w:bCs/>
                <w:color w:val="FFFFFF"/>
                <w:kern w:val="0"/>
                <w:sz w:val="16"/>
                <w:szCs w:val="16"/>
                <w:lang w:eastAsia="pl-PL"/>
                <w14:ligatures w14:val="none"/>
              </w:rPr>
              <w:t>2021</w:t>
            </w:r>
            <w:r w:rsidR="002A2374">
              <w:rPr>
                <w:rFonts w:eastAsia="Times New Roman" w:cs="Times New Roman"/>
                <w:b/>
                <w:bCs/>
                <w:color w:val="FFFFFF"/>
                <w:kern w:val="0"/>
                <w:sz w:val="16"/>
                <w:szCs w:val="16"/>
                <w:lang w:eastAsia="pl-PL"/>
                <w14:ligatures w14:val="none"/>
              </w:rPr>
              <w:t>–2</w:t>
            </w:r>
            <w:r w:rsidRPr="00D8239D">
              <w:rPr>
                <w:rFonts w:eastAsia="Times New Roman" w:cs="Times New Roman"/>
                <w:b/>
                <w:bCs/>
                <w:color w:val="FFFFFF"/>
                <w:kern w:val="0"/>
                <w:sz w:val="16"/>
                <w:szCs w:val="16"/>
                <w:lang w:eastAsia="pl-PL"/>
                <w14:ligatures w14:val="none"/>
              </w:rPr>
              <w:t>040</w:t>
            </w:r>
          </w:p>
        </w:tc>
      </w:tr>
      <w:tr w:rsidR="003767B5" w:rsidRPr="00D8239D" w14:paraId="56A017BD" w14:textId="77777777" w:rsidTr="00566C5D">
        <w:trPr>
          <w:trHeight w:val="275"/>
        </w:trPr>
        <w:tc>
          <w:tcPr>
            <w:tcW w:w="362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A3422D" w14:textId="77777777" w:rsidR="003767B5" w:rsidRPr="00D8239D" w:rsidRDefault="003767B5" w:rsidP="003767B5">
            <w:pPr>
              <w:spacing w:after="0" w:line="240" w:lineRule="auto"/>
              <w:rPr>
                <w:rFonts w:eastAsia="Times New Roman" w:cs="Times New Roman"/>
                <w:color w:val="000000"/>
                <w:kern w:val="0"/>
                <w:sz w:val="16"/>
                <w:szCs w:val="16"/>
                <w:lang w:eastAsia="pl-PL"/>
                <w14:ligatures w14:val="none"/>
              </w:rPr>
            </w:pPr>
            <w:r w:rsidRPr="00D8239D">
              <w:rPr>
                <w:rFonts w:eastAsia="Times New Roman" w:cs="Times New Roman"/>
                <w:color w:val="000000"/>
                <w:kern w:val="0"/>
                <w:sz w:val="16"/>
                <w:szCs w:val="16"/>
                <w:lang w:eastAsia="pl-PL"/>
                <w14:ligatures w14:val="none"/>
              </w:rPr>
              <w:t>Łączne nakłady inwestycyjne</w:t>
            </w:r>
          </w:p>
        </w:tc>
        <w:tc>
          <w:tcPr>
            <w:tcW w:w="946" w:type="dxa"/>
            <w:tcBorders>
              <w:top w:val="nil"/>
              <w:left w:val="single" w:sz="4" w:space="0" w:color="auto"/>
              <w:bottom w:val="single" w:sz="4" w:space="0" w:color="auto"/>
              <w:right w:val="single" w:sz="4" w:space="0" w:color="auto"/>
            </w:tcBorders>
            <w:shd w:val="clear" w:color="auto" w:fill="auto"/>
            <w:noWrap/>
            <w:hideMark/>
          </w:tcPr>
          <w:p w14:paraId="002EA539" w14:textId="0A5A376D"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823 797</w:t>
            </w:r>
          </w:p>
        </w:tc>
        <w:tc>
          <w:tcPr>
            <w:tcW w:w="946" w:type="dxa"/>
            <w:tcBorders>
              <w:top w:val="nil"/>
              <w:left w:val="nil"/>
              <w:bottom w:val="single" w:sz="4" w:space="0" w:color="auto"/>
              <w:right w:val="single" w:sz="4" w:space="0" w:color="auto"/>
            </w:tcBorders>
            <w:shd w:val="clear" w:color="auto" w:fill="auto"/>
            <w:noWrap/>
            <w:hideMark/>
          </w:tcPr>
          <w:p w14:paraId="188537BA" w14:textId="0828A12A"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882 192</w:t>
            </w:r>
          </w:p>
        </w:tc>
        <w:tc>
          <w:tcPr>
            <w:tcW w:w="946" w:type="dxa"/>
            <w:tcBorders>
              <w:top w:val="nil"/>
              <w:left w:val="nil"/>
              <w:bottom w:val="single" w:sz="4" w:space="0" w:color="auto"/>
              <w:right w:val="single" w:sz="4" w:space="0" w:color="auto"/>
            </w:tcBorders>
            <w:shd w:val="clear" w:color="auto" w:fill="auto"/>
            <w:noWrap/>
            <w:hideMark/>
          </w:tcPr>
          <w:p w14:paraId="49B7A101" w14:textId="494FE3EA"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617 657</w:t>
            </w:r>
          </w:p>
        </w:tc>
        <w:tc>
          <w:tcPr>
            <w:tcW w:w="946" w:type="dxa"/>
            <w:tcBorders>
              <w:top w:val="nil"/>
              <w:left w:val="nil"/>
              <w:bottom w:val="single" w:sz="4" w:space="0" w:color="auto"/>
              <w:right w:val="single" w:sz="4" w:space="0" w:color="auto"/>
            </w:tcBorders>
            <w:shd w:val="clear" w:color="auto" w:fill="auto"/>
            <w:noWrap/>
            <w:hideMark/>
          </w:tcPr>
          <w:p w14:paraId="24A881AE" w14:textId="02537478"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808 024</w:t>
            </w:r>
          </w:p>
        </w:tc>
        <w:tc>
          <w:tcPr>
            <w:tcW w:w="1141" w:type="dxa"/>
            <w:tcBorders>
              <w:top w:val="nil"/>
              <w:left w:val="nil"/>
              <w:bottom w:val="single" w:sz="4" w:space="0" w:color="auto"/>
              <w:right w:val="single" w:sz="4" w:space="0" w:color="auto"/>
            </w:tcBorders>
            <w:shd w:val="clear" w:color="auto" w:fill="auto"/>
            <w:noWrap/>
            <w:hideMark/>
          </w:tcPr>
          <w:p w14:paraId="6F83C5DA" w14:textId="0089DD82"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3 131 670</w:t>
            </w:r>
          </w:p>
        </w:tc>
      </w:tr>
      <w:tr w:rsidR="003767B5" w:rsidRPr="00D8239D" w14:paraId="3CC95452" w14:textId="77777777" w:rsidTr="00566C5D">
        <w:trPr>
          <w:trHeight w:val="275"/>
        </w:trPr>
        <w:tc>
          <w:tcPr>
            <w:tcW w:w="362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5A58A3D" w14:textId="17D6046E" w:rsidR="003767B5" w:rsidRPr="00D8239D" w:rsidRDefault="003767B5" w:rsidP="003767B5">
            <w:pPr>
              <w:spacing w:after="0" w:line="240" w:lineRule="auto"/>
              <w:rPr>
                <w:rFonts w:eastAsia="Times New Roman" w:cs="Times New Roman"/>
                <w:color w:val="000000"/>
                <w:kern w:val="0"/>
                <w:sz w:val="16"/>
                <w:szCs w:val="16"/>
                <w:lang w:eastAsia="pl-PL"/>
                <w14:ligatures w14:val="none"/>
              </w:rPr>
            </w:pPr>
            <w:r w:rsidRPr="00D8239D">
              <w:rPr>
                <w:rFonts w:eastAsia="Times New Roman" w:cs="Times New Roman"/>
                <w:color w:val="000000"/>
                <w:kern w:val="0"/>
                <w:sz w:val="16"/>
                <w:szCs w:val="16"/>
                <w:lang w:eastAsia="pl-PL"/>
                <w14:ligatures w14:val="none"/>
              </w:rPr>
              <w:t>Przemysł</w:t>
            </w:r>
          </w:p>
        </w:tc>
        <w:tc>
          <w:tcPr>
            <w:tcW w:w="946" w:type="dxa"/>
            <w:tcBorders>
              <w:top w:val="nil"/>
              <w:left w:val="single" w:sz="4" w:space="0" w:color="auto"/>
              <w:bottom w:val="single" w:sz="4" w:space="0" w:color="auto"/>
              <w:right w:val="single" w:sz="4" w:space="0" w:color="auto"/>
            </w:tcBorders>
            <w:shd w:val="clear" w:color="auto" w:fill="auto"/>
            <w:noWrap/>
            <w:hideMark/>
          </w:tcPr>
          <w:p w14:paraId="1AB5356E" w14:textId="553C18BE"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36 289</w:t>
            </w:r>
          </w:p>
        </w:tc>
        <w:tc>
          <w:tcPr>
            <w:tcW w:w="946" w:type="dxa"/>
            <w:tcBorders>
              <w:top w:val="nil"/>
              <w:left w:val="nil"/>
              <w:bottom w:val="single" w:sz="4" w:space="0" w:color="auto"/>
              <w:right w:val="single" w:sz="4" w:space="0" w:color="auto"/>
            </w:tcBorders>
            <w:shd w:val="clear" w:color="auto" w:fill="auto"/>
            <w:noWrap/>
            <w:hideMark/>
          </w:tcPr>
          <w:p w14:paraId="34CF8CB0" w14:textId="4E8B4337"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29 055</w:t>
            </w:r>
          </w:p>
        </w:tc>
        <w:tc>
          <w:tcPr>
            <w:tcW w:w="946" w:type="dxa"/>
            <w:tcBorders>
              <w:top w:val="nil"/>
              <w:left w:val="nil"/>
              <w:bottom w:val="single" w:sz="4" w:space="0" w:color="auto"/>
              <w:right w:val="single" w:sz="4" w:space="0" w:color="auto"/>
            </w:tcBorders>
            <w:shd w:val="clear" w:color="auto" w:fill="auto"/>
            <w:noWrap/>
            <w:hideMark/>
          </w:tcPr>
          <w:p w14:paraId="1954F99B" w14:textId="0A92D109"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33 112</w:t>
            </w:r>
          </w:p>
        </w:tc>
        <w:tc>
          <w:tcPr>
            <w:tcW w:w="946" w:type="dxa"/>
            <w:tcBorders>
              <w:top w:val="nil"/>
              <w:left w:val="nil"/>
              <w:bottom w:val="single" w:sz="4" w:space="0" w:color="auto"/>
              <w:right w:val="single" w:sz="4" w:space="0" w:color="auto"/>
            </w:tcBorders>
            <w:shd w:val="clear" w:color="auto" w:fill="auto"/>
            <w:noWrap/>
            <w:hideMark/>
          </w:tcPr>
          <w:p w14:paraId="6BF87597" w14:textId="26961AF0"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32 677</w:t>
            </w:r>
          </w:p>
        </w:tc>
        <w:tc>
          <w:tcPr>
            <w:tcW w:w="1141" w:type="dxa"/>
            <w:tcBorders>
              <w:top w:val="nil"/>
              <w:left w:val="nil"/>
              <w:bottom w:val="single" w:sz="4" w:space="0" w:color="auto"/>
              <w:right w:val="single" w:sz="4" w:space="0" w:color="auto"/>
            </w:tcBorders>
            <w:shd w:val="clear" w:color="auto" w:fill="auto"/>
            <w:noWrap/>
            <w:hideMark/>
          </w:tcPr>
          <w:p w14:paraId="35C40A3B" w14:textId="3C6C45C5"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131 134</w:t>
            </w:r>
          </w:p>
        </w:tc>
      </w:tr>
      <w:tr w:rsidR="003767B5" w:rsidRPr="00D8239D" w14:paraId="4955C4C4" w14:textId="77777777" w:rsidTr="00566C5D">
        <w:trPr>
          <w:trHeight w:val="275"/>
        </w:trPr>
        <w:tc>
          <w:tcPr>
            <w:tcW w:w="3625" w:type="dxa"/>
            <w:gridSpan w:val="2"/>
            <w:tcBorders>
              <w:top w:val="nil"/>
              <w:left w:val="single" w:sz="4" w:space="0" w:color="auto"/>
              <w:bottom w:val="single" w:sz="4" w:space="0" w:color="auto"/>
              <w:right w:val="single" w:sz="4" w:space="0" w:color="auto"/>
            </w:tcBorders>
            <w:shd w:val="clear" w:color="auto" w:fill="auto"/>
            <w:noWrap/>
            <w:vAlign w:val="center"/>
            <w:hideMark/>
          </w:tcPr>
          <w:p w14:paraId="3975674E" w14:textId="14CAB9ED" w:rsidR="003767B5" w:rsidRPr="00D8239D" w:rsidRDefault="003767B5" w:rsidP="003767B5">
            <w:pPr>
              <w:spacing w:after="0" w:line="240" w:lineRule="auto"/>
              <w:rPr>
                <w:rFonts w:eastAsia="Times New Roman" w:cs="Times New Roman"/>
                <w:color w:val="000000"/>
                <w:kern w:val="0"/>
                <w:sz w:val="16"/>
                <w:szCs w:val="16"/>
                <w:lang w:eastAsia="pl-PL"/>
                <w14:ligatures w14:val="none"/>
              </w:rPr>
            </w:pPr>
            <w:r w:rsidRPr="00D8239D">
              <w:rPr>
                <w:rFonts w:eastAsia="Times New Roman" w:cs="Times New Roman"/>
                <w:color w:val="000000"/>
                <w:kern w:val="0"/>
                <w:sz w:val="16"/>
                <w:szCs w:val="16"/>
                <w:lang w:eastAsia="pl-PL"/>
                <w14:ligatures w14:val="none"/>
              </w:rPr>
              <w:t>Transport</w:t>
            </w:r>
          </w:p>
        </w:tc>
        <w:tc>
          <w:tcPr>
            <w:tcW w:w="946" w:type="dxa"/>
            <w:tcBorders>
              <w:top w:val="nil"/>
              <w:left w:val="single" w:sz="4" w:space="0" w:color="auto"/>
              <w:bottom w:val="single" w:sz="4" w:space="0" w:color="auto"/>
              <w:right w:val="single" w:sz="4" w:space="0" w:color="auto"/>
            </w:tcBorders>
            <w:shd w:val="clear" w:color="auto" w:fill="auto"/>
            <w:noWrap/>
            <w:hideMark/>
          </w:tcPr>
          <w:p w14:paraId="6808EECE" w14:textId="1D0CE8C9"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245 202</w:t>
            </w:r>
          </w:p>
        </w:tc>
        <w:tc>
          <w:tcPr>
            <w:tcW w:w="946" w:type="dxa"/>
            <w:tcBorders>
              <w:top w:val="nil"/>
              <w:left w:val="nil"/>
              <w:bottom w:val="single" w:sz="4" w:space="0" w:color="auto"/>
              <w:right w:val="single" w:sz="4" w:space="0" w:color="auto"/>
            </w:tcBorders>
            <w:shd w:val="clear" w:color="auto" w:fill="auto"/>
            <w:noWrap/>
            <w:hideMark/>
          </w:tcPr>
          <w:p w14:paraId="39BE3C03" w14:textId="4577B276"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200 866</w:t>
            </w:r>
          </w:p>
        </w:tc>
        <w:tc>
          <w:tcPr>
            <w:tcW w:w="946" w:type="dxa"/>
            <w:tcBorders>
              <w:top w:val="nil"/>
              <w:left w:val="nil"/>
              <w:bottom w:val="single" w:sz="4" w:space="0" w:color="auto"/>
              <w:right w:val="single" w:sz="4" w:space="0" w:color="auto"/>
            </w:tcBorders>
            <w:shd w:val="clear" w:color="auto" w:fill="auto"/>
            <w:noWrap/>
            <w:hideMark/>
          </w:tcPr>
          <w:p w14:paraId="52111D80" w14:textId="34725FD3"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104 066</w:t>
            </w:r>
          </w:p>
        </w:tc>
        <w:tc>
          <w:tcPr>
            <w:tcW w:w="946" w:type="dxa"/>
            <w:tcBorders>
              <w:top w:val="nil"/>
              <w:left w:val="nil"/>
              <w:bottom w:val="single" w:sz="4" w:space="0" w:color="auto"/>
              <w:right w:val="single" w:sz="4" w:space="0" w:color="auto"/>
            </w:tcBorders>
            <w:shd w:val="clear" w:color="auto" w:fill="auto"/>
            <w:noWrap/>
            <w:hideMark/>
          </w:tcPr>
          <w:p w14:paraId="75A58C3E" w14:textId="10F5FA3F"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84 775</w:t>
            </w:r>
          </w:p>
        </w:tc>
        <w:tc>
          <w:tcPr>
            <w:tcW w:w="1141" w:type="dxa"/>
            <w:tcBorders>
              <w:top w:val="nil"/>
              <w:left w:val="nil"/>
              <w:bottom w:val="single" w:sz="4" w:space="0" w:color="auto"/>
              <w:right w:val="single" w:sz="4" w:space="0" w:color="auto"/>
            </w:tcBorders>
            <w:shd w:val="clear" w:color="auto" w:fill="auto"/>
            <w:noWrap/>
            <w:hideMark/>
          </w:tcPr>
          <w:p w14:paraId="6B021112" w14:textId="2AC6EFC1"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634 909</w:t>
            </w:r>
          </w:p>
        </w:tc>
      </w:tr>
      <w:tr w:rsidR="003767B5" w:rsidRPr="00D8239D" w14:paraId="4B13A271" w14:textId="77777777" w:rsidTr="00566C5D">
        <w:trPr>
          <w:trHeight w:val="275"/>
        </w:trPr>
        <w:tc>
          <w:tcPr>
            <w:tcW w:w="362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6A7C53" w14:textId="77777777" w:rsidR="003767B5" w:rsidRPr="00D8239D" w:rsidRDefault="003767B5" w:rsidP="003767B5">
            <w:pPr>
              <w:spacing w:after="0" w:line="240" w:lineRule="auto"/>
              <w:rPr>
                <w:rFonts w:eastAsia="Times New Roman" w:cs="Times New Roman"/>
                <w:color w:val="000000"/>
                <w:kern w:val="0"/>
                <w:sz w:val="16"/>
                <w:szCs w:val="16"/>
                <w:lang w:eastAsia="pl-PL"/>
                <w14:ligatures w14:val="none"/>
              </w:rPr>
            </w:pPr>
            <w:r w:rsidRPr="00D8239D">
              <w:rPr>
                <w:rFonts w:eastAsia="Times New Roman" w:cs="Times New Roman"/>
                <w:color w:val="000000"/>
                <w:kern w:val="0"/>
                <w:sz w:val="16"/>
                <w:szCs w:val="16"/>
                <w:lang w:eastAsia="pl-PL"/>
                <w14:ligatures w14:val="none"/>
              </w:rPr>
              <w:t>Gospodarstwa domowe</w:t>
            </w:r>
          </w:p>
        </w:tc>
        <w:tc>
          <w:tcPr>
            <w:tcW w:w="946" w:type="dxa"/>
            <w:tcBorders>
              <w:top w:val="nil"/>
              <w:left w:val="single" w:sz="4" w:space="0" w:color="auto"/>
              <w:bottom w:val="single" w:sz="4" w:space="0" w:color="auto"/>
              <w:right w:val="single" w:sz="4" w:space="0" w:color="auto"/>
            </w:tcBorders>
            <w:shd w:val="clear" w:color="auto" w:fill="auto"/>
            <w:noWrap/>
            <w:hideMark/>
          </w:tcPr>
          <w:p w14:paraId="62307649" w14:textId="6F8339DE"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100 454</w:t>
            </w:r>
          </w:p>
        </w:tc>
        <w:tc>
          <w:tcPr>
            <w:tcW w:w="946" w:type="dxa"/>
            <w:tcBorders>
              <w:top w:val="nil"/>
              <w:left w:val="nil"/>
              <w:bottom w:val="single" w:sz="4" w:space="0" w:color="auto"/>
              <w:right w:val="single" w:sz="4" w:space="0" w:color="auto"/>
            </w:tcBorders>
            <w:shd w:val="clear" w:color="auto" w:fill="auto"/>
            <w:noWrap/>
            <w:hideMark/>
          </w:tcPr>
          <w:p w14:paraId="7836AB5A" w14:textId="4A9666F7"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107 305</w:t>
            </w:r>
          </w:p>
        </w:tc>
        <w:tc>
          <w:tcPr>
            <w:tcW w:w="946" w:type="dxa"/>
            <w:tcBorders>
              <w:top w:val="nil"/>
              <w:left w:val="nil"/>
              <w:bottom w:val="single" w:sz="4" w:space="0" w:color="auto"/>
              <w:right w:val="single" w:sz="4" w:space="0" w:color="auto"/>
            </w:tcBorders>
            <w:shd w:val="clear" w:color="auto" w:fill="auto"/>
            <w:noWrap/>
            <w:hideMark/>
          </w:tcPr>
          <w:p w14:paraId="64589DEB" w14:textId="17AB639E"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78 772</w:t>
            </w:r>
          </w:p>
        </w:tc>
        <w:tc>
          <w:tcPr>
            <w:tcW w:w="946" w:type="dxa"/>
            <w:tcBorders>
              <w:top w:val="nil"/>
              <w:left w:val="nil"/>
              <w:bottom w:val="single" w:sz="4" w:space="0" w:color="auto"/>
              <w:right w:val="single" w:sz="4" w:space="0" w:color="auto"/>
            </w:tcBorders>
            <w:shd w:val="clear" w:color="auto" w:fill="auto"/>
            <w:noWrap/>
            <w:hideMark/>
          </w:tcPr>
          <w:p w14:paraId="36AF34E3" w14:textId="59E80B8D"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55 575</w:t>
            </w:r>
          </w:p>
        </w:tc>
        <w:tc>
          <w:tcPr>
            <w:tcW w:w="1141" w:type="dxa"/>
            <w:tcBorders>
              <w:top w:val="nil"/>
              <w:left w:val="nil"/>
              <w:bottom w:val="single" w:sz="4" w:space="0" w:color="auto"/>
              <w:right w:val="single" w:sz="4" w:space="0" w:color="auto"/>
            </w:tcBorders>
            <w:shd w:val="clear" w:color="auto" w:fill="auto"/>
            <w:noWrap/>
            <w:hideMark/>
          </w:tcPr>
          <w:p w14:paraId="7A8CAD3F" w14:textId="2193BFF9"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342 106</w:t>
            </w:r>
          </w:p>
        </w:tc>
      </w:tr>
      <w:tr w:rsidR="003767B5" w:rsidRPr="00D8239D" w14:paraId="13E63F48" w14:textId="77777777" w:rsidTr="00566C5D">
        <w:trPr>
          <w:trHeight w:val="275"/>
        </w:trPr>
        <w:tc>
          <w:tcPr>
            <w:tcW w:w="362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242CE04" w14:textId="3B2D9C83" w:rsidR="003767B5" w:rsidRPr="00D8239D" w:rsidRDefault="003767B5" w:rsidP="003767B5">
            <w:pPr>
              <w:spacing w:after="0" w:line="240" w:lineRule="auto"/>
              <w:rPr>
                <w:rFonts w:eastAsia="Times New Roman" w:cs="Times New Roman"/>
                <w:color w:val="000000"/>
                <w:kern w:val="0"/>
                <w:sz w:val="16"/>
                <w:szCs w:val="16"/>
                <w:lang w:eastAsia="pl-PL"/>
                <w14:ligatures w14:val="none"/>
              </w:rPr>
            </w:pPr>
            <w:r w:rsidRPr="00D8239D">
              <w:rPr>
                <w:rFonts w:eastAsia="Times New Roman" w:cs="Times New Roman"/>
                <w:color w:val="000000"/>
                <w:kern w:val="0"/>
                <w:sz w:val="16"/>
                <w:szCs w:val="16"/>
                <w:lang w:eastAsia="pl-PL"/>
                <w14:ligatures w14:val="none"/>
              </w:rPr>
              <w:t>Usługi</w:t>
            </w:r>
          </w:p>
        </w:tc>
        <w:tc>
          <w:tcPr>
            <w:tcW w:w="946" w:type="dxa"/>
            <w:tcBorders>
              <w:top w:val="nil"/>
              <w:left w:val="single" w:sz="4" w:space="0" w:color="auto"/>
              <w:bottom w:val="single" w:sz="4" w:space="0" w:color="auto"/>
              <w:right w:val="single" w:sz="4" w:space="0" w:color="auto"/>
            </w:tcBorders>
            <w:shd w:val="clear" w:color="auto" w:fill="auto"/>
            <w:noWrap/>
            <w:hideMark/>
          </w:tcPr>
          <w:p w14:paraId="37E66CA9" w14:textId="5DBA2F00"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9 707</w:t>
            </w:r>
          </w:p>
        </w:tc>
        <w:tc>
          <w:tcPr>
            <w:tcW w:w="946" w:type="dxa"/>
            <w:tcBorders>
              <w:top w:val="nil"/>
              <w:left w:val="nil"/>
              <w:bottom w:val="single" w:sz="4" w:space="0" w:color="auto"/>
              <w:right w:val="single" w:sz="4" w:space="0" w:color="auto"/>
            </w:tcBorders>
            <w:shd w:val="clear" w:color="auto" w:fill="auto"/>
            <w:noWrap/>
            <w:hideMark/>
          </w:tcPr>
          <w:p w14:paraId="1DE356E1" w14:textId="74E41AC8"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7 068</w:t>
            </w:r>
          </w:p>
        </w:tc>
        <w:tc>
          <w:tcPr>
            <w:tcW w:w="946" w:type="dxa"/>
            <w:tcBorders>
              <w:top w:val="nil"/>
              <w:left w:val="nil"/>
              <w:bottom w:val="single" w:sz="4" w:space="0" w:color="auto"/>
              <w:right w:val="single" w:sz="4" w:space="0" w:color="auto"/>
            </w:tcBorders>
            <w:shd w:val="clear" w:color="auto" w:fill="auto"/>
            <w:noWrap/>
            <w:hideMark/>
          </w:tcPr>
          <w:p w14:paraId="3588B428" w14:textId="6E12752F"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6 039</w:t>
            </w:r>
          </w:p>
        </w:tc>
        <w:tc>
          <w:tcPr>
            <w:tcW w:w="946" w:type="dxa"/>
            <w:tcBorders>
              <w:top w:val="nil"/>
              <w:left w:val="nil"/>
              <w:bottom w:val="single" w:sz="4" w:space="0" w:color="auto"/>
              <w:right w:val="single" w:sz="4" w:space="0" w:color="auto"/>
            </w:tcBorders>
            <w:shd w:val="clear" w:color="auto" w:fill="auto"/>
            <w:noWrap/>
            <w:hideMark/>
          </w:tcPr>
          <w:p w14:paraId="587421C5" w14:textId="3E4006D3" w:rsidR="003767B5" w:rsidRPr="007E501A" w:rsidRDefault="003767B5"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 xml:space="preserve">5 </w:t>
            </w:r>
            <w:r w:rsidR="00A15514" w:rsidRPr="00017295">
              <w:rPr>
                <w:sz w:val="16"/>
                <w:szCs w:val="16"/>
              </w:rPr>
              <w:t>832</w:t>
            </w:r>
          </w:p>
        </w:tc>
        <w:tc>
          <w:tcPr>
            <w:tcW w:w="1141" w:type="dxa"/>
            <w:tcBorders>
              <w:top w:val="nil"/>
              <w:left w:val="nil"/>
              <w:bottom w:val="single" w:sz="4" w:space="0" w:color="auto"/>
              <w:right w:val="single" w:sz="4" w:space="0" w:color="auto"/>
            </w:tcBorders>
            <w:shd w:val="clear" w:color="auto" w:fill="auto"/>
            <w:noWrap/>
            <w:hideMark/>
          </w:tcPr>
          <w:p w14:paraId="7A406817" w14:textId="2F7FC757"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28 646</w:t>
            </w:r>
          </w:p>
        </w:tc>
      </w:tr>
      <w:tr w:rsidR="003767B5" w:rsidRPr="00D8239D" w14:paraId="67D36DBF" w14:textId="77777777" w:rsidTr="00017295">
        <w:trPr>
          <w:trHeight w:val="242"/>
        </w:trPr>
        <w:tc>
          <w:tcPr>
            <w:tcW w:w="3625" w:type="dxa"/>
            <w:gridSpan w:val="2"/>
            <w:tcBorders>
              <w:top w:val="nil"/>
              <w:left w:val="single" w:sz="4" w:space="0" w:color="auto"/>
              <w:bottom w:val="single" w:sz="4" w:space="0" w:color="auto"/>
              <w:right w:val="single" w:sz="4" w:space="0" w:color="auto"/>
            </w:tcBorders>
            <w:shd w:val="clear" w:color="auto" w:fill="auto"/>
            <w:noWrap/>
            <w:vAlign w:val="center"/>
            <w:hideMark/>
          </w:tcPr>
          <w:p w14:paraId="0DDEE902" w14:textId="60B52727" w:rsidR="003767B5" w:rsidRPr="00D8239D" w:rsidRDefault="003767B5" w:rsidP="003767B5">
            <w:pPr>
              <w:spacing w:after="0" w:line="240" w:lineRule="auto"/>
              <w:rPr>
                <w:rFonts w:eastAsia="Times New Roman" w:cs="Times New Roman"/>
                <w:color w:val="000000"/>
                <w:kern w:val="0"/>
                <w:sz w:val="16"/>
                <w:szCs w:val="16"/>
                <w:lang w:eastAsia="pl-PL"/>
                <w14:ligatures w14:val="none"/>
              </w:rPr>
            </w:pPr>
            <w:r w:rsidRPr="00D8239D">
              <w:rPr>
                <w:rFonts w:eastAsia="Times New Roman" w:cs="Times New Roman"/>
                <w:color w:val="000000"/>
                <w:kern w:val="0"/>
                <w:sz w:val="16"/>
                <w:szCs w:val="16"/>
                <w:lang w:eastAsia="pl-PL"/>
                <w14:ligatures w14:val="none"/>
              </w:rPr>
              <w:t>Rolnictwo</w:t>
            </w:r>
          </w:p>
        </w:tc>
        <w:tc>
          <w:tcPr>
            <w:tcW w:w="946" w:type="dxa"/>
            <w:tcBorders>
              <w:top w:val="nil"/>
              <w:left w:val="single" w:sz="4" w:space="0" w:color="auto"/>
              <w:bottom w:val="single" w:sz="4" w:space="0" w:color="auto"/>
              <w:right w:val="single" w:sz="4" w:space="0" w:color="auto"/>
            </w:tcBorders>
            <w:shd w:val="clear" w:color="auto" w:fill="auto"/>
            <w:noWrap/>
            <w:hideMark/>
          </w:tcPr>
          <w:p w14:paraId="3B9DA8F4" w14:textId="625F20A6"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26 442</w:t>
            </w:r>
          </w:p>
        </w:tc>
        <w:tc>
          <w:tcPr>
            <w:tcW w:w="946" w:type="dxa"/>
            <w:tcBorders>
              <w:top w:val="nil"/>
              <w:left w:val="nil"/>
              <w:bottom w:val="single" w:sz="4" w:space="0" w:color="auto"/>
              <w:right w:val="single" w:sz="4" w:space="0" w:color="auto"/>
            </w:tcBorders>
            <w:shd w:val="clear" w:color="auto" w:fill="auto"/>
            <w:noWrap/>
            <w:hideMark/>
          </w:tcPr>
          <w:p w14:paraId="2A675E1A" w14:textId="6BBE0C10"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23 374</w:t>
            </w:r>
          </w:p>
        </w:tc>
        <w:tc>
          <w:tcPr>
            <w:tcW w:w="946" w:type="dxa"/>
            <w:tcBorders>
              <w:top w:val="nil"/>
              <w:left w:val="nil"/>
              <w:bottom w:val="single" w:sz="4" w:space="0" w:color="auto"/>
              <w:right w:val="single" w:sz="4" w:space="0" w:color="auto"/>
            </w:tcBorders>
            <w:shd w:val="clear" w:color="auto" w:fill="auto"/>
            <w:noWrap/>
            <w:hideMark/>
          </w:tcPr>
          <w:p w14:paraId="5A91CD88" w14:textId="132AAD39"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20 657</w:t>
            </w:r>
          </w:p>
        </w:tc>
        <w:tc>
          <w:tcPr>
            <w:tcW w:w="946" w:type="dxa"/>
            <w:tcBorders>
              <w:top w:val="nil"/>
              <w:left w:val="nil"/>
              <w:bottom w:val="single" w:sz="4" w:space="0" w:color="auto"/>
              <w:right w:val="single" w:sz="4" w:space="0" w:color="auto"/>
            </w:tcBorders>
            <w:shd w:val="clear" w:color="auto" w:fill="auto"/>
            <w:noWrap/>
            <w:hideMark/>
          </w:tcPr>
          <w:p w14:paraId="2686BC31" w14:textId="394302DE"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18 261</w:t>
            </w:r>
          </w:p>
        </w:tc>
        <w:tc>
          <w:tcPr>
            <w:tcW w:w="1141" w:type="dxa"/>
            <w:tcBorders>
              <w:top w:val="nil"/>
              <w:left w:val="nil"/>
              <w:bottom w:val="single" w:sz="4" w:space="0" w:color="auto"/>
              <w:right w:val="single" w:sz="4" w:space="0" w:color="auto"/>
            </w:tcBorders>
            <w:shd w:val="clear" w:color="auto" w:fill="auto"/>
            <w:noWrap/>
            <w:hideMark/>
          </w:tcPr>
          <w:p w14:paraId="19EE58DA" w14:textId="40B87615" w:rsidR="003767B5" w:rsidRPr="007E501A" w:rsidRDefault="00A15514" w:rsidP="003767B5">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88 734</w:t>
            </w:r>
          </w:p>
        </w:tc>
      </w:tr>
      <w:tr w:rsidR="007E501A" w:rsidRPr="00D8239D" w14:paraId="53F23087" w14:textId="77777777" w:rsidTr="00566C5D">
        <w:trPr>
          <w:trHeight w:val="275"/>
        </w:trPr>
        <w:tc>
          <w:tcPr>
            <w:tcW w:w="122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262E53" w14:textId="77777777" w:rsidR="007E501A" w:rsidRPr="00D8239D" w:rsidRDefault="007E501A" w:rsidP="007E501A">
            <w:pPr>
              <w:spacing w:after="0" w:line="240" w:lineRule="auto"/>
              <w:rPr>
                <w:rFonts w:eastAsia="Times New Roman" w:cs="Times New Roman"/>
                <w:color w:val="000000"/>
                <w:kern w:val="0"/>
                <w:sz w:val="16"/>
                <w:szCs w:val="16"/>
                <w:lang w:eastAsia="pl-PL"/>
                <w14:ligatures w14:val="none"/>
              </w:rPr>
            </w:pPr>
            <w:r w:rsidRPr="00D8239D">
              <w:rPr>
                <w:rFonts w:eastAsia="Times New Roman" w:cs="Times New Roman"/>
                <w:color w:val="000000"/>
                <w:kern w:val="0"/>
                <w:sz w:val="16"/>
                <w:szCs w:val="16"/>
                <w:lang w:eastAsia="pl-PL"/>
                <w14:ligatures w14:val="none"/>
              </w:rPr>
              <w:t>Sektor energetyczny</w:t>
            </w:r>
          </w:p>
        </w:tc>
        <w:tc>
          <w:tcPr>
            <w:tcW w:w="2402" w:type="dxa"/>
            <w:tcBorders>
              <w:top w:val="single" w:sz="4" w:space="0" w:color="auto"/>
              <w:left w:val="nil"/>
              <w:bottom w:val="single" w:sz="4" w:space="0" w:color="auto"/>
              <w:right w:val="single" w:sz="4" w:space="0" w:color="auto"/>
            </w:tcBorders>
            <w:shd w:val="clear" w:color="auto" w:fill="auto"/>
            <w:noWrap/>
            <w:vAlign w:val="center"/>
            <w:hideMark/>
          </w:tcPr>
          <w:p w14:paraId="14CBFC3F" w14:textId="5E8850D4" w:rsidR="007E501A" w:rsidRPr="00D8239D" w:rsidRDefault="007E501A" w:rsidP="007E501A">
            <w:pPr>
              <w:spacing w:after="0" w:line="240" w:lineRule="auto"/>
              <w:rPr>
                <w:rFonts w:eastAsia="Times New Roman" w:cs="Times New Roman"/>
                <w:color w:val="000000"/>
                <w:kern w:val="0"/>
                <w:sz w:val="16"/>
                <w:szCs w:val="16"/>
                <w:lang w:eastAsia="pl-PL"/>
                <w14:ligatures w14:val="none"/>
              </w:rPr>
            </w:pPr>
            <w:r>
              <w:rPr>
                <w:rFonts w:eastAsia="Times New Roman" w:cs="Times New Roman"/>
                <w:color w:val="000000"/>
                <w:kern w:val="0"/>
                <w:sz w:val="16"/>
                <w:szCs w:val="16"/>
                <w:lang w:eastAsia="pl-PL"/>
                <w14:ligatures w14:val="none"/>
              </w:rPr>
              <w:t>P</w:t>
            </w:r>
            <w:r w:rsidRPr="00D8239D">
              <w:rPr>
                <w:rFonts w:eastAsia="Times New Roman" w:cs="Times New Roman"/>
                <w:color w:val="000000"/>
                <w:kern w:val="0"/>
                <w:sz w:val="16"/>
                <w:szCs w:val="16"/>
                <w:lang w:eastAsia="pl-PL"/>
                <w14:ligatures w14:val="none"/>
              </w:rPr>
              <w:t>rodukcja energii elektrycznej</w:t>
            </w:r>
          </w:p>
        </w:tc>
        <w:tc>
          <w:tcPr>
            <w:tcW w:w="946" w:type="dxa"/>
            <w:tcBorders>
              <w:top w:val="nil"/>
              <w:left w:val="nil"/>
              <w:bottom w:val="single" w:sz="4" w:space="0" w:color="auto"/>
              <w:right w:val="single" w:sz="4" w:space="0" w:color="auto"/>
            </w:tcBorders>
            <w:shd w:val="clear" w:color="auto" w:fill="auto"/>
            <w:noWrap/>
            <w:hideMark/>
          </w:tcPr>
          <w:p w14:paraId="7098CB69" w14:textId="69A34480"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168 432</w:t>
            </w:r>
          </w:p>
        </w:tc>
        <w:tc>
          <w:tcPr>
            <w:tcW w:w="946" w:type="dxa"/>
            <w:tcBorders>
              <w:top w:val="nil"/>
              <w:left w:val="nil"/>
              <w:bottom w:val="single" w:sz="4" w:space="0" w:color="auto"/>
              <w:right w:val="single" w:sz="4" w:space="0" w:color="auto"/>
            </w:tcBorders>
            <w:shd w:val="clear" w:color="auto" w:fill="auto"/>
            <w:noWrap/>
            <w:hideMark/>
          </w:tcPr>
          <w:p w14:paraId="30C062C6" w14:textId="6DFABFA5"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235 474</w:t>
            </w:r>
          </w:p>
        </w:tc>
        <w:tc>
          <w:tcPr>
            <w:tcW w:w="946" w:type="dxa"/>
            <w:tcBorders>
              <w:top w:val="nil"/>
              <w:left w:val="nil"/>
              <w:bottom w:val="single" w:sz="4" w:space="0" w:color="auto"/>
              <w:right w:val="single" w:sz="4" w:space="0" w:color="auto"/>
            </w:tcBorders>
            <w:shd w:val="clear" w:color="auto" w:fill="auto"/>
            <w:noWrap/>
            <w:hideMark/>
          </w:tcPr>
          <w:p w14:paraId="5F9A017F" w14:textId="09435D44"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153 317</w:t>
            </w:r>
          </w:p>
        </w:tc>
        <w:tc>
          <w:tcPr>
            <w:tcW w:w="946" w:type="dxa"/>
            <w:tcBorders>
              <w:top w:val="nil"/>
              <w:left w:val="nil"/>
              <w:bottom w:val="single" w:sz="4" w:space="0" w:color="auto"/>
              <w:right w:val="single" w:sz="4" w:space="0" w:color="auto"/>
            </w:tcBorders>
            <w:shd w:val="clear" w:color="auto" w:fill="auto"/>
            <w:noWrap/>
            <w:hideMark/>
          </w:tcPr>
          <w:p w14:paraId="32384E7D" w14:textId="3E08A107"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369 630</w:t>
            </w:r>
          </w:p>
        </w:tc>
        <w:tc>
          <w:tcPr>
            <w:tcW w:w="1141" w:type="dxa"/>
            <w:tcBorders>
              <w:top w:val="nil"/>
              <w:left w:val="nil"/>
              <w:bottom w:val="single" w:sz="4" w:space="0" w:color="auto"/>
              <w:right w:val="single" w:sz="4" w:space="0" w:color="auto"/>
            </w:tcBorders>
            <w:shd w:val="clear" w:color="auto" w:fill="auto"/>
            <w:noWrap/>
            <w:hideMark/>
          </w:tcPr>
          <w:p w14:paraId="3527D3B9" w14:textId="325133E1"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926 853</w:t>
            </w:r>
          </w:p>
        </w:tc>
      </w:tr>
      <w:tr w:rsidR="007E501A" w:rsidRPr="00D8239D" w14:paraId="267165A6" w14:textId="77777777" w:rsidTr="00566C5D">
        <w:trPr>
          <w:trHeight w:val="275"/>
        </w:trPr>
        <w:tc>
          <w:tcPr>
            <w:tcW w:w="1223" w:type="dxa"/>
            <w:vMerge/>
            <w:tcBorders>
              <w:top w:val="nil"/>
              <w:left w:val="single" w:sz="4" w:space="0" w:color="auto"/>
              <w:bottom w:val="single" w:sz="4" w:space="0" w:color="auto"/>
              <w:right w:val="single" w:sz="4" w:space="0" w:color="auto"/>
            </w:tcBorders>
            <w:vAlign w:val="center"/>
            <w:hideMark/>
          </w:tcPr>
          <w:p w14:paraId="0D3CA076" w14:textId="77777777" w:rsidR="007E501A" w:rsidRPr="00D8239D" w:rsidRDefault="007E501A" w:rsidP="007E501A">
            <w:pPr>
              <w:spacing w:after="0" w:line="240" w:lineRule="auto"/>
              <w:rPr>
                <w:rFonts w:eastAsia="Times New Roman" w:cs="Times New Roman"/>
                <w:color w:val="000000"/>
                <w:kern w:val="0"/>
                <w:sz w:val="16"/>
                <w:szCs w:val="16"/>
                <w:lang w:eastAsia="pl-PL"/>
                <w14:ligatures w14:val="none"/>
              </w:rPr>
            </w:pPr>
          </w:p>
        </w:tc>
        <w:tc>
          <w:tcPr>
            <w:tcW w:w="2402" w:type="dxa"/>
            <w:tcBorders>
              <w:top w:val="nil"/>
              <w:left w:val="nil"/>
              <w:bottom w:val="single" w:sz="4" w:space="0" w:color="auto"/>
              <w:right w:val="single" w:sz="4" w:space="0" w:color="auto"/>
            </w:tcBorders>
            <w:shd w:val="clear" w:color="auto" w:fill="auto"/>
            <w:noWrap/>
            <w:vAlign w:val="center"/>
            <w:hideMark/>
          </w:tcPr>
          <w:p w14:paraId="69E4742E" w14:textId="1CD4F4A2" w:rsidR="007E501A" w:rsidRPr="00D8239D" w:rsidRDefault="007E501A" w:rsidP="007E501A">
            <w:pPr>
              <w:spacing w:after="0" w:line="240" w:lineRule="auto"/>
              <w:rPr>
                <w:rFonts w:eastAsia="Times New Roman" w:cs="Times New Roman"/>
                <w:color w:val="000000"/>
                <w:kern w:val="0"/>
                <w:sz w:val="16"/>
                <w:szCs w:val="16"/>
                <w:lang w:eastAsia="pl-PL"/>
                <w14:ligatures w14:val="none"/>
              </w:rPr>
            </w:pPr>
            <w:proofErr w:type="spellStart"/>
            <w:r>
              <w:rPr>
                <w:rFonts w:eastAsia="Times New Roman" w:cs="Times New Roman"/>
                <w:color w:val="000000"/>
                <w:kern w:val="0"/>
                <w:sz w:val="16"/>
                <w:szCs w:val="16"/>
                <w:lang w:eastAsia="pl-PL"/>
                <w14:ligatures w14:val="none"/>
              </w:rPr>
              <w:t>P</w:t>
            </w:r>
            <w:r w:rsidRPr="00D8239D">
              <w:rPr>
                <w:rFonts w:eastAsia="Times New Roman" w:cs="Times New Roman"/>
                <w:color w:val="000000"/>
                <w:kern w:val="0"/>
                <w:sz w:val="16"/>
                <w:szCs w:val="16"/>
                <w:lang w:eastAsia="pl-PL"/>
                <w14:ligatures w14:val="none"/>
              </w:rPr>
              <w:t>rzesył</w:t>
            </w:r>
            <w:proofErr w:type="spellEnd"/>
            <w:r w:rsidRPr="00D8239D">
              <w:rPr>
                <w:rFonts w:eastAsia="Times New Roman" w:cs="Times New Roman"/>
                <w:color w:val="000000"/>
                <w:kern w:val="0"/>
                <w:sz w:val="16"/>
                <w:szCs w:val="16"/>
                <w:lang w:eastAsia="pl-PL"/>
                <w14:ligatures w14:val="none"/>
              </w:rPr>
              <w:t xml:space="preserve"> i dystrybucja energii elektrycznej</w:t>
            </w:r>
          </w:p>
        </w:tc>
        <w:tc>
          <w:tcPr>
            <w:tcW w:w="946" w:type="dxa"/>
            <w:tcBorders>
              <w:top w:val="nil"/>
              <w:left w:val="nil"/>
              <w:bottom w:val="single" w:sz="4" w:space="0" w:color="auto"/>
              <w:right w:val="single" w:sz="4" w:space="0" w:color="auto"/>
            </w:tcBorders>
            <w:shd w:val="clear" w:color="auto" w:fill="auto"/>
            <w:noWrap/>
            <w:hideMark/>
          </w:tcPr>
          <w:p w14:paraId="7C49F414" w14:textId="622A6368"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24 533</w:t>
            </w:r>
          </w:p>
        </w:tc>
        <w:tc>
          <w:tcPr>
            <w:tcW w:w="946" w:type="dxa"/>
            <w:tcBorders>
              <w:top w:val="nil"/>
              <w:left w:val="nil"/>
              <w:bottom w:val="single" w:sz="4" w:space="0" w:color="auto"/>
              <w:right w:val="single" w:sz="4" w:space="0" w:color="auto"/>
            </w:tcBorders>
            <w:shd w:val="clear" w:color="auto" w:fill="auto"/>
            <w:noWrap/>
            <w:hideMark/>
          </w:tcPr>
          <w:p w14:paraId="3C25AEA2" w14:textId="6B48914A"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95 895</w:t>
            </w:r>
          </w:p>
        </w:tc>
        <w:tc>
          <w:tcPr>
            <w:tcW w:w="946" w:type="dxa"/>
            <w:tcBorders>
              <w:top w:val="nil"/>
              <w:left w:val="nil"/>
              <w:bottom w:val="single" w:sz="4" w:space="0" w:color="auto"/>
              <w:right w:val="single" w:sz="4" w:space="0" w:color="auto"/>
            </w:tcBorders>
            <w:shd w:val="clear" w:color="auto" w:fill="auto"/>
            <w:noWrap/>
            <w:hideMark/>
          </w:tcPr>
          <w:p w14:paraId="0CA95100" w14:textId="021F2A51"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65 060</w:t>
            </w:r>
          </w:p>
        </w:tc>
        <w:tc>
          <w:tcPr>
            <w:tcW w:w="946" w:type="dxa"/>
            <w:tcBorders>
              <w:top w:val="nil"/>
              <w:left w:val="nil"/>
              <w:bottom w:val="single" w:sz="4" w:space="0" w:color="auto"/>
              <w:right w:val="single" w:sz="4" w:space="0" w:color="auto"/>
            </w:tcBorders>
            <w:shd w:val="clear" w:color="auto" w:fill="auto"/>
            <w:noWrap/>
            <w:hideMark/>
          </w:tcPr>
          <w:p w14:paraId="56951FCD" w14:textId="23092366"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103 031</w:t>
            </w:r>
          </w:p>
        </w:tc>
        <w:tc>
          <w:tcPr>
            <w:tcW w:w="1141" w:type="dxa"/>
            <w:tcBorders>
              <w:top w:val="nil"/>
              <w:left w:val="nil"/>
              <w:bottom w:val="single" w:sz="4" w:space="0" w:color="auto"/>
              <w:right w:val="single" w:sz="4" w:space="0" w:color="auto"/>
            </w:tcBorders>
            <w:shd w:val="clear" w:color="auto" w:fill="auto"/>
            <w:noWrap/>
            <w:hideMark/>
          </w:tcPr>
          <w:p w14:paraId="31F1DB28" w14:textId="7DA5134E"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288 518</w:t>
            </w:r>
          </w:p>
        </w:tc>
      </w:tr>
      <w:tr w:rsidR="007E501A" w:rsidRPr="00D8239D" w14:paraId="0B4349D3" w14:textId="77777777" w:rsidTr="00566C5D">
        <w:trPr>
          <w:trHeight w:val="275"/>
        </w:trPr>
        <w:tc>
          <w:tcPr>
            <w:tcW w:w="122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555C28" w14:textId="77777777" w:rsidR="007E501A" w:rsidRPr="00D8239D" w:rsidRDefault="007E501A" w:rsidP="007E501A">
            <w:pPr>
              <w:spacing w:after="0" w:line="240" w:lineRule="auto"/>
              <w:rPr>
                <w:rFonts w:eastAsia="Times New Roman" w:cs="Times New Roman"/>
                <w:color w:val="000000"/>
                <w:kern w:val="0"/>
                <w:sz w:val="16"/>
                <w:szCs w:val="16"/>
                <w:lang w:eastAsia="pl-PL"/>
                <w14:ligatures w14:val="none"/>
              </w:rPr>
            </w:pPr>
            <w:r w:rsidRPr="00D8239D">
              <w:rPr>
                <w:rFonts w:eastAsia="Times New Roman" w:cs="Times New Roman"/>
                <w:color w:val="000000"/>
                <w:kern w:val="0"/>
                <w:sz w:val="16"/>
                <w:szCs w:val="16"/>
                <w:lang w:eastAsia="pl-PL"/>
                <w14:ligatures w14:val="none"/>
              </w:rPr>
              <w:t>Sektor ciepłowniczy</w:t>
            </w:r>
          </w:p>
        </w:tc>
        <w:tc>
          <w:tcPr>
            <w:tcW w:w="2402" w:type="dxa"/>
            <w:tcBorders>
              <w:top w:val="nil"/>
              <w:left w:val="nil"/>
              <w:bottom w:val="single" w:sz="4" w:space="0" w:color="auto"/>
              <w:right w:val="single" w:sz="4" w:space="0" w:color="auto"/>
            </w:tcBorders>
            <w:shd w:val="clear" w:color="auto" w:fill="auto"/>
            <w:noWrap/>
            <w:vAlign w:val="center"/>
            <w:hideMark/>
          </w:tcPr>
          <w:p w14:paraId="50BD55FA" w14:textId="77777777" w:rsidR="007E501A" w:rsidRPr="00D8239D" w:rsidRDefault="007E501A" w:rsidP="007E501A">
            <w:pPr>
              <w:spacing w:after="0" w:line="240" w:lineRule="auto"/>
              <w:rPr>
                <w:rFonts w:eastAsia="Times New Roman" w:cs="Times New Roman"/>
                <w:color w:val="000000"/>
                <w:kern w:val="0"/>
                <w:sz w:val="16"/>
                <w:szCs w:val="16"/>
                <w:lang w:eastAsia="pl-PL"/>
                <w14:ligatures w14:val="none"/>
              </w:rPr>
            </w:pPr>
            <w:r w:rsidRPr="00D8239D">
              <w:rPr>
                <w:rFonts w:eastAsia="Times New Roman" w:cs="Times New Roman"/>
                <w:color w:val="000000"/>
                <w:kern w:val="0"/>
                <w:sz w:val="16"/>
                <w:szCs w:val="16"/>
                <w:lang w:eastAsia="pl-PL"/>
                <w14:ligatures w14:val="none"/>
              </w:rPr>
              <w:t>Produkcja ciepła</w:t>
            </w:r>
          </w:p>
        </w:tc>
        <w:tc>
          <w:tcPr>
            <w:tcW w:w="946" w:type="dxa"/>
            <w:tcBorders>
              <w:top w:val="nil"/>
              <w:left w:val="nil"/>
              <w:bottom w:val="single" w:sz="4" w:space="0" w:color="auto"/>
              <w:right w:val="single" w:sz="4" w:space="0" w:color="auto"/>
            </w:tcBorders>
            <w:shd w:val="clear" w:color="auto" w:fill="auto"/>
            <w:noWrap/>
            <w:hideMark/>
          </w:tcPr>
          <w:p w14:paraId="0A9843CC" w14:textId="4CE12D2D"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5 190</w:t>
            </w:r>
          </w:p>
        </w:tc>
        <w:tc>
          <w:tcPr>
            <w:tcW w:w="946" w:type="dxa"/>
            <w:tcBorders>
              <w:top w:val="nil"/>
              <w:left w:val="nil"/>
              <w:bottom w:val="single" w:sz="4" w:space="0" w:color="auto"/>
              <w:right w:val="single" w:sz="4" w:space="0" w:color="auto"/>
            </w:tcBorders>
            <w:shd w:val="clear" w:color="auto" w:fill="auto"/>
            <w:noWrap/>
            <w:hideMark/>
          </w:tcPr>
          <w:p w14:paraId="0E6D92C6" w14:textId="0B3A0869"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6 406</w:t>
            </w:r>
          </w:p>
        </w:tc>
        <w:tc>
          <w:tcPr>
            <w:tcW w:w="946" w:type="dxa"/>
            <w:tcBorders>
              <w:top w:val="nil"/>
              <w:left w:val="nil"/>
              <w:bottom w:val="single" w:sz="4" w:space="0" w:color="auto"/>
              <w:right w:val="single" w:sz="4" w:space="0" w:color="auto"/>
            </w:tcBorders>
            <w:shd w:val="clear" w:color="auto" w:fill="auto"/>
            <w:noWrap/>
            <w:hideMark/>
          </w:tcPr>
          <w:p w14:paraId="1CA4691C" w14:textId="4D7C7FA8"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8 766</w:t>
            </w:r>
          </w:p>
        </w:tc>
        <w:tc>
          <w:tcPr>
            <w:tcW w:w="946" w:type="dxa"/>
            <w:tcBorders>
              <w:top w:val="nil"/>
              <w:left w:val="nil"/>
              <w:bottom w:val="single" w:sz="4" w:space="0" w:color="auto"/>
              <w:right w:val="single" w:sz="4" w:space="0" w:color="auto"/>
            </w:tcBorders>
            <w:shd w:val="clear" w:color="auto" w:fill="auto"/>
            <w:noWrap/>
            <w:hideMark/>
          </w:tcPr>
          <w:p w14:paraId="6A610CF8" w14:textId="205F0AED"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12 279</w:t>
            </w:r>
          </w:p>
        </w:tc>
        <w:tc>
          <w:tcPr>
            <w:tcW w:w="1141" w:type="dxa"/>
            <w:tcBorders>
              <w:top w:val="nil"/>
              <w:left w:val="nil"/>
              <w:bottom w:val="single" w:sz="4" w:space="0" w:color="auto"/>
              <w:right w:val="single" w:sz="4" w:space="0" w:color="auto"/>
            </w:tcBorders>
            <w:shd w:val="clear" w:color="auto" w:fill="auto"/>
            <w:noWrap/>
            <w:hideMark/>
          </w:tcPr>
          <w:p w14:paraId="283B6FF8" w14:textId="2F4A68A5"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32 641</w:t>
            </w:r>
          </w:p>
        </w:tc>
      </w:tr>
      <w:tr w:rsidR="007E501A" w:rsidRPr="00D8239D" w14:paraId="57540230" w14:textId="77777777" w:rsidTr="00566C5D">
        <w:trPr>
          <w:trHeight w:val="275"/>
        </w:trPr>
        <w:tc>
          <w:tcPr>
            <w:tcW w:w="1223" w:type="dxa"/>
            <w:vMerge/>
            <w:tcBorders>
              <w:top w:val="nil"/>
              <w:left w:val="single" w:sz="4" w:space="0" w:color="auto"/>
              <w:bottom w:val="single" w:sz="4" w:space="0" w:color="auto"/>
              <w:right w:val="single" w:sz="4" w:space="0" w:color="auto"/>
            </w:tcBorders>
            <w:vAlign w:val="center"/>
            <w:hideMark/>
          </w:tcPr>
          <w:p w14:paraId="2F73D721" w14:textId="77777777" w:rsidR="007E501A" w:rsidRPr="00D8239D" w:rsidRDefault="007E501A" w:rsidP="007E501A">
            <w:pPr>
              <w:spacing w:after="0" w:line="240" w:lineRule="auto"/>
              <w:rPr>
                <w:rFonts w:eastAsia="Times New Roman" w:cs="Times New Roman"/>
                <w:color w:val="000000"/>
                <w:kern w:val="0"/>
                <w:sz w:val="16"/>
                <w:szCs w:val="16"/>
                <w:lang w:eastAsia="pl-PL"/>
                <w14:ligatures w14:val="none"/>
              </w:rPr>
            </w:pPr>
          </w:p>
        </w:tc>
        <w:tc>
          <w:tcPr>
            <w:tcW w:w="2402" w:type="dxa"/>
            <w:tcBorders>
              <w:top w:val="nil"/>
              <w:left w:val="nil"/>
              <w:bottom w:val="single" w:sz="4" w:space="0" w:color="auto"/>
              <w:right w:val="single" w:sz="4" w:space="0" w:color="auto"/>
            </w:tcBorders>
            <w:shd w:val="clear" w:color="auto" w:fill="auto"/>
            <w:noWrap/>
            <w:vAlign w:val="center"/>
            <w:hideMark/>
          </w:tcPr>
          <w:p w14:paraId="0A10DEAA" w14:textId="77777777" w:rsidR="007E501A" w:rsidRPr="00D8239D" w:rsidRDefault="007E501A" w:rsidP="007E501A">
            <w:pPr>
              <w:spacing w:after="0" w:line="240" w:lineRule="auto"/>
              <w:rPr>
                <w:rFonts w:eastAsia="Times New Roman" w:cs="Times New Roman"/>
                <w:color w:val="000000"/>
                <w:kern w:val="0"/>
                <w:sz w:val="16"/>
                <w:szCs w:val="16"/>
                <w:lang w:eastAsia="pl-PL"/>
                <w14:ligatures w14:val="none"/>
              </w:rPr>
            </w:pPr>
            <w:r w:rsidRPr="00D8239D">
              <w:rPr>
                <w:rFonts w:eastAsia="Times New Roman" w:cs="Times New Roman"/>
                <w:color w:val="000000"/>
                <w:kern w:val="0"/>
                <w:sz w:val="16"/>
                <w:szCs w:val="16"/>
                <w:lang w:eastAsia="pl-PL"/>
                <w14:ligatures w14:val="none"/>
              </w:rPr>
              <w:t>Dystrybucja ciepła</w:t>
            </w:r>
          </w:p>
        </w:tc>
        <w:tc>
          <w:tcPr>
            <w:tcW w:w="946" w:type="dxa"/>
            <w:tcBorders>
              <w:top w:val="nil"/>
              <w:left w:val="nil"/>
              <w:bottom w:val="single" w:sz="4" w:space="0" w:color="auto"/>
              <w:right w:val="single" w:sz="4" w:space="0" w:color="auto"/>
            </w:tcBorders>
            <w:shd w:val="clear" w:color="auto" w:fill="auto"/>
            <w:noWrap/>
            <w:hideMark/>
          </w:tcPr>
          <w:p w14:paraId="443AD2C9" w14:textId="30D47BFD"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41 397</w:t>
            </w:r>
          </w:p>
        </w:tc>
        <w:tc>
          <w:tcPr>
            <w:tcW w:w="946" w:type="dxa"/>
            <w:tcBorders>
              <w:top w:val="nil"/>
              <w:left w:val="nil"/>
              <w:bottom w:val="single" w:sz="4" w:space="0" w:color="auto"/>
              <w:right w:val="single" w:sz="4" w:space="0" w:color="auto"/>
            </w:tcBorders>
            <w:shd w:val="clear" w:color="auto" w:fill="auto"/>
            <w:noWrap/>
            <w:hideMark/>
          </w:tcPr>
          <w:p w14:paraId="1FB5373F" w14:textId="7EE85029"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46 571</w:t>
            </w:r>
          </w:p>
        </w:tc>
        <w:tc>
          <w:tcPr>
            <w:tcW w:w="946" w:type="dxa"/>
            <w:tcBorders>
              <w:top w:val="nil"/>
              <w:left w:val="nil"/>
              <w:bottom w:val="single" w:sz="4" w:space="0" w:color="auto"/>
              <w:right w:val="single" w:sz="4" w:space="0" w:color="auto"/>
            </w:tcBorders>
            <w:shd w:val="clear" w:color="auto" w:fill="auto"/>
            <w:noWrap/>
            <w:hideMark/>
          </w:tcPr>
          <w:p w14:paraId="061537A5" w14:textId="2152C250"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46 571</w:t>
            </w:r>
          </w:p>
        </w:tc>
        <w:tc>
          <w:tcPr>
            <w:tcW w:w="946" w:type="dxa"/>
            <w:tcBorders>
              <w:top w:val="nil"/>
              <w:left w:val="nil"/>
              <w:bottom w:val="single" w:sz="4" w:space="0" w:color="auto"/>
              <w:right w:val="single" w:sz="4" w:space="0" w:color="auto"/>
            </w:tcBorders>
            <w:shd w:val="clear" w:color="auto" w:fill="auto"/>
            <w:noWrap/>
            <w:hideMark/>
          </w:tcPr>
          <w:p w14:paraId="77045A8D" w14:textId="2008CF50"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46 571</w:t>
            </w:r>
          </w:p>
        </w:tc>
        <w:tc>
          <w:tcPr>
            <w:tcW w:w="1141" w:type="dxa"/>
            <w:tcBorders>
              <w:top w:val="nil"/>
              <w:left w:val="nil"/>
              <w:bottom w:val="single" w:sz="4" w:space="0" w:color="auto"/>
              <w:right w:val="single" w:sz="4" w:space="0" w:color="auto"/>
            </w:tcBorders>
            <w:shd w:val="clear" w:color="auto" w:fill="auto"/>
            <w:noWrap/>
            <w:hideMark/>
          </w:tcPr>
          <w:p w14:paraId="7D12DA77" w14:textId="39948D2A"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181 110</w:t>
            </w:r>
          </w:p>
        </w:tc>
      </w:tr>
      <w:tr w:rsidR="007E501A" w:rsidRPr="00D8239D" w14:paraId="0F4A089E" w14:textId="77777777" w:rsidTr="00566C5D">
        <w:trPr>
          <w:trHeight w:val="275"/>
        </w:trPr>
        <w:tc>
          <w:tcPr>
            <w:tcW w:w="362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E4C820" w14:textId="77777777" w:rsidR="007E501A" w:rsidRPr="00D8239D" w:rsidRDefault="007E501A" w:rsidP="007E501A">
            <w:pPr>
              <w:spacing w:after="0" w:line="240" w:lineRule="auto"/>
              <w:rPr>
                <w:rFonts w:eastAsia="Times New Roman" w:cs="Times New Roman"/>
                <w:color w:val="000000"/>
                <w:kern w:val="0"/>
                <w:sz w:val="16"/>
                <w:szCs w:val="16"/>
                <w:lang w:eastAsia="pl-PL"/>
                <w14:ligatures w14:val="none"/>
              </w:rPr>
            </w:pPr>
            <w:r w:rsidRPr="00D8239D">
              <w:rPr>
                <w:rFonts w:eastAsia="Times New Roman" w:cs="Times New Roman"/>
                <w:color w:val="000000"/>
                <w:kern w:val="0"/>
                <w:sz w:val="16"/>
                <w:szCs w:val="16"/>
                <w:lang w:eastAsia="pl-PL"/>
                <w14:ligatures w14:val="none"/>
              </w:rPr>
              <w:t xml:space="preserve">Sektor gazowy (w tym </w:t>
            </w:r>
            <w:proofErr w:type="spellStart"/>
            <w:r w:rsidRPr="00D8239D">
              <w:rPr>
                <w:rFonts w:eastAsia="Times New Roman" w:cs="Times New Roman"/>
                <w:color w:val="000000"/>
                <w:kern w:val="0"/>
                <w:sz w:val="16"/>
                <w:szCs w:val="16"/>
                <w:lang w:eastAsia="pl-PL"/>
                <w14:ligatures w14:val="none"/>
              </w:rPr>
              <w:t>biometan</w:t>
            </w:r>
            <w:proofErr w:type="spellEnd"/>
            <w:r w:rsidRPr="00D8239D">
              <w:rPr>
                <w:rFonts w:eastAsia="Times New Roman" w:cs="Times New Roman"/>
                <w:color w:val="000000"/>
                <w:kern w:val="0"/>
                <w:sz w:val="16"/>
                <w:szCs w:val="16"/>
                <w:lang w:eastAsia="pl-PL"/>
                <w14:ligatures w14:val="none"/>
              </w:rPr>
              <w:t>)</w:t>
            </w:r>
          </w:p>
        </w:tc>
        <w:tc>
          <w:tcPr>
            <w:tcW w:w="946" w:type="dxa"/>
            <w:tcBorders>
              <w:top w:val="nil"/>
              <w:left w:val="single" w:sz="4" w:space="0" w:color="auto"/>
              <w:bottom w:val="single" w:sz="4" w:space="0" w:color="auto"/>
              <w:right w:val="single" w:sz="4" w:space="0" w:color="auto"/>
            </w:tcBorders>
            <w:shd w:val="clear" w:color="auto" w:fill="auto"/>
            <w:noWrap/>
            <w:hideMark/>
          </w:tcPr>
          <w:p w14:paraId="7FDE418C" w14:textId="74242EA7"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104 837</w:t>
            </w:r>
          </w:p>
        </w:tc>
        <w:tc>
          <w:tcPr>
            <w:tcW w:w="946" w:type="dxa"/>
            <w:tcBorders>
              <w:top w:val="nil"/>
              <w:left w:val="nil"/>
              <w:bottom w:val="single" w:sz="4" w:space="0" w:color="auto"/>
              <w:right w:val="single" w:sz="4" w:space="0" w:color="auto"/>
            </w:tcBorders>
            <w:shd w:val="clear" w:color="auto" w:fill="auto"/>
            <w:noWrap/>
            <w:hideMark/>
          </w:tcPr>
          <w:p w14:paraId="0C859478" w14:textId="53B0FAA9"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69 546</w:t>
            </w:r>
          </w:p>
        </w:tc>
        <w:tc>
          <w:tcPr>
            <w:tcW w:w="946" w:type="dxa"/>
            <w:tcBorders>
              <w:top w:val="nil"/>
              <w:left w:val="nil"/>
              <w:bottom w:val="single" w:sz="4" w:space="0" w:color="auto"/>
              <w:right w:val="single" w:sz="4" w:space="0" w:color="auto"/>
            </w:tcBorders>
            <w:shd w:val="clear" w:color="auto" w:fill="auto"/>
            <w:noWrap/>
            <w:hideMark/>
          </w:tcPr>
          <w:p w14:paraId="7B9D75C3" w14:textId="06B297C6"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41 397</w:t>
            </w:r>
          </w:p>
        </w:tc>
        <w:tc>
          <w:tcPr>
            <w:tcW w:w="946" w:type="dxa"/>
            <w:tcBorders>
              <w:top w:val="nil"/>
              <w:left w:val="nil"/>
              <w:bottom w:val="single" w:sz="4" w:space="0" w:color="auto"/>
              <w:right w:val="single" w:sz="4" w:space="0" w:color="auto"/>
            </w:tcBorders>
            <w:shd w:val="clear" w:color="auto" w:fill="auto"/>
            <w:noWrap/>
            <w:hideMark/>
          </w:tcPr>
          <w:p w14:paraId="62BBC68E" w14:textId="0A903F76"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31 047</w:t>
            </w:r>
          </w:p>
        </w:tc>
        <w:tc>
          <w:tcPr>
            <w:tcW w:w="1141" w:type="dxa"/>
            <w:tcBorders>
              <w:top w:val="nil"/>
              <w:left w:val="nil"/>
              <w:bottom w:val="single" w:sz="4" w:space="0" w:color="auto"/>
              <w:right w:val="single" w:sz="4" w:space="0" w:color="auto"/>
            </w:tcBorders>
            <w:shd w:val="clear" w:color="auto" w:fill="auto"/>
            <w:noWrap/>
            <w:hideMark/>
          </w:tcPr>
          <w:p w14:paraId="58BD1438" w14:textId="44BB9863"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246 827</w:t>
            </w:r>
          </w:p>
        </w:tc>
      </w:tr>
      <w:tr w:rsidR="007E501A" w:rsidRPr="00D8239D" w14:paraId="18E567D3" w14:textId="77777777" w:rsidTr="00566C5D">
        <w:trPr>
          <w:trHeight w:val="275"/>
        </w:trPr>
        <w:tc>
          <w:tcPr>
            <w:tcW w:w="362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B969B75" w14:textId="77777777" w:rsidR="007E501A" w:rsidRPr="00D8239D" w:rsidRDefault="007E501A" w:rsidP="007E501A">
            <w:pPr>
              <w:spacing w:after="0" w:line="240" w:lineRule="auto"/>
              <w:rPr>
                <w:rFonts w:eastAsia="Times New Roman" w:cs="Times New Roman"/>
                <w:color w:val="000000"/>
                <w:kern w:val="0"/>
                <w:sz w:val="16"/>
                <w:szCs w:val="16"/>
                <w:lang w:eastAsia="pl-PL"/>
                <w14:ligatures w14:val="none"/>
              </w:rPr>
            </w:pPr>
            <w:r w:rsidRPr="00D8239D">
              <w:rPr>
                <w:rFonts w:eastAsia="Times New Roman" w:cs="Times New Roman"/>
                <w:color w:val="000000"/>
                <w:kern w:val="0"/>
                <w:sz w:val="16"/>
                <w:szCs w:val="16"/>
                <w:lang w:eastAsia="pl-PL"/>
                <w14:ligatures w14:val="none"/>
              </w:rPr>
              <w:t>Sektor paliw płynnych</w:t>
            </w:r>
          </w:p>
        </w:tc>
        <w:tc>
          <w:tcPr>
            <w:tcW w:w="946" w:type="dxa"/>
            <w:tcBorders>
              <w:top w:val="nil"/>
              <w:left w:val="single" w:sz="4" w:space="0" w:color="auto"/>
              <w:bottom w:val="single" w:sz="4" w:space="0" w:color="auto"/>
              <w:right w:val="single" w:sz="4" w:space="0" w:color="auto"/>
            </w:tcBorders>
            <w:shd w:val="clear" w:color="auto" w:fill="auto"/>
            <w:noWrap/>
            <w:hideMark/>
          </w:tcPr>
          <w:p w14:paraId="6BD6BDB4" w14:textId="6FC1EF7A"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51 363</w:t>
            </w:r>
          </w:p>
        </w:tc>
        <w:tc>
          <w:tcPr>
            <w:tcW w:w="946" w:type="dxa"/>
            <w:tcBorders>
              <w:top w:val="nil"/>
              <w:left w:val="nil"/>
              <w:bottom w:val="single" w:sz="4" w:space="0" w:color="auto"/>
              <w:right w:val="single" w:sz="4" w:space="0" w:color="auto"/>
            </w:tcBorders>
            <w:shd w:val="clear" w:color="auto" w:fill="auto"/>
            <w:noWrap/>
            <w:hideMark/>
          </w:tcPr>
          <w:p w14:paraId="2838994E" w14:textId="57E5B56D"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51 735</w:t>
            </w:r>
          </w:p>
        </w:tc>
        <w:tc>
          <w:tcPr>
            <w:tcW w:w="946" w:type="dxa"/>
            <w:tcBorders>
              <w:top w:val="nil"/>
              <w:left w:val="nil"/>
              <w:bottom w:val="single" w:sz="4" w:space="0" w:color="auto"/>
              <w:right w:val="single" w:sz="4" w:space="0" w:color="auto"/>
            </w:tcBorders>
            <w:shd w:val="clear" w:color="auto" w:fill="auto"/>
            <w:noWrap/>
            <w:hideMark/>
          </w:tcPr>
          <w:p w14:paraId="1E5E0301" w14:textId="6FAABEFA"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52 041</w:t>
            </w:r>
          </w:p>
        </w:tc>
        <w:tc>
          <w:tcPr>
            <w:tcW w:w="946" w:type="dxa"/>
            <w:tcBorders>
              <w:top w:val="nil"/>
              <w:left w:val="nil"/>
              <w:bottom w:val="single" w:sz="4" w:space="0" w:color="auto"/>
              <w:right w:val="single" w:sz="4" w:space="0" w:color="auto"/>
            </w:tcBorders>
            <w:shd w:val="clear" w:color="auto" w:fill="auto"/>
            <w:noWrap/>
            <w:hideMark/>
          </w:tcPr>
          <w:p w14:paraId="17A603A6" w14:textId="74B5FFB4"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41 397</w:t>
            </w:r>
          </w:p>
        </w:tc>
        <w:tc>
          <w:tcPr>
            <w:tcW w:w="1141" w:type="dxa"/>
            <w:tcBorders>
              <w:top w:val="nil"/>
              <w:left w:val="nil"/>
              <w:bottom w:val="single" w:sz="4" w:space="0" w:color="auto"/>
              <w:right w:val="single" w:sz="4" w:space="0" w:color="auto"/>
            </w:tcBorders>
            <w:shd w:val="clear" w:color="auto" w:fill="auto"/>
            <w:noWrap/>
            <w:hideMark/>
          </w:tcPr>
          <w:p w14:paraId="56E6B951" w14:textId="2743365A"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196 535</w:t>
            </w:r>
          </w:p>
        </w:tc>
      </w:tr>
      <w:tr w:rsidR="007E501A" w:rsidRPr="00D8239D" w14:paraId="2E670CAA" w14:textId="77777777" w:rsidTr="00566C5D">
        <w:trPr>
          <w:trHeight w:val="271"/>
        </w:trPr>
        <w:tc>
          <w:tcPr>
            <w:tcW w:w="362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0C798EB" w14:textId="277F8787" w:rsidR="007E501A" w:rsidRPr="00D8239D" w:rsidRDefault="007E501A" w:rsidP="007E501A">
            <w:pPr>
              <w:spacing w:after="0" w:line="240" w:lineRule="auto"/>
              <w:rPr>
                <w:rFonts w:eastAsia="Times New Roman" w:cs="Times New Roman"/>
                <w:color w:val="000000"/>
                <w:kern w:val="0"/>
                <w:sz w:val="16"/>
                <w:szCs w:val="16"/>
                <w:lang w:eastAsia="pl-PL"/>
                <w14:ligatures w14:val="none"/>
              </w:rPr>
            </w:pPr>
            <w:r w:rsidRPr="00D8239D">
              <w:rPr>
                <w:rFonts w:eastAsia="Times New Roman" w:cs="Times New Roman"/>
                <w:color w:val="000000"/>
                <w:kern w:val="0"/>
                <w:sz w:val="16"/>
                <w:szCs w:val="16"/>
                <w:lang w:eastAsia="pl-PL"/>
                <w14:ligatures w14:val="none"/>
              </w:rPr>
              <w:t>Górnictwo</w:t>
            </w:r>
          </w:p>
        </w:tc>
        <w:tc>
          <w:tcPr>
            <w:tcW w:w="946" w:type="dxa"/>
            <w:tcBorders>
              <w:top w:val="nil"/>
              <w:left w:val="single" w:sz="4" w:space="0" w:color="auto"/>
              <w:bottom w:val="single" w:sz="4" w:space="0" w:color="auto"/>
              <w:right w:val="single" w:sz="4" w:space="0" w:color="auto"/>
            </w:tcBorders>
            <w:shd w:val="clear" w:color="auto" w:fill="auto"/>
            <w:noWrap/>
            <w:hideMark/>
          </w:tcPr>
          <w:p w14:paraId="6442496F" w14:textId="162BBF33"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9 951</w:t>
            </w:r>
          </w:p>
        </w:tc>
        <w:tc>
          <w:tcPr>
            <w:tcW w:w="946" w:type="dxa"/>
            <w:tcBorders>
              <w:top w:val="nil"/>
              <w:left w:val="nil"/>
              <w:bottom w:val="single" w:sz="4" w:space="0" w:color="auto"/>
              <w:right w:val="single" w:sz="4" w:space="0" w:color="auto"/>
            </w:tcBorders>
            <w:shd w:val="clear" w:color="auto" w:fill="auto"/>
            <w:noWrap/>
            <w:hideMark/>
          </w:tcPr>
          <w:p w14:paraId="5E080DE6" w14:textId="2C02455B"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8 895</w:t>
            </w:r>
          </w:p>
        </w:tc>
        <w:tc>
          <w:tcPr>
            <w:tcW w:w="946" w:type="dxa"/>
            <w:tcBorders>
              <w:top w:val="nil"/>
              <w:left w:val="nil"/>
              <w:bottom w:val="single" w:sz="4" w:space="0" w:color="auto"/>
              <w:right w:val="single" w:sz="4" w:space="0" w:color="auto"/>
            </w:tcBorders>
            <w:shd w:val="clear" w:color="auto" w:fill="auto"/>
            <w:noWrap/>
            <w:hideMark/>
          </w:tcPr>
          <w:p w14:paraId="760A23F1" w14:textId="1596BD42"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7 860</w:t>
            </w:r>
          </w:p>
        </w:tc>
        <w:tc>
          <w:tcPr>
            <w:tcW w:w="946" w:type="dxa"/>
            <w:tcBorders>
              <w:top w:val="nil"/>
              <w:left w:val="nil"/>
              <w:bottom w:val="single" w:sz="4" w:space="0" w:color="auto"/>
              <w:right w:val="single" w:sz="4" w:space="0" w:color="auto"/>
            </w:tcBorders>
            <w:shd w:val="clear" w:color="auto" w:fill="auto"/>
            <w:noWrap/>
            <w:hideMark/>
          </w:tcPr>
          <w:p w14:paraId="7E11CA42" w14:textId="0F2A1697"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6 949</w:t>
            </w:r>
          </w:p>
        </w:tc>
        <w:tc>
          <w:tcPr>
            <w:tcW w:w="1141" w:type="dxa"/>
            <w:tcBorders>
              <w:top w:val="nil"/>
              <w:left w:val="nil"/>
              <w:bottom w:val="single" w:sz="4" w:space="0" w:color="auto"/>
              <w:right w:val="single" w:sz="4" w:space="0" w:color="auto"/>
            </w:tcBorders>
            <w:shd w:val="clear" w:color="auto" w:fill="auto"/>
            <w:noWrap/>
            <w:hideMark/>
          </w:tcPr>
          <w:p w14:paraId="0B8953F8" w14:textId="1806EBB2" w:rsidR="007E501A" w:rsidRPr="007E501A" w:rsidRDefault="00017295" w:rsidP="007E501A">
            <w:pPr>
              <w:spacing w:after="0" w:line="240" w:lineRule="auto"/>
              <w:jc w:val="right"/>
              <w:rPr>
                <w:rFonts w:eastAsia="Times New Roman" w:cs="Times New Roman"/>
                <w:b/>
                <w:bCs/>
                <w:color w:val="000000"/>
                <w:kern w:val="0"/>
                <w:sz w:val="16"/>
                <w:szCs w:val="16"/>
                <w:lang w:eastAsia="pl-PL"/>
                <w14:ligatures w14:val="none"/>
              </w:rPr>
            </w:pPr>
            <w:r w:rsidRPr="00017295">
              <w:rPr>
                <w:sz w:val="16"/>
                <w:szCs w:val="16"/>
              </w:rPr>
              <w:t>33 655</w:t>
            </w:r>
          </w:p>
        </w:tc>
      </w:tr>
    </w:tbl>
    <w:p w14:paraId="555CAD3A" w14:textId="1815E762" w:rsidR="00ED5993" w:rsidRPr="00E91511" w:rsidRDefault="001C4F12" w:rsidP="00AE1F66">
      <w:pPr>
        <w:pStyle w:val="Legenda"/>
        <w:rPr>
          <w:rFonts w:ascii="Aptos" w:eastAsia="Aptos" w:hAnsi="Aptos" w:cs="Arial"/>
          <w:b/>
          <w:kern w:val="0"/>
          <w:lang w:val="pl-PL"/>
        </w:rPr>
      </w:pPr>
      <w:r w:rsidRPr="00E91511">
        <w:rPr>
          <w:lang w:val="pl-PL"/>
        </w:rPr>
        <w:t>Źródło: Opracowanie własne ARE S.A.</w:t>
      </w:r>
      <w:r w:rsidR="00B04532" w:rsidRPr="00E91511">
        <w:rPr>
          <w:lang w:val="pl-PL"/>
        </w:rPr>
        <w:t xml:space="preserve"> i MKiŚ</w:t>
      </w:r>
    </w:p>
    <w:p w14:paraId="298ACFAC" w14:textId="77777777" w:rsidR="007C0956" w:rsidRDefault="007C0956" w:rsidP="00ED1C26">
      <w:pPr>
        <w:pStyle w:val="Legenda"/>
        <w:keepNext/>
        <w:rPr>
          <w:lang w:val="pl-PL"/>
        </w:rPr>
      </w:pPr>
    </w:p>
    <w:p w14:paraId="2E11ACC6" w14:textId="74D53D9B" w:rsidR="00BC0844" w:rsidRPr="00A422A8" w:rsidRDefault="00ED5993" w:rsidP="00ED1C26">
      <w:pPr>
        <w:pStyle w:val="Legenda"/>
        <w:keepNext/>
        <w:rPr>
          <w:lang w:val="pl-PL"/>
        </w:rPr>
      </w:pPr>
      <w:r w:rsidRPr="00403CC2">
        <w:rPr>
          <w:lang w:val="pl-PL"/>
        </w:rPr>
        <w:t xml:space="preserve">Tabela </w:t>
      </w:r>
      <w:r w:rsidR="00CD6F22">
        <w:fldChar w:fldCharType="begin"/>
      </w:r>
      <w:r w:rsidR="00CD6F22">
        <w:rPr>
          <w:lang w:val="pl-PL"/>
        </w:rPr>
        <w:instrText xml:space="preserve"> STYLEREF 1 \s </w:instrText>
      </w:r>
      <w:r w:rsidR="00CD6F22">
        <w:fldChar w:fldCharType="separate"/>
      </w:r>
      <w:r w:rsidR="006314AC">
        <w:rPr>
          <w:noProof/>
          <w:lang w:val="pl-PL"/>
        </w:rPr>
        <w:t>1</w:t>
      </w:r>
      <w:r w:rsidR="00CD6F22">
        <w:fldChar w:fldCharType="end"/>
      </w:r>
      <w:r w:rsidR="00CD6F22">
        <w:rPr>
          <w:lang w:val="pl-PL"/>
        </w:rPr>
        <w:t>.</w:t>
      </w:r>
      <w:r w:rsidR="00CD6F22">
        <w:fldChar w:fldCharType="begin"/>
      </w:r>
      <w:r w:rsidR="00CD6F22">
        <w:rPr>
          <w:lang w:val="pl-PL"/>
        </w:rPr>
        <w:instrText xml:space="preserve"> SEQ Tabela \* ARABIC \s 1 </w:instrText>
      </w:r>
      <w:r w:rsidR="00CD6F22">
        <w:fldChar w:fldCharType="separate"/>
      </w:r>
      <w:r w:rsidR="006314AC">
        <w:rPr>
          <w:noProof/>
          <w:lang w:val="pl-PL"/>
        </w:rPr>
        <w:t>2</w:t>
      </w:r>
      <w:r w:rsidR="00CD6F22">
        <w:fldChar w:fldCharType="end"/>
      </w:r>
      <w:r w:rsidRPr="00403CC2">
        <w:rPr>
          <w:lang w:val="pl-PL"/>
        </w:rPr>
        <w:t xml:space="preserve">. Nakłady inwestycyjne w sektorach paliwowo-energetycznych [mln </w:t>
      </w:r>
      <w:r w:rsidR="00BC3EBA">
        <w:rPr>
          <w:lang w:val="pl-PL"/>
        </w:rPr>
        <w:t>PLN</w:t>
      </w:r>
      <w:r w:rsidR="007C137F">
        <w:rPr>
          <w:lang w:val="pl-PL"/>
        </w:rPr>
        <w:t>’2024</w:t>
      </w:r>
      <w:r w:rsidRPr="00403CC2">
        <w:rPr>
          <w:lang w:val="pl-PL"/>
        </w:rPr>
        <w:t>] dla scenariusza WAM</w:t>
      </w:r>
    </w:p>
    <w:tbl>
      <w:tblPr>
        <w:tblStyle w:val="KPEiK"/>
        <w:tblW w:w="4711" w:type="pct"/>
        <w:tblLayout w:type="fixed"/>
        <w:tblLook w:val="04A0" w:firstRow="1" w:lastRow="0" w:firstColumn="1" w:lastColumn="0" w:noHBand="0" w:noVBand="1"/>
      </w:tblPr>
      <w:tblGrid>
        <w:gridCol w:w="1281"/>
        <w:gridCol w:w="1890"/>
        <w:gridCol w:w="1073"/>
        <w:gridCol w:w="1073"/>
        <w:gridCol w:w="1074"/>
        <w:gridCol w:w="1073"/>
        <w:gridCol w:w="1074"/>
      </w:tblGrid>
      <w:tr w:rsidR="00D8239D" w:rsidRPr="00D8239D" w14:paraId="7B2399A7" w14:textId="77777777" w:rsidTr="00BC0844">
        <w:trPr>
          <w:cnfStyle w:val="100000000000" w:firstRow="1" w:lastRow="0" w:firstColumn="0" w:lastColumn="0" w:oddVBand="0" w:evenVBand="0" w:oddHBand="0" w:evenHBand="0" w:firstRowFirstColumn="0" w:firstRowLastColumn="0" w:lastRowFirstColumn="0" w:lastRowLastColumn="0"/>
          <w:trHeight w:val="211"/>
        </w:trPr>
        <w:tc>
          <w:tcPr>
            <w:tcW w:w="3171" w:type="dxa"/>
            <w:gridSpan w:val="2"/>
            <w:noWrap/>
            <w:hideMark/>
          </w:tcPr>
          <w:p w14:paraId="6BB82E3A" w14:textId="77777777" w:rsidR="00D8239D" w:rsidRPr="004405EC" w:rsidRDefault="00D8239D" w:rsidP="004405EC">
            <w:pPr>
              <w:spacing w:line="240" w:lineRule="auto"/>
              <w:jc w:val="center"/>
              <w:rPr>
                <w:rFonts w:eastAsia="Times New Roman" w:cs="Times New Roman"/>
                <w:b w:val="0"/>
                <w:bCs/>
                <w:sz w:val="16"/>
                <w:szCs w:val="16"/>
                <w:lang w:eastAsia="pl-PL"/>
              </w:rPr>
            </w:pPr>
            <w:r w:rsidRPr="004405EC">
              <w:rPr>
                <w:rFonts w:eastAsia="Times New Roman" w:cs="Times New Roman"/>
                <w:b w:val="0"/>
                <w:bCs/>
                <w:sz w:val="16"/>
                <w:szCs w:val="16"/>
                <w:lang w:eastAsia="pl-PL"/>
              </w:rPr>
              <w:t>Sektor</w:t>
            </w:r>
          </w:p>
        </w:tc>
        <w:tc>
          <w:tcPr>
            <w:tcW w:w="1073" w:type="dxa"/>
            <w:noWrap/>
            <w:hideMark/>
          </w:tcPr>
          <w:p w14:paraId="13D24F60" w14:textId="42BD3D98" w:rsidR="00D8239D" w:rsidRPr="004405EC" w:rsidRDefault="00D8239D" w:rsidP="004405EC">
            <w:pPr>
              <w:spacing w:line="240" w:lineRule="auto"/>
              <w:jc w:val="center"/>
              <w:rPr>
                <w:rFonts w:eastAsia="Times New Roman" w:cs="Times New Roman"/>
                <w:b w:val="0"/>
                <w:bCs/>
                <w:sz w:val="16"/>
                <w:szCs w:val="16"/>
                <w:lang w:eastAsia="pl-PL"/>
              </w:rPr>
            </w:pPr>
            <w:r w:rsidRPr="004405EC">
              <w:rPr>
                <w:rFonts w:eastAsia="Times New Roman" w:cs="Times New Roman"/>
                <w:b w:val="0"/>
                <w:bCs/>
                <w:sz w:val="16"/>
                <w:szCs w:val="16"/>
                <w:lang w:eastAsia="pl-PL"/>
              </w:rPr>
              <w:t>2021</w:t>
            </w:r>
            <w:r w:rsidR="002A2374" w:rsidRPr="004405EC">
              <w:rPr>
                <w:rFonts w:eastAsia="Times New Roman" w:cs="Times New Roman"/>
                <w:b w:val="0"/>
                <w:bCs/>
                <w:sz w:val="16"/>
                <w:szCs w:val="16"/>
                <w:lang w:eastAsia="pl-PL"/>
              </w:rPr>
              <w:t>–2</w:t>
            </w:r>
            <w:r w:rsidRPr="004405EC">
              <w:rPr>
                <w:rFonts w:eastAsia="Times New Roman" w:cs="Times New Roman"/>
                <w:b w:val="0"/>
                <w:bCs/>
                <w:sz w:val="16"/>
                <w:szCs w:val="16"/>
                <w:lang w:eastAsia="pl-PL"/>
              </w:rPr>
              <w:t>025</w:t>
            </w:r>
          </w:p>
        </w:tc>
        <w:tc>
          <w:tcPr>
            <w:tcW w:w="1073" w:type="dxa"/>
            <w:noWrap/>
            <w:hideMark/>
          </w:tcPr>
          <w:p w14:paraId="063BC35C" w14:textId="5FDADAC0" w:rsidR="00D8239D" w:rsidRPr="004405EC" w:rsidRDefault="00D8239D" w:rsidP="004405EC">
            <w:pPr>
              <w:spacing w:line="240" w:lineRule="auto"/>
              <w:jc w:val="center"/>
              <w:rPr>
                <w:rFonts w:eastAsia="Times New Roman" w:cs="Times New Roman"/>
                <w:b w:val="0"/>
                <w:bCs/>
                <w:sz w:val="16"/>
                <w:szCs w:val="16"/>
                <w:lang w:eastAsia="pl-PL"/>
              </w:rPr>
            </w:pPr>
            <w:r w:rsidRPr="004405EC">
              <w:rPr>
                <w:rFonts w:eastAsia="Times New Roman" w:cs="Times New Roman"/>
                <w:b w:val="0"/>
                <w:bCs/>
                <w:sz w:val="16"/>
                <w:szCs w:val="16"/>
                <w:lang w:eastAsia="pl-PL"/>
              </w:rPr>
              <w:t>2026</w:t>
            </w:r>
            <w:r w:rsidR="002A2374" w:rsidRPr="004405EC">
              <w:rPr>
                <w:rFonts w:eastAsia="Times New Roman" w:cs="Times New Roman"/>
                <w:b w:val="0"/>
                <w:bCs/>
                <w:sz w:val="16"/>
                <w:szCs w:val="16"/>
                <w:lang w:eastAsia="pl-PL"/>
              </w:rPr>
              <w:t>–2</w:t>
            </w:r>
            <w:r w:rsidRPr="004405EC">
              <w:rPr>
                <w:rFonts w:eastAsia="Times New Roman" w:cs="Times New Roman"/>
                <w:b w:val="0"/>
                <w:bCs/>
                <w:sz w:val="16"/>
                <w:szCs w:val="16"/>
                <w:lang w:eastAsia="pl-PL"/>
              </w:rPr>
              <w:t>030</w:t>
            </w:r>
          </w:p>
        </w:tc>
        <w:tc>
          <w:tcPr>
            <w:tcW w:w="1074" w:type="dxa"/>
            <w:noWrap/>
            <w:hideMark/>
          </w:tcPr>
          <w:p w14:paraId="3DC25DB7" w14:textId="248649CD" w:rsidR="00D8239D" w:rsidRPr="004405EC" w:rsidRDefault="00D8239D" w:rsidP="004405EC">
            <w:pPr>
              <w:spacing w:line="240" w:lineRule="auto"/>
              <w:jc w:val="center"/>
              <w:rPr>
                <w:rFonts w:eastAsia="Times New Roman" w:cs="Times New Roman"/>
                <w:b w:val="0"/>
                <w:bCs/>
                <w:sz w:val="16"/>
                <w:szCs w:val="16"/>
                <w:lang w:eastAsia="pl-PL"/>
              </w:rPr>
            </w:pPr>
            <w:r w:rsidRPr="004405EC">
              <w:rPr>
                <w:rFonts w:eastAsia="Times New Roman" w:cs="Times New Roman"/>
                <w:b w:val="0"/>
                <w:bCs/>
                <w:sz w:val="16"/>
                <w:szCs w:val="16"/>
                <w:lang w:eastAsia="pl-PL"/>
              </w:rPr>
              <w:t>2031</w:t>
            </w:r>
            <w:r w:rsidR="002A2374" w:rsidRPr="004405EC">
              <w:rPr>
                <w:rFonts w:eastAsia="Times New Roman" w:cs="Times New Roman"/>
                <w:b w:val="0"/>
                <w:bCs/>
                <w:sz w:val="16"/>
                <w:szCs w:val="16"/>
                <w:lang w:eastAsia="pl-PL"/>
              </w:rPr>
              <w:t>–2</w:t>
            </w:r>
            <w:r w:rsidRPr="004405EC">
              <w:rPr>
                <w:rFonts w:eastAsia="Times New Roman" w:cs="Times New Roman"/>
                <w:b w:val="0"/>
                <w:bCs/>
                <w:sz w:val="16"/>
                <w:szCs w:val="16"/>
                <w:lang w:eastAsia="pl-PL"/>
              </w:rPr>
              <w:t>035</w:t>
            </w:r>
          </w:p>
        </w:tc>
        <w:tc>
          <w:tcPr>
            <w:tcW w:w="1073" w:type="dxa"/>
            <w:noWrap/>
            <w:hideMark/>
          </w:tcPr>
          <w:p w14:paraId="6491FF48" w14:textId="3996ED9D" w:rsidR="00D8239D" w:rsidRPr="004405EC" w:rsidRDefault="00D8239D" w:rsidP="004405EC">
            <w:pPr>
              <w:spacing w:line="240" w:lineRule="auto"/>
              <w:jc w:val="center"/>
              <w:rPr>
                <w:rFonts w:eastAsia="Times New Roman" w:cs="Times New Roman"/>
                <w:b w:val="0"/>
                <w:bCs/>
                <w:sz w:val="16"/>
                <w:szCs w:val="16"/>
                <w:lang w:eastAsia="pl-PL"/>
              </w:rPr>
            </w:pPr>
            <w:r w:rsidRPr="004405EC">
              <w:rPr>
                <w:rFonts w:eastAsia="Times New Roman" w:cs="Times New Roman"/>
                <w:b w:val="0"/>
                <w:bCs/>
                <w:sz w:val="16"/>
                <w:szCs w:val="16"/>
                <w:lang w:eastAsia="pl-PL"/>
              </w:rPr>
              <w:t>2036</w:t>
            </w:r>
            <w:r w:rsidR="002A2374" w:rsidRPr="004405EC">
              <w:rPr>
                <w:rFonts w:eastAsia="Times New Roman" w:cs="Times New Roman"/>
                <w:b w:val="0"/>
                <w:bCs/>
                <w:sz w:val="16"/>
                <w:szCs w:val="16"/>
                <w:lang w:eastAsia="pl-PL"/>
              </w:rPr>
              <w:t>–2</w:t>
            </w:r>
            <w:r w:rsidRPr="004405EC">
              <w:rPr>
                <w:rFonts w:eastAsia="Times New Roman" w:cs="Times New Roman"/>
                <w:b w:val="0"/>
                <w:bCs/>
                <w:sz w:val="16"/>
                <w:szCs w:val="16"/>
                <w:lang w:eastAsia="pl-PL"/>
              </w:rPr>
              <w:t>040</w:t>
            </w:r>
          </w:p>
        </w:tc>
        <w:tc>
          <w:tcPr>
            <w:tcW w:w="1074" w:type="dxa"/>
            <w:noWrap/>
            <w:hideMark/>
          </w:tcPr>
          <w:p w14:paraId="4FFB6A23" w14:textId="5654CA14" w:rsidR="00D8239D" w:rsidRPr="004405EC" w:rsidRDefault="00D8239D" w:rsidP="004405EC">
            <w:pPr>
              <w:spacing w:line="240" w:lineRule="auto"/>
              <w:jc w:val="center"/>
              <w:rPr>
                <w:rFonts w:eastAsia="Times New Roman" w:cs="Times New Roman"/>
                <w:b w:val="0"/>
                <w:bCs/>
                <w:sz w:val="16"/>
                <w:szCs w:val="16"/>
                <w:lang w:eastAsia="pl-PL"/>
              </w:rPr>
            </w:pPr>
            <w:r w:rsidRPr="004405EC">
              <w:rPr>
                <w:rFonts w:eastAsia="Times New Roman" w:cs="Times New Roman"/>
                <w:b w:val="0"/>
                <w:bCs/>
                <w:sz w:val="16"/>
                <w:szCs w:val="16"/>
                <w:lang w:eastAsia="pl-PL"/>
              </w:rPr>
              <w:t>2021</w:t>
            </w:r>
            <w:r w:rsidR="002A2374" w:rsidRPr="004405EC">
              <w:rPr>
                <w:rFonts w:eastAsia="Times New Roman" w:cs="Times New Roman"/>
                <w:b w:val="0"/>
                <w:bCs/>
                <w:sz w:val="16"/>
                <w:szCs w:val="16"/>
                <w:lang w:eastAsia="pl-PL"/>
              </w:rPr>
              <w:t>–2</w:t>
            </w:r>
            <w:r w:rsidRPr="004405EC">
              <w:rPr>
                <w:rFonts w:eastAsia="Times New Roman" w:cs="Times New Roman"/>
                <w:b w:val="0"/>
                <w:bCs/>
                <w:sz w:val="16"/>
                <w:szCs w:val="16"/>
                <w:lang w:eastAsia="pl-PL"/>
              </w:rPr>
              <w:t>040</w:t>
            </w:r>
          </w:p>
        </w:tc>
      </w:tr>
      <w:tr w:rsidR="00724DF3" w:rsidRPr="00D8239D" w14:paraId="6FE7618C" w14:textId="77777777" w:rsidTr="001E7C20">
        <w:trPr>
          <w:trHeight w:val="211"/>
        </w:trPr>
        <w:tc>
          <w:tcPr>
            <w:tcW w:w="3171" w:type="dxa"/>
            <w:gridSpan w:val="2"/>
            <w:noWrap/>
            <w:hideMark/>
          </w:tcPr>
          <w:p w14:paraId="1FCA8CD0" w14:textId="77777777" w:rsidR="00765E21" w:rsidRPr="004405EC" w:rsidRDefault="00765E21" w:rsidP="00765E21">
            <w:pPr>
              <w:spacing w:line="240" w:lineRule="auto"/>
              <w:rPr>
                <w:rFonts w:eastAsia="Times New Roman" w:cs="Times New Roman"/>
                <w:color w:val="000000"/>
                <w:sz w:val="16"/>
                <w:szCs w:val="16"/>
                <w:lang w:eastAsia="pl-PL"/>
              </w:rPr>
            </w:pPr>
            <w:r w:rsidRPr="004405EC">
              <w:rPr>
                <w:rFonts w:eastAsia="Times New Roman" w:cs="Times New Roman"/>
                <w:color w:val="000000"/>
                <w:sz w:val="16"/>
                <w:szCs w:val="16"/>
                <w:lang w:eastAsia="pl-PL"/>
              </w:rPr>
              <w:lastRenderedPageBreak/>
              <w:t>Łączne nakłady inwestycyjne</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top"/>
            <w:hideMark/>
          </w:tcPr>
          <w:p w14:paraId="3888C5D4" w14:textId="34AE1575"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810 581</w:t>
            </w:r>
          </w:p>
        </w:tc>
        <w:tc>
          <w:tcPr>
            <w:tcW w:w="1073" w:type="dxa"/>
            <w:tcBorders>
              <w:top w:val="single" w:sz="4" w:space="0" w:color="auto"/>
              <w:left w:val="nil"/>
              <w:bottom w:val="single" w:sz="4" w:space="0" w:color="auto"/>
              <w:right w:val="single" w:sz="4" w:space="0" w:color="auto"/>
            </w:tcBorders>
            <w:shd w:val="clear" w:color="auto" w:fill="auto"/>
            <w:noWrap/>
            <w:vAlign w:val="top"/>
            <w:hideMark/>
          </w:tcPr>
          <w:p w14:paraId="721A2DAE" w14:textId="0446BF80"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917 891</w:t>
            </w:r>
          </w:p>
        </w:tc>
        <w:tc>
          <w:tcPr>
            <w:tcW w:w="1074" w:type="dxa"/>
            <w:tcBorders>
              <w:top w:val="single" w:sz="4" w:space="0" w:color="auto"/>
              <w:left w:val="nil"/>
              <w:bottom w:val="single" w:sz="4" w:space="0" w:color="auto"/>
              <w:right w:val="single" w:sz="4" w:space="0" w:color="auto"/>
            </w:tcBorders>
            <w:shd w:val="clear" w:color="auto" w:fill="auto"/>
            <w:noWrap/>
            <w:vAlign w:val="top"/>
            <w:hideMark/>
          </w:tcPr>
          <w:p w14:paraId="715759FA" w14:textId="46E77192"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905 353</w:t>
            </w:r>
          </w:p>
        </w:tc>
        <w:tc>
          <w:tcPr>
            <w:tcW w:w="1073" w:type="dxa"/>
            <w:tcBorders>
              <w:top w:val="single" w:sz="4" w:space="0" w:color="auto"/>
              <w:left w:val="nil"/>
              <w:bottom w:val="single" w:sz="4" w:space="0" w:color="auto"/>
              <w:right w:val="single" w:sz="4" w:space="0" w:color="auto"/>
            </w:tcBorders>
            <w:shd w:val="clear" w:color="auto" w:fill="auto"/>
            <w:noWrap/>
            <w:vAlign w:val="top"/>
            <w:hideMark/>
          </w:tcPr>
          <w:p w14:paraId="3F23D012" w14:textId="7A69D36E"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1 008 803</w:t>
            </w:r>
          </w:p>
        </w:tc>
        <w:tc>
          <w:tcPr>
            <w:tcW w:w="1074" w:type="dxa"/>
            <w:tcBorders>
              <w:top w:val="single" w:sz="4" w:space="0" w:color="auto"/>
              <w:left w:val="single" w:sz="4" w:space="0" w:color="auto"/>
              <w:bottom w:val="single" w:sz="4" w:space="0" w:color="auto"/>
              <w:right w:val="single" w:sz="4" w:space="0" w:color="auto"/>
            </w:tcBorders>
            <w:shd w:val="clear" w:color="auto" w:fill="auto"/>
            <w:noWrap/>
            <w:vAlign w:val="top"/>
            <w:hideMark/>
          </w:tcPr>
          <w:p w14:paraId="5BF20CF1" w14:textId="7DBBCEB2"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3 642 627</w:t>
            </w:r>
          </w:p>
        </w:tc>
      </w:tr>
      <w:tr w:rsidR="00765E21" w:rsidRPr="00D8239D" w14:paraId="539ECDFB" w14:textId="77777777" w:rsidTr="00566C5D">
        <w:trPr>
          <w:trHeight w:val="211"/>
        </w:trPr>
        <w:tc>
          <w:tcPr>
            <w:tcW w:w="3171" w:type="dxa"/>
            <w:gridSpan w:val="2"/>
            <w:noWrap/>
            <w:hideMark/>
          </w:tcPr>
          <w:p w14:paraId="1A963C8F" w14:textId="77777777" w:rsidR="00765E21" w:rsidRPr="004405EC" w:rsidRDefault="00765E21" w:rsidP="00765E21">
            <w:pPr>
              <w:spacing w:line="240" w:lineRule="auto"/>
              <w:rPr>
                <w:rFonts w:eastAsia="Times New Roman" w:cs="Times New Roman"/>
                <w:color w:val="000000"/>
                <w:sz w:val="16"/>
                <w:szCs w:val="16"/>
                <w:lang w:eastAsia="pl-PL"/>
              </w:rPr>
            </w:pPr>
            <w:r w:rsidRPr="004405EC">
              <w:rPr>
                <w:rFonts w:eastAsia="Times New Roman" w:cs="Times New Roman"/>
                <w:color w:val="000000"/>
                <w:sz w:val="16"/>
                <w:szCs w:val="16"/>
                <w:lang w:eastAsia="pl-PL"/>
              </w:rPr>
              <w:t>Przemysł</w:t>
            </w:r>
          </w:p>
        </w:tc>
        <w:tc>
          <w:tcPr>
            <w:tcW w:w="1073" w:type="dxa"/>
            <w:tcBorders>
              <w:top w:val="nil"/>
              <w:left w:val="single" w:sz="4" w:space="0" w:color="auto"/>
              <w:bottom w:val="single" w:sz="4" w:space="0" w:color="auto"/>
              <w:right w:val="single" w:sz="4" w:space="0" w:color="auto"/>
            </w:tcBorders>
            <w:shd w:val="clear" w:color="auto" w:fill="auto"/>
            <w:noWrap/>
            <w:vAlign w:val="top"/>
            <w:hideMark/>
          </w:tcPr>
          <w:p w14:paraId="109E07CE" w14:textId="6EF4E198"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35 327</w:t>
            </w:r>
          </w:p>
        </w:tc>
        <w:tc>
          <w:tcPr>
            <w:tcW w:w="1073" w:type="dxa"/>
            <w:tcBorders>
              <w:top w:val="nil"/>
              <w:left w:val="nil"/>
              <w:bottom w:val="single" w:sz="4" w:space="0" w:color="auto"/>
              <w:right w:val="single" w:sz="4" w:space="0" w:color="auto"/>
            </w:tcBorders>
            <w:shd w:val="clear" w:color="auto" w:fill="auto"/>
            <w:noWrap/>
            <w:vAlign w:val="top"/>
            <w:hideMark/>
          </w:tcPr>
          <w:p w14:paraId="199E12C0" w14:textId="0E051530"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31 467</w:t>
            </w:r>
          </w:p>
        </w:tc>
        <w:tc>
          <w:tcPr>
            <w:tcW w:w="1074" w:type="dxa"/>
            <w:tcBorders>
              <w:top w:val="nil"/>
              <w:left w:val="nil"/>
              <w:bottom w:val="single" w:sz="4" w:space="0" w:color="auto"/>
              <w:right w:val="single" w:sz="4" w:space="0" w:color="auto"/>
            </w:tcBorders>
            <w:shd w:val="clear" w:color="auto" w:fill="auto"/>
            <w:noWrap/>
            <w:vAlign w:val="top"/>
            <w:hideMark/>
          </w:tcPr>
          <w:p w14:paraId="604209F8" w14:textId="5563B549"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40 398</w:t>
            </w:r>
          </w:p>
        </w:tc>
        <w:tc>
          <w:tcPr>
            <w:tcW w:w="1073" w:type="dxa"/>
            <w:tcBorders>
              <w:top w:val="nil"/>
              <w:left w:val="nil"/>
              <w:bottom w:val="single" w:sz="4" w:space="0" w:color="auto"/>
              <w:right w:val="single" w:sz="4" w:space="0" w:color="auto"/>
            </w:tcBorders>
            <w:shd w:val="clear" w:color="auto" w:fill="auto"/>
            <w:noWrap/>
            <w:vAlign w:val="top"/>
            <w:hideMark/>
          </w:tcPr>
          <w:p w14:paraId="60854E1A" w14:textId="31EF28B1"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51 228</w:t>
            </w:r>
          </w:p>
        </w:tc>
        <w:tc>
          <w:tcPr>
            <w:tcW w:w="1074" w:type="dxa"/>
            <w:tcBorders>
              <w:top w:val="nil"/>
              <w:left w:val="single" w:sz="4" w:space="0" w:color="auto"/>
              <w:bottom w:val="single" w:sz="4" w:space="0" w:color="auto"/>
              <w:right w:val="single" w:sz="4" w:space="0" w:color="auto"/>
            </w:tcBorders>
            <w:shd w:val="clear" w:color="auto" w:fill="auto"/>
            <w:noWrap/>
            <w:vAlign w:val="top"/>
            <w:hideMark/>
          </w:tcPr>
          <w:p w14:paraId="75122192" w14:textId="6DA981DA"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158 419</w:t>
            </w:r>
          </w:p>
        </w:tc>
      </w:tr>
      <w:tr w:rsidR="00765E21" w:rsidRPr="00D8239D" w14:paraId="1F70566F" w14:textId="77777777" w:rsidTr="00566C5D">
        <w:trPr>
          <w:trHeight w:val="211"/>
        </w:trPr>
        <w:tc>
          <w:tcPr>
            <w:tcW w:w="3171" w:type="dxa"/>
            <w:gridSpan w:val="2"/>
            <w:noWrap/>
            <w:hideMark/>
          </w:tcPr>
          <w:p w14:paraId="0E50FE6A" w14:textId="77777777" w:rsidR="00765E21" w:rsidRPr="004405EC" w:rsidRDefault="00765E21" w:rsidP="00765E21">
            <w:pPr>
              <w:spacing w:line="240" w:lineRule="auto"/>
              <w:rPr>
                <w:rFonts w:eastAsia="Times New Roman" w:cs="Times New Roman"/>
                <w:color w:val="000000"/>
                <w:sz w:val="16"/>
                <w:szCs w:val="16"/>
                <w:lang w:eastAsia="pl-PL"/>
              </w:rPr>
            </w:pPr>
            <w:r w:rsidRPr="004405EC">
              <w:rPr>
                <w:rFonts w:eastAsia="Times New Roman" w:cs="Times New Roman"/>
                <w:color w:val="000000"/>
                <w:sz w:val="16"/>
                <w:szCs w:val="16"/>
                <w:lang w:eastAsia="pl-PL"/>
              </w:rPr>
              <w:t>Transport</w:t>
            </w:r>
          </w:p>
        </w:tc>
        <w:tc>
          <w:tcPr>
            <w:tcW w:w="1073" w:type="dxa"/>
            <w:tcBorders>
              <w:top w:val="nil"/>
              <w:left w:val="single" w:sz="4" w:space="0" w:color="auto"/>
              <w:bottom w:val="single" w:sz="4" w:space="0" w:color="auto"/>
              <w:right w:val="single" w:sz="4" w:space="0" w:color="auto"/>
            </w:tcBorders>
            <w:shd w:val="clear" w:color="auto" w:fill="auto"/>
            <w:noWrap/>
            <w:vAlign w:val="top"/>
            <w:hideMark/>
          </w:tcPr>
          <w:p w14:paraId="543CCF05" w14:textId="3CEA5F83"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215 966</w:t>
            </w:r>
          </w:p>
        </w:tc>
        <w:tc>
          <w:tcPr>
            <w:tcW w:w="1073" w:type="dxa"/>
            <w:tcBorders>
              <w:top w:val="nil"/>
              <w:left w:val="nil"/>
              <w:bottom w:val="single" w:sz="4" w:space="0" w:color="auto"/>
              <w:right w:val="single" w:sz="4" w:space="0" w:color="auto"/>
            </w:tcBorders>
            <w:shd w:val="clear" w:color="auto" w:fill="auto"/>
            <w:noWrap/>
            <w:vAlign w:val="top"/>
            <w:hideMark/>
          </w:tcPr>
          <w:p w14:paraId="3BDEDA98" w14:textId="056D7279"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175 811</w:t>
            </w:r>
          </w:p>
        </w:tc>
        <w:tc>
          <w:tcPr>
            <w:tcW w:w="1074" w:type="dxa"/>
            <w:tcBorders>
              <w:top w:val="nil"/>
              <w:left w:val="nil"/>
              <w:bottom w:val="single" w:sz="4" w:space="0" w:color="auto"/>
              <w:right w:val="single" w:sz="4" w:space="0" w:color="auto"/>
            </w:tcBorders>
            <w:shd w:val="clear" w:color="auto" w:fill="auto"/>
            <w:noWrap/>
            <w:vAlign w:val="top"/>
            <w:hideMark/>
          </w:tcPr>
          <w:p w14:paraId="6F74C2A5" w14:textId="2726F593"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155 237</w:t>
            </w:r>
          </w:p>
        </w:tc>
        <w:tc>
          <w:tcPr>
            <w:tcW w:w="1073" w:type="dxa"/>
            <w:tcBorders>
              <w:top w:val="nil"/>
              <w:left w:val="nil"/>
              <w:bottom w:val="single" w:sz="4" w:space="0" w:color="auto"/>
              <w:right w:val="single" w:sz="4" w:space="0" w:color="auto"/>
            </w:tcBorders>
            <w:shd w:val="clear" w:color="auto" w:fill="auto"/>
            <w:noWrap/>
            <w:vAlign w:val="top"/>
            <w:hideMark/>
          </w:tcPr>
          <w:p w14:paraId="6D5C3471" w14:textId="6E82A2FF"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129 364</w:t>
            </w:r>
          </w:p>
        </w:tc>
        <w:tc>
          <w:tcPr>
            <w:tcW w:w="1074" w:type="dxa"/>
            <w:tcBorders>
              <w:top w:val="nil"/>
              <w:left w:val="single" w:sz="4" w:space="0" w:color="auto"/>
              <w:bottom w:val="single" w:sz="4" w:space="0" w:color="auto"/>
              <w:right w:val="single" w:sz="4" w:space="0" w:color="auto"/>
            </w:tcBorders>
            <w:shd w:val="clear" w:color="auto" w:fill="auto"/>
            <w:noWrap/>
            <w:vAlign w:val="top"/>
            <w:hideMark/>
          </w:tcPr>
          <w:p w14:paraId="0554C0AD" w14:textId="28CC12E4"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676 378</w:t>
            </w:r>
          </w:p>
        </w:tc>
      </w:tr>
      <w:tr w:rsidR="00765E21" w:rsidRPr="00D8239D" w14:paraId="5C4C875D" w14:textId="77777777" w:rsidTr="00566C5D">
        <w:trPr>
          <w:trHeight w:val="211"/>
        </w:trPr>
        <w:tc>
          <w:tcPr>
            <w:tcW w:w="3171" w:type="dxa"/>
            <w:gridSpan w:val="2"/>
            <w:noWrap/>
            <w:hideMark/>
          </w:tcPr>
          <w:p w14:paraId="33B0B2E5" w14:textId="77777777" w:rsidR="00765E21" w:rsidRPr="004405EC" w:rsidRDefault="00765E21" w:rsidP="00765E21">
            <w:pPr>
              <w:spacing w:line="240" w:lineRule="auto"/>
              <w:rPr>
                <w:rFonts w:eastAsia="Times New Roman" w:cs="Times New Roman"/>
                <w:color w:val="000000"/>
                <w:sz w:val="16"/>
                <w:szCs w:val="16"/>
                <w:lang w:eastAsia="pl-PL"/>
              </w:rPr>
            </w:pPr>
            <w:r w:rsidRPr="004405EC">
              <w:rPr>
                <w:rFonts w:eastAsia="Times New Roman" w:cs="Times New Roman"/>
                <w:color w:val="000000"/>
                <w:sz w:val="16"/>
                <w:szCs w:val="16"/>
                <w:lang w:eastAsia="pl-PL"/>
              </w:rPr>
              <w:t>Gospodarstwa domowe</w:t>
            </w:r>
          </w:p>
        </w:tc>
        <w:tc>
          <w:tcPr>
            <w:tcW w:w="1073" w:type="dxa"/>
            <w:tcBorders>
              <w:top w:val="nil"/>
              <w:left w:val="single" w:sz="4" w:space="0" w:color="auto"/>
              <w:bottom w:val="single" w:sz="4" w:space="0" w:color="auto"/>
              <w:right w:val="single" w:sz="4" w:space="0" w:color="auto"/>
            </w:tcBorders>
            <w:shd w:val="clear" w:color="auto" w:fill="auto"/>
            <w:noWrap/>
            <w:vAlign w:val="top"/>
            <w:hideMark/>
          </w:tcPr>
          <w:p w14:paraId="1CCBDB7A" w14:textId="1012E473"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92 232</w:t>
            </w:r>
          </w:p>
        </w:tc>
        <w:tc>
          <w:tcPr>
            <w:tcW w:w="1073" w:type="dxa"/>
            <w:tcBorders>
              <w:top w:val="nil"/>
              <w:left w:val="nil"/>
              <w:bottom w:val="single" w:sz="4" w:space="0" w:color="auto"/>
              <w:right w:val="single" w:sz="4" w:space="0" w:color="auto"/>
            </w:tcBorders>
            <w:shd w:val="clear" w:color="auto" w:fill="auto"/>
            <w:noWrap/>
            <w:vAlign w:val="top"/>
            <w:hideMark/>
          </w:tcPr>
          <w:p w14:paraId="53AF9A75" w14:textId="15B8ADD8"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83 859</w:t>
            </w:r>
          </w:p>
        </w:tc>
        <w:tc>
          <w:tcPr>
            <w:tcW w:w="1074" w:type="dxa"/>
            <w:tcBorders>
              <w:top w:val="nil"/>
              <w:left w:val="nil"/>
              <w:bottom w:val="single" w:sz="4" w:space="0" w:color="auto"/>
              <w:right w:val="single" w:sz="4" w:space="0" w:color="auto"/>
            </w:tcBorders>
            <w:shd w:val="clear" w:color="auto" w:fill="auto"/>
            <w:noWrap/>
            <w:vAlign w:val="top"/>
            <w:hideMark/>
          </w:tcPr>
          <w:p w14:paraId="12C54AC1" w14:textId="27C00A32"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89 743</w:t>
            </w:r>
          </w:p>
        </w:tc>
        <w:tc>
          <w:tcPr>
            <w:tcW w:w="1073" w:type="dxa"/>
            <w:tcBorders>
              <w:top w:val="nil"/>
              <w:left w:val="nil"/>
              <w:bottom w:val="single" w:sz="4" w:space="0" w:color="auto"/>
              <w:right w:val="single" w:sz="4" w:space="0" w:color="auto"/>
            </w:tcBorders>
            <w:shd w:val="clear" w:color="auto" w:fill="auto"/>
            <w:noWrap/>
            <w:vAlign w:val="top"/>
            <w:hideMark/>
          </w:tcPr>
          <w:p w14:paraId="35D19632" w14:textId="658BD97F"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110 311</w:t>
            </w:r>
          </w:p>
        </w:tc>
        <w:tc>
          <w:tcPr>
            <w:tcW w:w="1074" w:type="dxa"/>
            <w:tcBorders>
              <w:top w:val="nil"/>
              <w:left w:val="single" w:sz="4" w:space="0" w:color="auto"/>
              <w:bottom w:val="single" w:sz="4" w:space="0" w:color="auto"/>
              <w:right w:val="single" w:sz="4" w:space="0" w:color="auto"/>
            </w:tcBorders>
            <w:shd w:val="clear" w:color="auto" w:fill="auto"/>
            <w:noWrap/>
            <w:vAlign w:val="top"/>
            <w:hideMark/>
          </w:tcPr>
          <w:p w14:paraId="447BCBF6" w14:textId="148DEB35"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376 145</w:t>
            </w:r>
          </w:p>
        </w:tc>
      </w:tr>
      <w:tr w:rsidR="00765E21" w:rsidRPr="00D8239D" w14:paraId="4E7798E2" w14:textId="77777777" w:rsidTr="00566C5D">
        <w:trPr>
          <w:trHeight w:val="211"/>
        </w:trPr>
        <w:tc>
          <w:tcPr>
            <w:tcW w:w="3171" w:type="dxa"/>
            <w:gridSpan w:val="2"/>
            <w:noWrap/>
            <w:hideMark/>
          </w:tcPr>
          <w:p w14:paraId="7EF1E34E" w14:textId="77777777" w:rsidR="00765E21" w:rsidRPr="004405EC" w:rsidRDefault="00765E21" w:rsidP="00765E21">
            <w:pPr>
              <w:spacing w:line="240" w:lineRule="auto"/>
              <w:rPr>
                <w:rFonts w:eastAsia="Times New Roman" w:cs="Times New Roman"/>
                <w:color w:val="000000"/>
                <w:sz w:val="16"/>
                <w:szCs w:val="16"/>
                <w:lang w:eastAsia="pl-PL"/>
              </w:rPr>
            </w:pPr>
            <w:r w:rsidRPr="004405EC">
              <w:rPr>
                <w:rFonts w:eastAsia="Times New Roman" w:cs="Times New Roman"/>
                <w:color w:val="000000"/>
                <w:sz w:val="16"/>
                <w:szCs w:val="16"/>
                <w:lang w:eastAsia="pl-PL"/>
              </w:rPr>
              <w:t>Usługi</w:t>
            </w:r>
          </w:p>
        </w:tc>
        <w:tc>
          <w:tcPr>
            <w:tcW w:w="1073" w:type="dxa"/>
            <w:tcBorders>
              <w:top w:val="nil"/>
              <w:left w:val="single" w:sz="4" w:space="0" w:color="auto"/>
              <w:bottom w:val="single" w:sz="4" w:space="0" w:color="auto"/>
              <w:right w:val="single" w:sz="4" w:space="0" w:color="auto"/>
            </w:tcBorders>
            <w:shd w:val="clear" w:color="auto" w:fill="auto"/>
            <w:noWrap/>
            <w:vAlign w:val="top"/>
            <w:hideMark/>
          </w:tcPr>
          <w:p w14:paraId="20AA3674" w14:textId="42C73944"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11 834</w:t>
            </w:r>
          </w:p>
        </w:tc>
        <w:tc>
          <w:tcPr>
            <w:tcW w:w="1073" w:type="dxa"/>
            <w:tcBorders>
              <w:top w:val="nil"/>
              <w:left w:val="nil"/>
              <w:bottom w:val="single" w:sz="4" w:space="0" w:color="auto"/>
              <w:right w:val="single" w:sz="4" w:space="0" w:color="auto"/>
            </w:tcBorders>
            <w:shd w:val="clear" w:color="auto" w:fill="auto"/>
            <w:noWrap/>
            <w:vAlign w:val="top"/>
            <w:hideMark/>
          </w:tcPr>
          <w:p w14:paraId="3CF7B138" w14:textId="6A0117B5"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9 444</w:t>
            </w:r>
          </w:p>
        </w:tc>
        <w:tc>
          <w:tcPr>
            <w:tcW w:w="1074" w:type="dxa"/>
            <w:tcBorders>
              <w:top w:val="nil"/>
              <w:left w:val="nil"/>
              <w:bottom w:val="single" w:sz="4" w:space="0" w:color="auto"/>
              <w:right w:val="single" w:sz="4" w:space="0" w:color="auto"/>
            </w:tcBorders>
            <w:shd w:val="clear" w:color="auto" w:fill="auto"/>
            <w:noWrap/>
            <w:vAlign w:val="top"/>
            <w:hideMark/>
          </w:tcPr>
          <w:p w14:paraId="05568A36" w14:textId="1C43BC90"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8 284</w:t>
            </w:r>
          </w:p>
        </w:tc>
        <w:tc>
          <w:tcPr>
            <w:tcW w:w="1073" w:type="dxa"/>
            <w:tcBorders>
              <w:top w:val="nil"/>
              <w:left w:val="nil"/>
              <w:bottom w:val="single" w:sz="4" w:space="0" w:color="auto"/>
              <w:right w:val="single" w:sz="4" w:space="0" w:color="auto"/>
            </w:tcBorders>
            <w:shd w:val="clear" w:color="auto" w:fill="auto"/>
            <w:noWrap/>
            <w:vAlign w:val="top"/>
            <w:hideMark/>
          </w:tcPr>
          <w:p w14:paraId="6400FD6D" w14:textId="04E6F544"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7 984</w:t>
            </w:r>
          </w:p>
        </w:tc>
        <w:tc>
          <w:tcPr>
            <w:tcW w:w="1074" w:type="dxa"/>
            <w:tcBorders>
              <w:top w:val="nil"/>
              <w:left w:val="single" w:sz="4" w:space="0" w:color="auto"/>
              <w:bottom w:val="single" w:sz="4" w:space="0" w:color="auto"/>
              <w:right w:val="single" w:sz="4" w:space="0" w:color="auto"/>
            </w:tcBorders>
            <w:shd w:val="clear" w:color="auto" w:fill="auto"/>
            <w:noWrap/>
            <w:vAlign w:val="top"/>
            <w:hideMark/>
          </w:tcPr>
          <w:p w14:paraId="15072733" w14:textId="7DA7FC12"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37 547</w:t>
            </w:r>
          </w:p>
        </w:tc>
      </w:tr>
      <w:tr w:rsidR="00765E21" w:rsidRPr="00D8239D" w14:paraId="728C7908" w14:textId="77777777" w:rsidTr="00566C5D">
        <w:trPr>
          <w:trHeight w:val="211"/>
        </w:trPr>
        <w:tc>
          <w:tcPr>
            <w:tcW w:w="3171" w:type="dxa"/>
            <w:gridSpan w:val="2"/>
            <w:noWrap/>
            <w:hideMark/>
          </w:tcPr>
          <w:p w14:paraId="5D30E945" w14:textId="77777777" w:rsidR="00765E21" w:rsidRPr="004405EC" w:rsidRDefault="00765E21" w:rsidP="00765E21">
            <w:pPr>
              <w:spacing w:line="240" w:lineRule="auto"/>
              <w:rPr>
                <w:rFonts w:eastAsia="Times New Roman" w:cs="Times New Roman"/>
                <w:color w:val="000000"/>
                <w:sz w:val="16"/>
                <w:szCs w:val="16"/>
                <w:lang w:eastAsia="pl-PL"/>
              </w:rPr>
            </w:pPr>
            <w:r w:rsidRPr="004405EC">
              <w:rPr>
                <w:rFonts w:eastAsia="Times New Roman" w:cs="Times New Roman"/>
                <w:color w:val="000000"/>
                <w:sz w:val="16"/>
                <w:szCs w:val="16"/>
                <w:lang w:eastAsia="pl-PL"/>
              </w:rPr>
              <w:t>Rolnictwo</w:t>
            </w:r>
          </w:p>
        </w:tc>
        <w:tc>
          <w:tcPr>
            <w:tcW w:w="1073" w:type="dxa"/>
            <w:tcBorders>
              <w:top w:val="nil"/>
              <w:left w:val="single" w:sz="4" w:space="0" w:color="auto"/>
              <w:bottom w:val="single" w:sz="4" w:space="0" w:color="auto"/>
              <w:right w:val="single" w:sz="4" w:space="0" w:color="auto"/>
            </w:tcBorders>
            <w:shd w:val="clear" w:color="auto" w:fill="auto"/>
            <w:noWrap/>
            <w:vAlign w:val="top"/>
            <w:hideMark/>
          </w:tcPr>
          <w:p w14:paraId="3871EDBC" w14:textId="773C8521"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28 915</w:t>
            </w:r>
          </w:p>
        </w:tc>
        <w:tc>
          <w:tcPr>
            <w:tcW w:w="1073" w:type="dxa"/>
            <w:tcBorders>
              <w:top w:val="nil"/>
              <w:left w:val="nil"/>
              <w:bottom w:val="single" w:sz="4" w:space="0" w:color="auto"/>
              <w:right w:val="single" w:sz="4" w:space="0" w:color="auto"/>
            </w:tcBorders>
            <w:shd w:val="clear" w:color="auto" w:fill="auto"/>
            <w:noWrap/>
            <w:vAlign w:val="top"/>
            <w:hideMark/>
          </w:tcPr>
          <w:p w14:paraId="05BA0DD5" w14:textId="1F5D8174"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26 670</w:t>
            </w:r>
          </w:p>
        </w:tc>
        <w:tc>
          <w:tcPr>
            <w:tcW w:w="1074" w:type="dxa"/>
            <w:tcBorders>
              <w:top w:val="nil"/>
              <w:left w:val="nil"/>
              <w:bottom w:val="single" w:sz="4" w:space="0" w:color="auto"/>
              <w:right w:val="single" w:sz="4" w:space="0" w:color="auto"/>
            </w:tcBorders>
            <w:shd w:val="clear" w:color="auto" w:fill="auto"/>
            <w:noWrap/>
            <w:vAlign w:val="top"/>
            <w:hideMark/>
          </w:tcPr>
          <w:p w14:paraId="4DB15143" w14:textId="5607EFDA"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23 663</w:t>
            </w:r>
          </w:p>
        </w:tc>
        <w:tc>
          <w:tcPr>
            <w:tcW w:w="1073" w:type="dxa"/>
            <w:tcBorders>
              <w:top w:val="nil"/>
              <w:left w:val="nil"/>
              <w:bottom w:val="single" w:sz="4" w:space="0" w:color="auto"/>
              <w:right w:val="single" w:sz="4" w:space="0" w:color="auto"/>
            </w:tcBorders>
            <w:shd w:val="clear" w:color="auto" w:fill="auto"/>
            <w:noWrap/>
            <w:vAlign w:val="top"/>
            <w:hideMark/>
          </w:tcPr>
          <w:p w14:paraId="2687499D" w14:textId="753F8039"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20 481</w:t>
            </w:r>
          </w:p>
        </w:tc>
        <w:tc>
          <w:tcPr>
            <w:tcW w:w="1074" w:type="dxa"/>
            <w:tcBorders>
              <w:top w:val="nil"/>
              <w:left w:val="single" w:sz="4" w:space="0" w:color="auto"/>
              <w:bottom w:val="single" w:sz="4" w:space="0" w:color="auto"/>
              <w:right w:val="single" w:sz="4" w:space="0" w:color="auto"/>
            </w:tcBorders>
            <w:shd w:val="clear" w:color="auto" w:fill="auto"/>
            <w:noWrap/>
            <w:vAlign w:val="top"/>
            <w:hideMark/>
          </w:tcPr>
          <w:p w14:paraId="2F1FD072" w14:textId="13509030" w:rsidR="00765E21" w:rsidRPr="004405EC" w:rsidRDefault="008F59E4" w:rsidP="00765E21">
            <w:pPr>
              <w:spacing w:line="240" w:lineRule="auto"/>
              <w:jc w:val="right"/>
              <w:rPr>
                <w:rFonts w:eastAsia="Times New Roman" w:cs="Times New Roman"/>
                <w:b/>
                <w:bCs/>
                <w:color w:val="000000"/>
                <w:sz w:val="16"/>
                <w:szCs w:val="16"/>
                <w:lang w:eastAsia="pl-PL"/>
              </w:rPr>
            </w:pPr>
            <w:r w:rsidRPr="000A135F">
              <w:rPr>
                <w:sz w:val="16"/>
                <w:szCs w:val="16"/>
              </w:rPr>
              <w:t>99 729</w:t>
            </w:r>
          </w:p>
        </w:tc>
      </w:tr>
      <w:tr w:rsidR="009133AF" w:rsidRPr="00D8239D" w14:paraId="429691FA" w14:textId="77777777" w:rsidTr="00566C5D">
        <w:trPr>
          <w:trHeight w:val="211"/>
        </w:trPr>
        <w:tc>
          <w:tcPr>
            <w:tcW w:w="1281" w:type="dxa"/>
            <w:vMerge w:val="restart"/>
            <w:noWrap/>
            <w:hideMark/>
          </w:tcPr>
          <w:p w14:paraId="120C1D06" w14:textId="77777777" w:rsidR="009133AF" w:rsidRPr="004405EC" w:rsidRDefault="009133AF" w:rsidP="009133AF">
            <w:pPr>
              <w:spacing w:line="240" w:lineRule="auto"/>
              <w:rPr>
                <w:rFonts w:eastAsia="Times New Roman" w:cs="Times New Roman"/>
                <w:color w:val="000000"/>
                <w:sz w:val="16"/>
                <w:szCs w:val="16"/>
                <w:lang w:eastAsia="pl-PL"/>
              </w:rPr>
            </w:pPr>
            <w:r w:rsidRPr="004405EC">
              <w:rPr>
                <w:rFonts w:eastAsia="Times New Roman" w:cs="Times New Roman"/>
                <w:color w:val="000000"/>
                <w:sz w:val="16"/>
                <w:szCs w:val="16"/>
                <w:lang w:eastAsia="pl-PL"/>
              </w:rPr>
              <w:t>Sektor energetyczny</w:t>
            </w:r>
          </w:p>
        </w:tc>
        <w:tc>
          <w:tcPr>
            <w:tcW w:w="1890" w:type="dxa"/>
            <w:noWrap/>
            <w:hideMark/>
          </w:tcPr>
          <w:p w14:paraId="75C21F0E" w14:textId="6CF83FCA" w:rsidR="009133AF" w:rsidRPr="004405EC" w:rsidRDefault="00206C34" w:rsidP="00206C34">
            <w:pPr>
              <w:spacing w:line="240" w:lineRule="auto"/>
              <w:jc w:val="left"/>
              <w:rPr>
                <w:rFonts w:eastAsia="Times New Roman" w:cs="Times New Roman"/>
                <w:color w:val="000000"/>
                <w:sz w:val="16"/>
                <w:szCs w:val="16"/>
                <w:lang w:eastAsia="pl-PL"/>
              </w:rPr>
            </w:pPr>
            <w:r>
              <w:rPr>
                <w:rFonts w:eastAsia="Times New Roman" w:cs="Times New Roman"/>
                <w:color w:val="000000"/>
                <w:sz w:val="16"/>
                <w:szCs w:val="16"/>
                <w:lang w:eastAsia="pl-PL"/>
              </w:rPr>
              <w:t>P</w:t>
            </w:r>
            <w:r w:rsidR="009133AF" w:rsidRPr="004405EC">
              <w:rPr>
                <w:rFonts w:eastAsia="Times New Roman" w:cs="Times New Roman"/>
                <w:color w:val="000000"/>
                <w:sz w:val="16"/>
                <w:szCs w:val="16"/>
                <w:lang w:eastAsia="pl-PL"/>
              </w:rPr>
              <w:t>rodukcja energii elektrycznej**</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top"/>
            <w:hideMark/>
          </w:tcPr>
          <w:p w14:paraId="332E5EE9" w14:textId="457F7FC2"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191 097</w:t>
            </w:r>
          </w:p>
        </w:tc>
        <w:tc>
          <w:tcPr>
            <w:tcW w:w="1073" w:type="dxa"/>
            <w:tcBorders>
              <w:top w:val="single" w:sz="4" w:space="0" w:color="auto"/>
              <w:left w:val="nil"/>
              <w:bottom w:val="single" w:sz="4" w:space="0" w:color="auto"/>
              <w:right w:val="single" w:sz="4" w:space="0" w:color="auto"/>
            </w:tcBorders>
            <w:shd w:val="clear" w:color="auto" w:fill="auto"/>
            <w:noWrap/>
            <w:vAlign w:val="top"/>
            <w:hideMark/>
          </w:tcPr>
          <w:p w14:paraId="14FBF02E" w14:textId="24A3EED3"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245 461</w:t>
            </w:r>
          </w:p>
        </w:tc>
        <w:tc>
          <w:tcPr>
            <w:tcW w:w="1074" w:type="dxa"/>
            <w:tcBorders>
              <w:top w:val="single" w:sz="4" w:space="0" w:color="auto"/>
              <w:left w:val="nil"/>
              <w:bottom w:val="single" w:sz="4" w:space="0" w:color="auto"/>
              <w:right w:val="single" w:sz="4" w:space="0" w:color="auto"/>
            </w:tcBorders>
            <w:shd w:val="clear" w:color="auto" w:fill="auto"/>
            <w:noWrap/>
            <w:vAlign w:val="top"/>
            <w:hideMark/>
          </w:tcPr>
          <w:p w14:paraId="2039DEE4" w14:textId="6F1085A3"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299 799</w:t>
            </w:r>
          </w:p>
        </w:tc>
        <w:tc>
          <w:tcPr>
            <w:tcW w:w="1073" w:type="dxa"/>
            <w:tcBorders>
              <w:top w:val="single" w:sz="4" w:space="0" w:color="auto"/>
              <w:left w:val="nil"/>
              <w:bottom w:val="single" w:sz="4" w:space="0" w:color="auto"/>
              <w:right w:val="single" w:sz="4" w:space="0" w:color="auto"/>
            </w:tcBorders>
            <w:shd w:val="clear" w:color="auto" w:fill="auto"/>
            <w:noWrap/>
            <w:vAlign w:val="top"/>
            <w:hideMark/>
          </w:tcPr>
          <w:p w14:paraId="6728A3EC" w14:textId="23A307EF"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440 299</w:t>
            </w:r>
          </w:p>
        </w:tc>
        <w:tc>
          <w:tcPr>
            <w:tcW w:w="1074" w:type="dxa"/>
            <w:tcBorders>
              <w:top w:val="single" w:sz="4" w:space="0" w:color="auto"/>
              <w:left w:val="single" w:sz="4" w:space="0" w:color="auto"/>
              <w:bottom w:val="single" w:sz="4" w:space="0" w:color="auto"/>
              <w:right w:val="single" w:sz="4" w:space="0" w:color="auto"/>
            </w:tcBorders>
            <w:shd w:val="clear" w:color="auto" w:fill="auto"/>
            <w:noWrap/>
            <w:vAlign w:val="top"/>
            <w:hideMark/>
          </w:tcPr>
          <w:p w14:paraId="1D257F6F" w14:textId="443BB7F1"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1 176 656</w:t>
            </w:r>
          </w:p>
        </w:tc>
      </w:tr>
      <w:tr w:rsidR="009133AF" w:rsidRPr="00D8239D" w14:paraId="6D592533" w14:textId="77777777" w:rsidTr="00566C5D">
        <w:trPr>
          <w:trHeight w:val="211"/>
        </w:trPr>
        <w:tc>
          <w:tcPr>
            <w:tcW w:w="1281" w:type="dxa"/>
            <w:vMerge/>
            <w:hideMark/>
          </w:tcPr>
          <w:p w14:paraId="256AF6B1" w14:textId="77777777" w:rsidR="009133AF" w:rsidRPr="004405EC" w:rsidRDefault="009133AF" w:rsidP="009133AF">
            <w:pPr>
              <w:spacing w:line="240" w:lineRule="auto"/>
              <w:rPr>
                <w:rFonts w:eastAsia="Times New Roman" w:cs="Times New Roman"/>
                <w:color w:val="000000"/>
                <w:sz w:val="16"/>
                <w:szCs w:val="16"/>
                <w:lang w:eastAsia="pl-PL"/>
              </w:rPr>
            </w:pPr>
          </w:p>
        </w:tc>
        <w:tc>
          <w:tcPr>
            <w:tcW w:w="1890" w:type="dxa"/>
            <w:noWrap/>
            <w:hideMark/>
          </w:tcPr>
          <w:p w14:paraId="1386BA19" w14:textId="37C30B13" w:rsidR="009133AF" w:rsidRPr="004405EC" w:rsidRDefault="00206C34" w:rsidP="00206C34">
            <w:pPr>
              <w:spacing w:line="240" w:lineRule="auto"/>
              <w:jc w:val="left"/>
              <w:rPr>
                <w:rFonts w:eastAsia="Times New Roman" w:cs="Times New Roman"/>
                <w:color w:val="000000"/>
                <w:sz w:val="16"/>
                <w:szCs w:val="16"/>
                <w:lang w:eastAsia="pl-PL"/>
              </w:rPr>
            </w:pPr>
            <w:proofErr w:type="spellStart"/>
            <w:r>
              <w:rPr>
                <w:rFonts w:eastAsia="Times New Roman" w:cs="Times New Roman"/>
                <w:color w:val="000000"/>
                <w:sz w:val="16"/>
                <w:szCs w:val="16"/>
                <w:lang w:eastAsia="pl-PL"/>
              </w:rPr>
              <w:t>P</w:t>
            </w:r>
            <w:r w:rsidR="009133AF" w:rsidRPr="004405EC">
              <w:rPr>
                <w:rFonts w:eastAsia="Times New Roman" w:cs="Times New Roman"/>
                <w:color w:val="000000"/>
                <w:sz w:val="16"/>
                <w:szCs w:val="16"/>
                <w:lang w:eastAsia="pl-PL"/>
              </w:rPr>
              <w:t>rzesył</w:t>
            </w:r>
            <w:proofErr w:type="spellEnd"/>
            <w:r w:rsidR="009133AF" w:rsidRPr="004405EC">
              <w:rPr>
                <w:rFonts w:eastAsia="Times New Roman" w:cs="Times New Roman"/>
                <w:color w:val="000000"/>
                <w:sz w:val="16"/>
                <w:szCs w:val="16"/>
                <w:lang w:eastAsia="pl-PL"/>
              </w:rPr>
              <w:t xml:space="preserve"> i dystrybucja energii elektrycznej</w:t>
            </w:r>
          </w:p>
        </w:tc>
        <w:tc>
          <w:tcPr>
            <w:tcW w:w="1073" w:type="dxa"/>
            <w:tcBorders>
              <w:top w:val="nil"/>
              <w:left w:val="single" w:sz="4" w:space="0" w:color="auto"/>
              <w:bottom w:val="single" w:sz="4" w:space="0" w:color="auto"/>
              <w:right w:val="single" w:sz="4" w:space="0" w:color="auto"/>
            </w:tcBorders>
            <w:shd w:val="clear" w:color="auto" w:fill="auto"/>
            <w:noWrap/>
            <w:vAlign w:val="top"/>
            <w:hideMark/>
          </w:tcPr>
          <w:p w14:paraId="329E03BC" w14:textId="6FF535DF"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22 251</w:t>
            </w:r>
          </w:p>
        </w:tc>
        <w:tc>
          <w:tcPr>
            <w:tcW w:w="1073" w:type="dxa"/>
            <w:tcBorders>
              <w:top w:val="nil"/>
              <w:left w:val="nil"/>
              <w:bottom w:val="single" w:sz="4" w:space="0" w:color="auto"/>
              <w:right w:val="single" w:sz="4" w:space="0" w:color="auto"/>
            </w:tcBorders>
            <w:shd w:val="clear" w:color="auto" w:fill="auto"/>
            <w:noWrap/>
            <w:vAlign w:val="top"/>
            <w:hideMark/>
          </w:tcPr>
          <w:p w14:paraId="7302150A" w14:textId="585938DD"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135 677</w:t>
            </w:r>
          </w:p>
        </w:tc>
        <w:tc>
          <w:tcPr>
            <w:tcW w:w="1074" w:type="dxa"/>
            <w:tcBorders>
              <w:top w:val="nil"/>
              <w:left w:val="nil"/>
              <w:bottom w:val="single" w:sz="4" w:space="0" w:color="auto"/>
              <w:right w:val="single" w:sz="4" w:space="0" w:color="auto"/>
            </w:tcBorders>
            <w:shd w:val="clear" w:color="auto" w:fill="auto"/>
            <w:noWrap/>
            <w:vAlign w:val="top"/>
            <w:hideMark/>
          </w:tcPr>
          <w:p w14:paraId="31EE275B" w14:textId="5321BFFA"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95 212</w:t>
            </w:r>
          </w:p>
        </w:tc>
        <w:tc>
          <w:tcPr>
            <w:tcW w:w="1073" w:type="dxa"/>
            <w:tcBorders>
              <w:top w:val="nil"/>
              <w:left w:val="nil"/>
              <w:bottom w:val="single" w:sz="4" w:space="0" w:color="auto"/>
              <w:right w:val="single" w:sz="4" w:space="0" w:color="auto"/>
            </w:tcBorders>
            <w:shd w:val="clear" w:color="auto" w:fill="auto"/>
            <w:noWrap/>
            <w:vAlign w:val="top"/>
            <w:hideMark/>
          </w:tcPr>
          <w:p w14:paraId="18689851" w14:textId="2461F0FC"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82 793</w:t>
            </w:r>
          </w:p>
        </w:tc>
        <w:tc>
          <w:tcPr>
            <w:tcW w:w="1074" w:type="dxa"/>
            <w:tcBorders>
              <w:top w:val="nil"/>
              <w:left w:val="single" w:sz="4" w:space="0" w:color="auto"/>
              <w:bottom w:val="single" w:sz="4" w:space="0" w:color="auto"/>
              <w:right w:val="single" w:sz="4" w:space="0" w:color="auto"/>
            </w:tcBorders>
            <w:shd w:val="clear" w:color="auto" w:fill="auto"/>
            <w:noWrap/>
            <w:vAlign w:val="top"/>
            <w:hideMark/>
          </w:tcPr>
          <w:p w14:paraId="7FA80F1F" w14:textId="6989DE32"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335 933</w:t>
            </w:r>
          </w:p>
        </w:tc>
      </w:tr>
      <w:tr w:rsidR="009133AF" w:rsidRPr="00D8239D" w14:paraId="413DA5EB" w14:textId="77777777" w:rsidTr="00566C5D">
        <w:trPr>
          <w:trHeight w:val="211"/>
        </w:trPr>
        <w:tc>
          <w:tcPr>
            <w:tcW w:w="1281" w:type="dxa"/>
            <w:vMerge w:val="restart"/>
            <w:noWrap/>
            <w:hideMark/>
          </w:tcPr>
          <w:p w14:paraId="0FF508FF" w14:textId="77777777" w:rsidR="009133AF" w:rsidRPr="004405EC" w:rsidRDefault="009133AF" w:rsidP="009133AF">
            <w:pPr>
              <w:spacing w:line="240" w:lineRule="auto"/>
              <w:rPr>
                <w:rFonts w:eastAsia="Times New Roman" w:cs="Times New Roman"/>
                <w:color w:val="000000"/>
                <w:sz w:val="16"/>
                <w:szCs w:val="16"/>
                <w:lang w:eastAsia="pl-PL"/>
              </w:rPr>
            </w:pPr>
            <w:r w:rsidRPr="004405EC">
              <w:rPr>
                <w:rFonts w:eastAsia="Times New Roman" w:cs="Times New Roman"/>
                <w:color w:val="000000"/>
                <w:sz w:val="16"/>
                <w:szCs w:val="16"/>
                <w:lang w:eastAsia="pl-PL"/>
              </w:rPr>
              <w:t>Sektor ciepłowniczy</w:t>
            </w:r>
          </w:p>
        </w:tc>
        <w:tc>
          <w:tcPr>
            <w:tcW w:w="1890" w:type="dxa"/>
            <w:noWrap/>
            <w:hideMark/>
          </w:tcPr>
          <w:p w14:paraId="4666CEAA" w14:textId="77777777" w:rsidR="009133AF" w:rsidRPr="004405EC" w:rsidRDefault="009133AF" w:rsidP="009133AF">
            <w:pPr>
              <w:spacing w:line="240" w:lineRule="auto"/>
              <w:rPr>
                <w:rFonts w:eastAsia="Times New Roman" w:cs="Times New Roman"/>
                <w:color w:val="000000"/>
                <w:sz w:val="16"/>
                <w:szCs w:val="16"/>
                <w:lang w:eastAsia="pl-PL"/>
              </w:rPr>
            </w:pPr>
            <w:r w:rsidRPr="004405EC">
              <w:rPr>
                <w:rFonts w:eastAsia="Times New Roman" w:cs="Times New Roman"/>
                <w:color w:val="000000"/>
                <w:sz w:val="16"/>
                <w:szCs w:val="16"/>
                <w:lang w:eastAsia="pl-PL"/>
              </w:rPr>
              <w:t>Produkcja ciepła</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top"/>
            <w:hideMark/>
          </w:tcPr>
          <w:p w14:paraId="71133A27" w14:textId="3F587604"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6 758</w:t>
            </w:r>
          </w:p>
        </w:tc>
        <w:tc>
          <w:tcPr>
            <w:tcW w:w="1073" w:type="dxa"/>
            <w:tcBorders>
              <w:top w:val="single" w:sz="4" w:space="0" w:color="auto"/>
              <w:left w:val="nil"/>
              <w:bottom w:val="single" w:sz="4" w:space="0" w:color="auto"/>
              <w:right w:val="single" w:sz="4" w:space="0" w:color="auto"/>
            </w:tcBorders>
            <w:shd w:val="clear" w:color="auto" w:fill="auto"/>
            <w:noWrap/>
            <w:vAlign w:val="top"/>
            <w:hideMark/>
          </w:tcPr>
          <w:p w14:paraId="09AAE7AD" w14:textId="05826632"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6 670</w:t>
            </w:r>
          </w:p>
        </w:tc>
        <w:tc>
          <w:tcPr>
            <w:tcW w:w="1074" w:type="dxa"/>
            <w:tcBorders>
              <w:top w:val="single" w:sz="4" w:space="0" w:color="auto"/>
              <w:left w:val="nil"/>
              <w:bottom w:val="single" w:sz="4" w:space="0" w:color="auto"/>
              <w:right w:val="single" w:sz="4" w:space="0" w:color="auto"/>
            </w:tcBorders>
            <w:shd w:val="clear" w:color="auto" w:fill="auto"/>
            <w:noWrap/>
            <w:vAlign w:val="top"/>
            <w:hideMark/>
          </w:tcPr>
          <w:p w14:paraId="7C8694E9" w14:textId="231B0C22"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14 199</w:t>
            </w:r>
          </w:p>
        </w:tc>
        <w:tc>
          <w:tcPr>
            <w:tcW w:w="1073" w:type="dxa"/>
            <w:tcBorders>
              <w:top w:val="single" w:sz="4" w:space="0" w:color="auto"/>
              <w:left w:val="nil"/>
              <w:bottom w:val="single" w:sz="4" w:space="0" w:color="auto"/>
              <w:right w:val="single" w:sz="4" w:space="0" w:color="auto"/>
            </w:tcBorders>
            <w:shd w:val="clear" w:color="auto" w:fill="auto"/>
            <w:noWrap/>
            <w:vAlign w:val="top"/>
            <w:hideMark/>
          </w:tcPr>
          <w:p w14:paraId="520BB045" w14:textId="121433B9"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18 866</w:t>
            </w:r>
          </w:p>
        </w:tc>
        <w:tc>
          <w:tcPr>
            <w:tcW w:w="1074" w:type="dxa"/>
            <w:tcBorders>
              <w:top w:val="nil"/>
              <w:left w:val="single" w:sz="4" w:space="0" w:color="auto"/>
              <w:bottom w:val="single" w:sz="4" w:space="0" w:color="auto"/>
              <w:right w:val="single" w:sz="4" w:space="0" w:color="auto"/>
            </w:tcBorders>
            <w:shd w:val="clear" w:color="auto" w:fill="auto"/>
            <w:noWrap/>
            <w:vAlign w:val="top"/>
            <w:hideMark/>
          </w:tcPr>
          <w:p w14:paraId="25762A33" w14:textId="239A78A4"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46 494</w:t>
            </w:r>
          </w:p>
        </w:tc>
      </w:tr>
      <w:tr w:rsidR="009133AF" w:rsidRPr="00D8239D" w14:paraId="41660847" w14:textId="77777777" w:rsidTr="00566C5D">
        <w:trPr>
          <w:trHeight w:val="211"/>
        </w:trPr>
        <w:tc>
          <w:tcPr>
            <w:tcW w:w="1281" w:type="dxa"/>
            <w:vMerge/>
            <w:hideMark/>
          </w:tcPr>
          <w:p w14:paraId="7512F578" w14:textId="77777777" w:rsidR="009133AF" w:rsidRPr="004405EC" w:rsidRDefault="009133AF" w:rsidP="009133AF">
            <w:pPr>
              <w:spacing w:line="240" w:lineRule="auto"/>
              <w:rPr>
                <w:rFonts w:eastAsia="Times New Roman" w:cs="Times New Roman"/>
                <w:color w:val="000000"/>
                <w:sz w:val="16"/>
                <w:szCs w:val="16"/>
                <w:lang w:eastAsia="pl-PL"/>
              </w:rPr>
            </w:pPr>
          </w:p>
        </w:tc>
        <w:tc>
          <w:tcPr>
            <w:tcW w:w="1890" w:type="dxa"/>
            <w:noWrap/>
            <w:hideMark/>
          </w:tcPr>
          <w:p w14:paraId="735FF946" w14:textId="77777777" w:rsidR="009133AF" w:rsidRPr="004405EC" w:rsidRDefault="009133AF" w:rsidP="009133AF">
            <w:pPr>
              <w:spacing w:line="240" w:lineRule="auto"/>
              <w:rPr>
                <w:rFonts w:eastAsia="Times New Roman" w:cs="Times New Roman"/>
                <w:color w:val="000000"/>
                <w:sz w:val="16"/>
                <w:szCs w:val="16"/>
                <w:lang w:eastAsia="pl-PL"/>
              </w:rPr>
            </w:pPr>
            <w:r w:rsidRPr="004405EC">
              <w:rPr>
                <w:rFonts w:eastAsia="Times New Roman" w:cs="Times New Roman"/>
                <w:color w:val="000000"/>
                <w:sz w:val="16"/>
                <w:szCs w:val="16"/>
                <w:lang w:eastAsia="pl-PL"/>
              </w:rPr>
              <w:t>Dystrybucja ciepła</w:t>
            </w:r>
          </w:p>
        </w:tc>
        <w:tc>
          <w:tcPr>
            <w:tcW w:w="1073" w:type="dxa"/>
            <w:tcBorders>
              <w:top w:val="nil"/>
              <w:left w:val="single" w:sz="4" w:space="0" w:color="auto"/>
              <w:bottom w:val="single" w:sz="4" w:space="0" w:color="auto"/>
              <w:right w:val="single" w:sz="4" w:space="0" w:color="auto"/>
            </w:tcBorders>
            <w:shd w:val="clear" w:color="auto" w:fill="auto"/>
            <w:noWrap/>
            <w:vAlign w:val="top"/>
            <w:hideMark/>
          </w:tcPr>
          <w:p w14:paraId="43EAD5DC" w14:textId="0B25BE2B"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41 397</w:t>
            </w:r>
          </w:p>
        </w:tc>
        <w:tc>
          <w:tcPr>
            <w:tcW w:w="1073" w:type="dxa"/>
            <w:tcBorders>
              <w:top w:val="nil"/>
              <w:left w:val="nil"/>
              <w:bottom w:val="single" w:sz="4" w:space="0" w:color="auto"/>
              <w:right w:val="single" w:sz="4" w:space="0" w:color="auto"/>
            </w:tcBorders>
            <w:shd w:val="clear" w:color="auto" w:fill="auto"/>
            <w:noWrap/>
            <w:vAlign w:val="top"/>
            <w:hideMark/>
          </w:tcPr>
          <w:p w14:paraId="231B3443" w14:textId="2B11913C"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56 920</w:t>
            </w:r>
          </w:p>
        </w:tc>
        <w:tc>
          <w:tcPr>
            <w:tcW w:w="1074" w:type="dxa"/>
            <w:tcBorders>
              <w:top w:val="nil"/>
              <w:left w:val="nil"/>
              <w:bottom w:val="single" w:sz="4" w:space="0" w:color="auto"/>
              <w:right w:val="single" w:sz="4" w:space="0" w:color="auto"/>
            </w:tcBorders>
            <w:shd w:val="clear" w:color="auto" w:fill="auto"/>
            <w:noWrap/>
            <w:vAlign w:val="top"/>
            <w:hideMark/>
          </w:tcPr>
          <w:p w14:paraId="65B0B1EC" w14:textId="25BF8AF1"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56 920</w:t>
            </w:r>
          </w:p>
        </w:tc>
        <w:tc>
          <w:tcPr>
            <w:tcW w:w="1073" w:type="dxa"/>
            <w:tcBorders>
              <w:top w:val="nil"/>
              <w:left w:val="nil"/>
              <w:bottom w:val="single" w:sz="4" w:space="0" w:color="auto"/>
              <w:right w:val="single" w:sz="4" w:space="0" w:color="auto"/>
            </w:tcBorders>
            <w:shd w:val="clear" w:color="auto" w:fill="auto"/>
            <w:noWrap/>
            <w:vAlign w:val="top"/>
            <w:hideMark/>
          </w:tcPr>
          <w:p w14:paraId="46A6A4CB" w14:textId="42A6E512"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51 746</w:t>
            </w:r>
          </w:p>
        </w:tc>
        <w:tc>
          <w:tcPr>
            <w:tcW w:w="1074" w:type="dxa"/>
            <w:tcBorders>
              <w:top w:val="nil"/>
              <w:left w:val="single" w:sz="4" w:space="0" w:color="auto"/>
              <w:bottom w:val="single" w:sz="4" w:space="0" w:color="auto"/>
              <w:right w:val="single" w:sz="4" w:space="0" w:color="auto"/>
            </w:tcBorders>
            <w:shd w:val="clear" w:color="auto" w:fill="auto"/>
            <w:noWrap/>
            <w:vAlign w:val="top"/>
            <w:hideMark/>
          </w:tcPr>
          <w:p w14:paraId="020CD578" w14:textId="23F4D750" w:rsidR="009133AF" w:rsidRPr="004405EC" w:rsidRDefault="008F59E4" w:rsidP="009133AF">
            <w:pPr>
              <w:spacing w:line="240" w:lineRule="auto"/>
              <w:jc w:val="right"/>
              <w:rPr>
                <w:rFonts w:eastAsia="Times New Roman" w:cs="Times New Roman"/>
                <w:b/>
                <w:bCs/>
                <w:color w:val="000000"/>
                <w:sz w:val="16"/>
                <w:szCs w:val="16"/>
                <w:lang w:eastAsia="pl-PL"/>
              </w:rPr>
            </w:pPr>
            <w:r w:rsidRPr="000A135F">
              <w:rPr>
                <w:sz w:val="16"/>
                <w:szCs w:val="16"/>
              </w:rPr>
              <w:t>206 983</w:t>
            </w:r>
          </w:p>
        </w:tc>
      </w:tr>
      <w:tr w:rsidR="008039AF" w:rsidRPr="00D8239D" w14:paraId="6A0D3767" w14:textId="77777777" w:rsidTr="00566C5D">
        <w:trPr>
          <w:trHeight w:val="211"/>
        </w:trPr>
        <w:tc>
          <w:tcPr>
            <w:tcW w:w="3171" w:type="dxa"/>
            <w:gridSpan w:val="2"/>
            <w:noWrap/>
            <w:hideMark/>
          </w:tcPr>
          <w:p w14:paraId="025861AB" w14:textId="77777777" w:rsidR="008039AF" w:rsidRPr="004405EC" w:rsidRDefault="008039AF" w:rsidP="008039AF">
            <w:pPr>
              <w:spacing w:line="240" w:lineRule="auto"/>
              <w:rPr>
                <w:rFonts w:eastAsia="Times New Roman" w:cs="Times New Roman"/>
                <w:color w:val="000000"/>
                <w:sz w:val="16"/>
                <w:szCs w:val="16"/>
                <w:lang w:eastAsia="pl-PL"/>
              </w:rPr>
            </w:pPr>
            <w:r w:rsidRPr="004405EC">
              <w:rPr>
                <w:rFonts w:eastAsia="Times New Roman" w:cs="Times New Roman"/>
                <w:color w:val="000000"/>
                <w:sz w:val="16"/>
                <w:szCs w:val="16"/>
                <w:lang w:eastAsia="pl-PL"/>
              </w:rPr>
              <w:t xml:space="preserve">Sektor gazowy (w tym </w:t>
            </w:r>
            <w:proofErr w:type="spellStart"/>
            <w:r w:rsidRPr="004405EC">
              <w:rPr>
                <w:rFonts w:eastAsia="Times New Roman" w:cs="Times New Roman"/>
                <w:color w:val="000000"/>
                <w:sz w:val="16"/>
                <w:szCs w:val="16"/>
                <w:lang w:eastAsia="pl-PL"/>
              </w:rPr>
              <w:t>biometan</w:t>
            </w:r>
            <w:proofErr w:type="spellEnd"/>
            <w:r w:rsidRPr="004405EC">
              <w:rPr>
                <w:rFonts w:eastAsia="Times New Roman" w:cs="Times New Roman"/>
                <w:color w:val="000000"/>
                <w:sz w:val="16"/>
                <w:szCs w:val="16"/>
                <w:lang w:eastAsia="pl-PL"/>
              </w:rPr>
              <w:t>)</w:t>
            </w:r>
          </w:p>
        </w:tc>
        <w:tc>
          <w:tcPr>
            <w:tcW w:w="1073" w:type="dxa"/>
            <w:tcBorders>
              <w:top w:val="single" w:sz="4" w:space="0" w:color="auto"/>
              <w:left w:val="single" w:sz="4" w:space="0" w:color="auto"/>
              <w:bottom w:val="single" w:sz="4" w:space="0" w:color="auto"/>
              <w:right w:val="single" w:sz="4" w:space="0" w:color="auto"/>
            </w:tcBorders>
            <w:shd w:val="clear" w:color="auto" w:fill="auto"/>
            <w:noWrap/>
            <w:vAlign w:val="top"/>
            <w:hideMark/>
          </w:tcPr>
          <w:p w14:paraId="13A78762" w14:textId="0C2F14C0" w:rsidR="008039AF" w:rsidRPr="004405EC" w:rsidRDefault="000A135F" w:rsidP="008039AF">
            <w:pPr>
              <w:spacing w:line="240" w:lineRule="auto"/>
              <w:jc w:val="right"/>
              <w:rPr>
                <w:rFonts w:eastAsia="Times New Roman" w:cs="Times New Roman"/>
                <w:b/>
                <w:bCs/>
                <w:color w:val="000000"/>
                <w:sz w:val="16"/>
                <w:szCs w:val="16"/>
                <w:lang w:eastAsia="pl-PL"/>
              </w:rPr>
            </w:pPr>
            <w:r w:rsidRPr="000A135F">
              <w:rPr>
                <w:sz w:val="16"/>
                <w:szCs w:val="16"/>
              </w:rPr>
              <w:t>103 491</w:t>
            </w:r>
          </w:p>
        </w:tc>
        <w:tc>
          <w:tcPr>
            <w:tcW w:w="1073" w:type="dxa"/>
            <w:tcBorders>
              <w:top w:val="single" w:sz="4" w:space="0" w:color="auto"/>
              <w:left w:val="nil"/>
              <w:bottom w:val="single" w:sz="4" w:space="0" w:color="auto"/>
              <w:right w:val="single" w:sz="4" w:space="0" w:color="auto"/>
            </w:tcBorders>
            <w:shd w:val="clear" w:color="auto" w:fill="auto"/>
            <w:noWrap/>
            <w:vAlign w:val="top"/>
            <w:hideMark/>
          </w:tcPr>
          <w:p w14:paraId="1D017F2A" w14:textId="60640567" w:rsidR="008039AF" w:rsidRPr="004405EC" w:rsidRDefault="000A135F" w:rsidP="008039AF">
            <w:pPr>
              <w:spacing w:line="240" w:lineRule="auto"/>
              <w:jc w:val="right"/>
              <w:rPr>
                <w:rFonts w:eastAsia="Times New Roman" w:cs="Times New Roman"/>
                <w:b/>
                <w:bCs/>
                <w:color w:val="000000"/>
                <w:sz w:val="16"/>
                <w:szCs w:val="16"/>
                <w:lang w:eastAsia="pl-PL"/>
              </w:rPr>
            </w:pPr>
            <w:r w:rsidRPr="000A135F">
              <w:rPr>
                <w:sz w:val="16"/>
                <w:szCs w:val="16"/>
              </w:rPr>
              <w:t>76 066</w:t>
            </w:r>
          </w:p>
        </w:tc>
        <w:tc>
          <w:tcPr>
            <w:tcW w:w="1074" w:type="dxa"/>
            <w:tcBorders>
              <w:top w:val="single" w:sz="4" w:space="0" w:color="auto"/>
              <w:left w:val="nil"/>
              <w:bottom w:val="single" w:sz="4" w:space="0" w:color="auto"/>
              <w:right w:val="single" w:sz="4" w:space="0" w:color="auto"/>
            </w:tcBorders>
            <w:shd w:val="clear" w:color="auto" w:fill="auto"/>
            <w:noWrap/>
            <w:vAlign w:val="top"/>
            <w:hideMark/>
          </w:tcPr>
          <w:p w14:paraId="5D784074" w14:textId="6C9697AB" w:rsidR="008039AF" w:rsidRPr="004405EC" w:rsidRDefault="000A135F" w:rsidP="008039AF">
            <w:pPr>
              <w:spacing w:line="240" w:lineRule="auto"/>
              <w:jc w:val="right"/>
              <w:rPr>
                <w:rFonts w:eastAsia="Times New Roman" w:cs="Times New Roman"/>
                <w:b/>
                <w:bCs/>
                <w:color w:val="000000"/>
                <w:sz w:val="16"/>
                <w:szCs w:val="16"/>
                <w:lang w:eastAsia="pl-PL"/>
              </w:rPr>
            </w:pPr>
            <w:r w:rsidRPr="000A135F">
              <w:rPr>
                <w:sz w:val="16"/>
                <w:szCs w:val="16"/>
              </w:rPr>
              <w:t>51 746</w:t>
            </w:r>
          </w:p>
        </w:tc>
        <w:tc>
          <w:tcPr>
            <w:tcW w:w="1073" w:type="dxa"/>
            <w:tcBorders>
              <w:top w:val="single" w:sz="4" w:space="0" w:color="auto"/>
              <w:left w:val="nil"/>
              <w:bottom w:val="single" w:sz="4" w:space="0" w:color="auto"/>
              <w:right w:val="single" w:sz="4" w:space="0" w:color="auto"/>
            </w:tcBorders>
            <w:shd w:val="clear" w:color="auto" w:fill="auto"/>
            <w:noWrap/>
            <w:vAlign w:val="top"/>
            <w:hideMark/>
          </w:tcPr>
          <w:p w14:paraId="694D85F1" w14:textId="47A26A10" w:rsidR="008039AF" w:rsidRPr="004405EC" w:rsidRDefault="000A135F" w:rsidP="008039AF">
            <w:pPr>
              <w:spacing w:line="240" w:lineRule="auto"/>
              <w:jc w:val="right"/>
              <w:rPr>
                <w:rFonts w:eastAsia="Times New Roman" w:cs="Times New Roman"/>
                <w:b/>
                <w:bCs/>
                <w:color w:val="000000"/>
                <w:sz w:val="16"/>
                <w:szCs w:val="16"/>
                <w:lang w:eastAsia="pl-PL"/>
              </w:rPr>
            </w:pPr>
            <w:r w:rsidRPr="000A135F">
              <w:rPr>
                <w:sz w:val="16"/>
                <w:szCs w:val="16"/>
              </w:rPr>
              <w:t>41 397</w:t>
            </w:r>
          </w:p>
        </w:tc>
        <w:tc>
          <w:tcPr>
            <w:tcW w:w="1074" w:type="dxa"/>
            <w:tcBorders>
              <w:top w:val="single" w:sz="4" w:space="0" w:color="auto"/>
              <w:left w:val="single" w:sz="4" w:space="0" w:color="auto"/>
              <w:bottom w:val="single" w:sz="4" w:space="0" w:color="auto"/>
              <w:right w:val="single" w:sz="4" w:space="0" w:color="auto"/>
            </w:tcBorders>
            <w:shd w:val="clear" w:color="auto" w:fill="auto"/>
            <w:noWrap/>
            <w:vAlign w:val="top"/>
            <w:hideMark/>
          </w:tcPr>
          <w:p w14:paraId="5E186CA7" w14:textId="6DCE6C7D" w:rsidR="008039AF" w:rsidRPr="004405EC" w:rsidRDefault="000A135F" w:rsidP="008039AF">
            <w:pPr>
              <w:spacing w:line="240" w:lineRule="auto"/>
              <w:jc w:val="right"/>
              <w:rPr>
                <w:rFonts w:eastAsia="Times New Roman" w:cs="Times New Roman"/>
                <w:b/>
                <w:bCs/>
                <w:color w:val="000000"/>
                <w:sz w:val="16"/>
                <w:szCs w:val="16"/>
                <w:lang w:eastAsia="pl-PL"/>
              </w:rPr>
            </w:pPr>
            <w:r w:rsidRPr="000A135F">
              <w:rPr>
                <w:sz w:val="16"/>
                <w:szCs w:val="16"/>
              </w:rPr>
              <w:t>272 700</w:t>
            </w:r>
          </w:p>
        </w:tc>
      </w:tr>
      <w:tr w:rsidR="008039AF" w:rsidRPr="00D8239D" w14:paraId="6ECB2176" w14:textId="77777777" w:rsidTr="00566C5D">
        <w:trPr>
          <w:trHeight w:val="211"/>
        </w:trPr>
        <w:tc>
          <w:tcPr>
            <w:tcW w:w="3171" w:type="dxa"/>
            <w:gridSpan w:val="2"/>
            <w:noWrap/>
            <w:hideMark/>
          </w:tcPr>
          <w:p w14:paraId="18136A79" w14:textId="77777777" w:rsidR="008039AF" w:rsidRPr="004405EC" w:rsidRDefault="008039AF" w:rsidP="008039AF">
            <w:pPr>
              <w:spacing w:line="240" w:lineRule="auto"/>
              <w:rPr>
                <w:rFonts w:eastAsia="Times New Roman" w:cs="Times New Roman"/>
                <w:color w:val="000000"/>
                <w:sz w:val="16"/>
                <w:szCs w:val="16"/>
                <w:lang w:eastAsia="pl-PL"/>
              </w:rPr>
            </w:pPr>
            <w:r w:rsidRPr="004405EC">
              <w:rPr>
                <w:rFonts w:eastAsia="Times New Roman" w:cs="Times New Roman"/>
                <w:color w:val="000000"/>
                <w:sz w:val="16"/>
                <w:szCs w:val="16"/>
                <w:lang w:eastAsia="pl-PL"/>
              </w:rPr>
              <w:t>Sektor paliw płynnych</w:t>
            </w:r>
          </w:p>
        </w:tc>
        <w:tc>
          <w:tcPr>
            <w:tcW w:w="1073" w:type="dxa"/>
            <w:tcBorders>
              <w:top w:val="nil"/>
              <w:left w:val="single" w:sz="4" w:space="0" w:color="auto"/>
              <w:bottom w:val="single" w:sz="4" w:space="0" w:color="auto"/>
              <w:right w:val="single" w:sz="4" w:space="0" w:color="auto"/>
            </w:tcBorders>
            <w:shd w:val="clear" w:color="auto" w:fill="auto"/>
            <w:noWrap/>
            <w:vAlign w:val="top"/>
            <w:hideMark/>
          </w:tcPr>
          <w:p w14:paraId="3BE867B1" w14:textId="57BB67B7" w:rsidR="008039AF" w:rsidRPr="004405EC" w:rsidRDefault="000A135F" w:rsidP="008039AF">
            <w:pPr>
              <w:spacing w:line="240" w:lineRule="auto"/>
              <w:jc w:val="right"/>
              <w:rPr>
                <w:rFonts w:eastAsia="Times New Roman" w:cs="Times New Roman"/>
                <w:b/>
                <w:bCs/>
                <w:color w:val="000000"/>
                <w:sz w:val="16"/>
                <w:szCs w:val="16"/>
                <w:lang w:eastAsia="pl-PL"/>
              </w:rPr>
            </w:pPr>
            <w:r w:rsidRPr="000A135F">
              <w:rPr>
                <w:sz w:val="16"/>
                <w:szCs w:val="16"/>
              </w:rPr>
              <w:t>51 363</w:t>
            </w:r>
          </w:p>
        </w:tc>
        <w:tc>
          <w:tcPr>
            <w:tcW w:w="1073" w:type="dxa"/>
            <w:tcBorders>
              <w:top w:val="nil"/>
              <w:left w:val="nil"/>
              <w:bottom w:val="single" w:sz="4" w:space="0" w:color="auto"/>
              <w:right w:val="single" w:sz="4" w:space="0" w:color="auto"/>
            </w:tcBorders>
            <w:shd w:val="clear" w:color="auto" w:fill="auto"/>
            <w:noWrap/>
            <w:vAlign w:val="top"/>
            <w:hideMark/>
          </w:tcPr>
          <w:p w14:paraId="5DDED2EE" w14:textId="0BC2EC24" w:rsidR="008039AF" w:rsidRPr="004405EC" w:rsidRDefault="000A135F" w:rsidP="008039AF">
            <w:pPr>
              <w:spacing w:line="240" w:lineRule="auto"/>
              <w:jc w:val="right"/>
              <w:rPr>
                <w:rFonts w:eastAsia="Times New Roman" w:cs="Times New Roman"/>
                <w:b/>
                <w:bCs/>
                <w:color w:val="000000"/>
                <w:sz w:val="16"/>
                <w:szCs w:val="16"/>
                <w:lang w:eastAsia="pl-PL"/>
              </w:rPr>
            </w:pPr>
            <w:r w:rsidRPr="000A135F">
              <w:rPr>
                <w:sz w:val="16"/>
                <w:szCs w:val="16"/>
              </w:rPr>
              <w:t>51 735</w:t>
            </w:r>
          </w:p>
        </w:tc>
        <w:tc>
          <w:tcPr>
            <w:tcW w:w="1074" w:type="dxa"/>
            <w:tcBorders>
              <w:top w:val="nil"/>
              <w:left w:val="nil"/>
              <w:bottom w:val="single" w:sz="4" w:space="0" w:color="auto"/>
              <w:right w:val="single" w:sz="4" w:space="0" w:color="auto"/>
            </w:tcBorders>
            <w:shd w:val="clear" w:color="auto" w:fill="auto"/>
            <w:noWrap/>
            <w:vAlign w:val="top"/>
            <w:hideMark/>
          </w:tcPr>
          <w:p w14:paraId="484EE84D" w14:textId="5B355E9B" w:rsidR="008039AF" w:rsidRPr="004405EC" w:rsidRDefault="000A135F" w:rsidP="008039AF">
            <w:pPr>
              <w:spacing w:line="240" w:lineRule="auto"/>
              <w:jc w:val="right"/>
              <w:rPr>
                <w:rFonts w:eastAsia="Times New Roman" w:cs="Times New Roman"/>
                <w:b/>
                <w:bCs/>
                <w:color w:val="000000"/>
                <w:sz w:val="16"/>
                <w:szCs w:val="16"/>
                <w:lang w:eastAsia="pl-PL"/>
              </w:rPr>
            </w:pPr>
            <w:r w:rsidRPr="000A135F">
              <w:rPr>
                <w:sz w:val="16"/>
                <w:szCs w:val="16"/>
              </w:rPr>
              <w:t>52 041</w:t>
            </w:r>
          </w:p>
        </w:tc>
        <w:tc>
          <w:tcPr>
            <w:tcW w:w="1073" w:type="dxa"/>
            <w:tcBorders>
              <w:top w:val="nil"/>
              <w:left w:val="nil"/>
              <w:bottom w:val="single" w:sz="4" w:space="0" w:color="auto"/>
              <w:right w:val="single" w:sz="4" w:space="0" w:color="auto"/>
            </w:tcBorders>
            <w:shd w:val="clear" w:color="auto" w:fill="auto"/>
            <w:noWrap/>
            <w:vAlign w:val="top"/>
            <w:hideMark/>
          </w:tcPr>
          <w:p w14:paraId="1632A4C5" w14:textId="7A7D926D" w:rsidR="008039AF" w:rsidRPr="004405EC" w:rsidRDefault="000A135F" w:rsidP="008039AF">
            <w:pPr>
              <w:spacing w:line="240" w:lineRule="auto"/>
              <w:jc w:val="right"/>
              <w:rPr>
                <w:rFonts w:eastAsia="Times New Roman" w:cs="Times New Roman"/>
                <w:b/>
                <w:bCs/>
                <w:color w:val="000000"/>
                <w:sz w:val="16"/>
                <w:szCs w:val="16"/>
                <w:lang w:eastAsia="pl-PL"/>
              </w:rPr>
            </w:pPr>
            <w:r w:rsidRPr="000A135F">
              <w:rPr>
                <w:sz w:val="16"/>
                <w:szCs w:val="16"/>
              </w:rPr>
              <w:t>41 397</w:t>
            </w:r>
          </w:p>
        </w:tc>
        <w:tc>
          <w:tcPr>
            <w:tcW w:w="1074" w:type="dxa"/>
            <w:tcBorders>
              <w:top w:val="nil"/>
              <w:left w:val="single" w:sz="4" w:space="0" w:color="auto"/>
              <w:bottom w:val="single" w:sz="4" w:space="0" w:color="auto"/>
              <w:right w:val="single" w:sz="4" w:space="0" w:color="auto"/>
            </w:tcBorders>
            <w:shd w:val="clear" w:color="auto" w:fill="auto"/>
            <w:noWrap/>
            <w:vAlign w:val="top"/>
            <w:hideMark/>
          </w:tcPr>
          <w:p w14:paraId="2FE7E864" w14:textId="1E1DF54B" w:rsidR="008039AF" w:rsidRPr="004405EC" w:rsidRDefault="000A135F" w:rsidP="008039AF">
            <w:pPr>
              <w:spacing w:line="240" w:lineRule="auto"/>
              <w:jc w:val="right"/>
              <w:rPr>
                <w:rFonts w:eastAsia="Times New Roman" w:cs="Times New Roman"/>
                <w:b/>
                <w:bCs/>
                <w:color w:val="000000"/>
                <w:sz w:val="16"/>
                <w:szCs w:val="16"/>
                <w:lang w:eastAsia="pl-PL"/>
              </w:rPr>
            </w:pPr>
            <w:r w:rsidRPr="000A135F">
              <w:rPr>
                <w:sz w:val="16"/>
                <w:szCs w:val="16"/>
              </w:rPr>
              <w:t>196 535</w:t>
            </w:r>
          </w:p>
        </w:tc>
      </w:tr>
      <w:tr w:rsidR="008039AF" w:rsidRPr="00D8239D" w14:paraId="036B589E" w14:textId="77777777" w:rsidTr="00566C5D">
        <w:trPr>
          <w:trHeight w:val="211"/>
        </w:trPr>
        <w:tc>
          <w:tcPr>
            <w:tcW w:w="3171" w:type="dxa"/>
            <w:gridSpan w:val="2"/>
            <w:noWrap/>
            <w:hideMark/>
          </w:tcPr>
          <w:p w14:paraId="01CFA39B" w14:textId="77777777" w:rsidR="008039AF" w:rsidRPr="00D8239D" w:rsidRDefault="008039AF" w:rsidP="00784588">
            <w:pPr>
              <w:spacing w:line="240" w:lineRule="auto"/>
              <w:rPr>
                <w:rFonts w:eastAsia="Times New Roman" w:cs="Calibri"/>
                <w:color w:val="000000"/>
                <w:spacing w:val="-10"/>
                <w:szCs w:val="56"/>
                <w:lang w:eastAsia="pl-PL"/>
              </w:rPr>
            </w:pPr>
            <w:r w:rsidRPr="00784588">
              <w:rPr>
                <w:rFonts w:eastAsia="Times New Roman" w:cs="Times New Roman"/>
                <w:color w:val="000000"/>
                <w:sz w:val="16"/>
                <w:szCs w:val="16"/>
                <w:lang w:eastAsia="pl-PL"/>
              </w:rPr>
              <w:t>Górnictwo</w:t>
            </w:r>
          </w:p>
        </w:tc>
        <w:tc>
          <w:tcPr>
            <w:tcW w:w="1073" w:type="dxa"/>
            <w:tcBorders>
              <w:top w:val="nil"/>
              <w:left w:val="single" w:sz="4" w:space="0" w:color="auto"/>
              <w:bottom w:val="single" w:sz="4" w:space="0" w:color="auto"/>
              <w:right w:val="single" w:sz="4" w:space="0" w:color="auto"/>
            </w:tcBorders>
            <w:shd w:val="clear" w:color="auto" w:fill="auto"/>
            <w:noWrap/>
            <w:vAlign w:val="top"/>
            <w:hideMark/>
          </w:tcPr>
          <w:p w14:paraId="15C42EFA" w14:textId="133985D5" w:rsidR="008039AF" w:rsidRPr="000A135F" w:rsidRDefault="000A135F" w:rsidP="008039AF">
            <w:pPr>
              <w:contextualSpacing/>
              <w:jc w:val="right"/>
              <w:rPr>
                <w:rFonts w:eastAsia="Times New Roman" w:cs="Calibri"/>
                <w:color w:val="000000"/>
                <w:spacing w:val="-10"/>
                <w:sz w:val="16"/>
                <w:szCs w:val="16"/>
                <w:lang w:eastAsia="pl-PL"/>
              </w:rPr>
            </w:pPr>
            <w:r w:rsidRPr="000A135F">
              <w:rPr>
                <w:sz w:val="16"/>
                <w:szCs w:val="16"/>
              </w:rPr>
              <w:t>9 951</w:t>
            </w:r>
          </w:p>
        </w:tc>
        <w:tc>
          <w:tcPr>
            <w:tcW w:w="1073" w:type="dxa"/>
            <w:tcBorders>
              <w:top w:val="nil"/>
              <w:left w:val="nil"/>
              <w:bottom w:val="single" w:sz="4" w:space="0" w:color="auto"/>
              <w:right w:val="single" w:sz="4" w:space="0" w:color="auto"/>
            </w:tcBorders>
            <w:shd w:val="clear" w:color="auto" w:fill="auto"/>
            <w:noWrap/>
            <w:vAlign w:val="top"/>
            <w:hideMark/>
          </w:tcPr>
          <w:p w14:paraId="224AF31C" w14:textId="66989A8D" w:rsidR="008039AF" w:rsidRPr="000A135F" w:rsidRDefault="000A135F" w:rsidP="008039AF">
            <w:pPr>
              <w:contextualSpacing/>
              <w:jc w:val="right"/>
              <w:rPr>
                <w:rFonts w:eastAsia="Times New Roman" w:cs="Calibri"/>
                <w:color w:val="000000"/>
                <w:spacing w:val="-10"/>
                <w:sz w:val="16"/>
                <w:szCs w:val="16"/>
                <w:lang w:eastAsia="pl-PL"/>
              </w:rPr>
            </w:pPr>
            <w:r w:rsidRPr="000A135F">
              <w:rPr>
                <w:sz w:val="16"/>
                <w:szCs w:val="16"/>
              </w:rPr>
              <w:t>18 111</w:t>
            </w:r>
          </w:p>
        </w:tc>
        <w:tc>
          <w:tcPr>
            <w:tcW w:w="1074" w:type="dxa"/>
            <w:tcBorders>
              <w:top w:val="nil"/>
              <w:left w:val="nil"/>
              <w:bottom w:val="single" w:sz="4" w:space="0" w:color="auto"/>
              <w:right w:val="single" w:sz="4" w:space="0" w:color="auto"/>
            </w:tcBorders>
            <w:shd w:val="clear" w:color="auto" w:fill="auto"/>
            <w:noWrap/>
            <w:vAlign w:val="top"/>
            <w:hideMark/>
          </w:tcPr>
          <w:p w14:paraId="305D2BD3" w14:textId="24EC0E45" w:rsidR="008039AF" w:rsidRPr="000A135F" w:rsidRDefault="000A135F" w:rsidP="008039AF">
            <w:pPr>
              <w:contextualSpacing/>
              <w:jc w:val="right"/>
              <w:rPr>
                <w:rFonts w:eastAsia="Times New Roman" w:cs="Calibri"/>
                <w:color w:val="000000"/>
                <w:spacing w:val="-10"/>
                <w:sz w:val="16"/>
                <w:szCs w:val="16"/>
                <w:lang w:eastAsia="pl-PL"/>
              </w:rPr>
            </w:pPr>
            <w:r w:rsidRPr="000A135F">
              <w:rPr>
                <w:sz w:val="16"/>
                <w:szCs w:val="16"/>
              </w:rPr>
              <w:t>18 111</w:t>
            </w:r>
          </w:p>
        </w:tc>
        <w:tc>
          <w:tcPr>
            <w:tcW w:w="1073" w:type="dxa"/>
            <w:tcBorders>
              <w:top w:val="nil"/>
              <w:left w:val="nil"/>
              <w:bottom w:val="single" w:sz="4" w:space="0" w:color="auto"/>
              <w:right w:val="single" w:sz="4" w:space="0" w:color="auto"/>
            </w:tcBorders>
            <w:shd w:val="clear" w:color="auto" w:fill="auto"/>
            <w:noWrap/>
            <w:vAlign w:val="top"/>
            <w:hideMark/>
          </w:tcPr>
          <w:p w14:paraId="01670F67" w14:textId="1957C4BB" w:rsidR="008039AF" w:rsidRPr="000A135F" w:rsidRDefault="000A135F" w:rsidP="008039AF">
            <w:pPr>
              <w:contextualSpacing/>
              <w:jc w:val="right"/>
              <w:rPr>
                <w:rFonts w:eastAsia="Times New Roman" w:cs="Calibri"/>
                <w:color w:val="000000"/>
                <w:spacing w:val="-10"/>
                <w:sz w:val="16"/>
                <w:szCs w:val="16"/>
                <w:lang w:eastAsia="pl-PL"/>
              </w:rPr>
            </w:pPr>
            <w:r w:rsidRPr="000A135F">
              <w:rPr>
                <w:sz w:val="16"/>
                <w:szCs w:val="16"/>
              </w:rPr>
              <w:t>12 936</w:t>
            </w:r>
          </w:p>
        </w:tc>
        <w:tc>
          <w:tcPr>
            <w:tcW w:w="1074" w:type="dxa"/>
            <w:tcBorders>
              <w:top w:val="nil"/>
              <w:left w:val="single" w:sz="4" w:space="0" w:color="auto"/>
              <w:bottom w:val="single" w:sz="4" w:space="0" w:color="auto"/>
              <w:right w:val="single" w:sz="4" w:space="0" w:color="auto"/>
            </w:tcBorders>
            <w:shd w:val="clear" w:color="auto" w:fill="auto"/>
            <w:noWrap/>
            <w:vAlign w:val="top"/>
            <w:hideMark/>
          </w:tcPr>
          <w:p w14:paraId="69C69C69" w14:textId="759DFCE9" w:rsidR="008039AF" w:rsidRPr="000A135F" w:rsidRDefault="000A135F" w:rsidP="008039AF">
            <w:pPr>
              <w:contextualSpacing/>
              <w:jc w:val="right"/>
              <w:rPr>
                <w:rFonts w:eastAsia="Times New Roman" w:cs="Calibri"/>
                <w:b/>
                <w:color w:val="000000"/>
                <w:spacing w:val="-10"/>
                <w:sz w:val="16"/>
                <w:szCs w:val="16"/>
                <w:lang w:eastAsia="pl-PL"/>
              </w:rPr>
            </w:pPr>
            <w:r w:rsidRPr="000A135F">
              <w:rPr>
                <w:sz w:val="16"/>
                <w:szCs w:val="16"/>
              </w:rPr>
              <w:t>59 109</w:t>
            </w:r>
          </w:p>
        </w:tc>
      </w:tr>
    </w:tbl>
    <w:p w14:paraId="4A576A8F" w14:textId="77777777" w:rsidR="00D8239D" w:rsidRPr="00E91511" w:rsidRDefault="002769A8" w:rsidP="00AE1F66">
      <w:pPr>
        <w:pStyle w:val="Legenda"/>
        <w:rPr>
          <w:rFonts w:ascii="Aptos" w:eastAsia="Aptos" w:hAnsi="Aptos" w:cs="Arial"/>
          <w:b/>
          <w:kern w:val="0"/>
          <w:lang w:val="pl-PL"/>
        </w:rPr>
      </w:pPr>
      <w:r w:rsidRPr="00E91511">
        <w:rPr>
          <w:lang w:val="pl-PL"/>
        </w:rPr>
        <w:t>Źródło: Opracowanie własne ARE S.A. i MKiŚ</w:t>
      </w:r>
    </w:p>
    <w:p w14:paraId="5829D6C2" w14:textId="18CC5643" w:rsidR="005D45FF" w:rsidRPr="005D45FF" w:rsidRDefault="005D45FF" w:rsidP="005D45FF">
      <w:pPr>
        <w:rPr>
          <w:rFonts w:eastAsia="Aptos" w:cs="Arial"/>
          <w:kern w:val="0"/>
          <w:szCs w:val="20"/>
        </w:rPr>
      </w:pPr>
      <w:r w:rsidRPr="005D45FF">
        <w:rPr>
          <w:rFonts w:eastAsia="Aptos" w:cs="Arial"/>
          <w:kern w:val="0"/>
          <w:szCs w:val="20"/>
        </w:rPr>
        <w:t>W scenariuszu WAM całkowite nakłady inwestycyjne w okresie 2021</w:t>
      </w:r>
      <w:r w:rsidR="002A2374">
        <w:rPr>
          <w:rFonts w:eastAsia="Aptos" w:cs="Arial"/>
          <w:kern w:val="0"/>
          <w:szCs w:val="20"/>
        </w:rPr>
        <w:t>–2</w:t>
      </w:r>
      <w:r w:rsidRPr="005D45FF">
        <w:rPr>
          <w:rFonts w:eastAsia="Aptos" w:cs="Arial"/>
          <w:kern w:val="0"/>
          <w:szCs w:val="20"/>
        </w:rPr>
        <w:t xml:space="preserve">040 są wyższe o około </w:t>
      </w:r>
      <w:r w:rsidR="00BC0844">
        <w:rPr>
          <w:rFonts w:eastAsia="Aptos" w:cs="Arial"/>
          <w:kern w:val="0"/>
          <w:szCs w:val="20"/>
        </w:rPr>
        <w:t>1</w:t>
      </w:r>
      <w:r w:rsidR="00F64D22">
        <w:rPr>
          <w:rFonts w:eastAsia="Aptos" w:cs="Arial"/>
          <w:kern w:val="0"/>
          <w:szCs w:val="20"/>
        </w:rPr>
        <w:t>6</w:t>
      </w:r>
      <w:r w:rsidRPr="005D45FF">
        <w:rPr>
          <w:rFonts w:eastAsia="Aptos" w:cs="Arial"/>
          <w:kern w:val="0"/>
          <w:szCs w:val="20"/>
        </w:rPr>
        <w:t>% w</w:t>
      </w:r>
      <w:r w:rsidR="004D0462">
        <w:rPr>
          <w:rFonts w:eastAsia="Aptos" w:cs="Arial"/>
          <w:kern w:val="0"/>
          <w:szCs w:val="20"/>
        </w:rPr>
        <w:t> </w:t>
      </w:r>
      <w:r w:rsidRPr="005D45FF">
        <w:rPr>
          <w:rFonts w:eastAsia="Aptos" w:cs="Arial"/>
          <w:kern w:val="0"/>
          <w:szCs w:val="20"/>
        </w:rPr>
        <w:t xml:space="preserve">porównaniu do scenariusza WEM. Łączne inwestycje w scenariuszu WAM wynoszą około </w:t>
      </w:r>
      <w:r w:rsidR="004325A8">
        <w:rPr>
          <w:rFonts w:eastAsia="Aptos" w:cs="Arial"/>
          <w:kern w:val="0"/>
          <w:szCs w:val="20"/>
        </w:rPr>
        <w:t>3</w:t>
      </w:r>
      <w:r w:rsidR="003642F2">
        <w:rPr>
          <w:rFonts w:eastAsia="Aptos" w:cs="Arial"/>
          <w:kern w:val="0"/>
          <w:szCs w:val="20"/>
        </w:rPr>
        <w:t>.</w:t>
      </w:r>
      <w:r w:rsidR="00A67864">
        <w:rPr>
          <w:rFonts w:eastAsia="Aptos" w:cs="Arial"/>
          <w:kern w:val="0"/>
          <w:szCs w:val="20"/>
        </w:rPr>
        <w:t>64</w:t>
      </w:r>
      <w:r w:rsidR="00797C06">
        <w:rPr>
          <w:rFonts w:eastAsia="Aptos" w:cs="Arial"/>
          <w:kern w:val="0"/>
          <w:szCs w:val="20"/>
        </w:rPr>
        <w:t>3</w:t>
      </w:r>
      <w:r w:rsidR="00C05BEF">
        <w:rPr>
          <w:rFonts w:eastAsia="Aptos" w:cs="Arial"/>
          <w:kern w:val="0"/>
          <w:szCs w:val="20"/>
        </w:rPr>
        <w:t xml:space="preserve"> </w:t>
      </w:r>
      <w:r w:rsidRPr="005D45FF">
        <w:rPr>
          <w:rFonts w:eastAsia="Aptos" w:cs="Arial"/>
          <w:kern w:val="0"/>
          <w:szCs w:val="20"/>
        </w:rPr>
        <w:t xml:space="preserve">miliardów </w:t>
      </w:r>
      <w:r w:rsidR="00BC3EBA">
        <w:rPr>
          <w:rFonts w:eastAsia="Aptos" w:cs="Arial"/>
          <w:kern w:val="0"/>
          <w:szCs w:val="20"/>
        </w:rPr>
        <w:t>PLN</w:t>
      </w:r>
      <w:r w:rsidRPr="005D45FF">
        <w:rPr>
          <w:rFonts w:eastAsia="Aptos" w:cs="Arial"/>
          <w:kern w:val="0"/>
          <w:szCs w:val="20"/>
        </w:rPr>
        <w:t xml:space="preserve">, podczas gdy w scenariuszu WEM jest to około </w:t>
      </w:r>
      <w:r w:rsidR="00B52D6E">
        <w:rPr>
          <w:rFonts w:eastAsia="Aptos" w:cs="Arial"/>
          <w:kern w:val="0"/>
          <w:szCs w:val="20"/>
        </w:rPr>
        <w:t>3</w:t>
      </w:r>
      <w:r w:rsidR="003642F2">
        <w:rPr>
          <w:rFonts w:eastAsia="Aptos" w:cs="Arial"/>
          <w:kern w:val="0"/>
          <w:szCs w:val="20"/>
        </w:rPr>
        <w:t>.</w:t>
      </w:r>
      <w:r w:rsidR="00797C06">
        <w:rPr>
          <w:rFonts w:eastAsia="Aptos" w:cs="Arial"/>
          <w:kern w:val="0"/>
          <w:szCs w:val="20"/>
        </w:rPr>
        <w:t>132</w:t>
      </w:r>
      <w:r w:rsidR="00275FEB">
        <w:rPr>
          <w:rFonts w:eastAsia="Aptos" w:cs="Arial"/>
          <w:b/>
          <w:bCs/>
          <w:kern w:val="0"/>
          <w:szCs w:val="20"/>
        </w:rPr>
        <w:t xml:space="preserve"> </w:t>
      </w:r>
      <w:r w:rsidRPr="005D45FF">
        <w:rPr>
          <w:rFonts w:eastAsia="Aptos" w:cs="Arial"/>
          <w:kern w:val="0"/>
          <w:szCs w:val="20"/>
        </w:rPr>
        <w:t xml:space="preserve">miliardów </w:t>
      </w:r>
      <w:r w:rsidR="00C05BEF">
        <w:rPr>
          <w:rFonts w:eastAsia="Aptos" w:cs="Arial"/>
          <w:kern w:val="0"/>
          <w:szCs w:val="20"/>
        </w:rPr>
        <w:t>PLN</w:t>
      </w:r>
      <w:r w:rsidRPr="005D45FF">
        <w:rPr>
          <w:rFonts w:ascii="Arial" w:eastAsia="Aptos" w:hAnsi="Arial" w:cs="Arial"/>
          <w:kern w:val="0"/>
          <w:szCs w:val="20"/>
        </w:rPr>
        <w:t>​​</w:t>
      </w:r>
      <w:r w:rsidRPr="005D45FF">
        <w:rPr>
          <w:rFonts w:eastAsia="Aptos" w:cs="Arial"/>
          <w:kern w:val="0"/>
          <w:szCs w:val="20"/>
        </w:rPr>
        <w:t>. Najwi</w:t>
      </w:r>
      <w:r w:rsidRPr="005D45FF">
        <w:rPr>
          <w:rFonts w:eastAsia="Aptos" w:cs="Aptos"/>
          <w:kern w:val="0"/>
          <w:szCs w:val="20"/>
        </w:rPr>
        <w:t>ę</w:t>
      </w:r>
      <w:r w:rsidRPr="005D45FF">
        <w:rPr>
          <w:rFonts w:eastAsia="Aptos" w:cs="Arial"/>
          <w:kern w:val="0"/>
          <w:szCs w:val="20"/>
        </w:rPr>
        <w:t>ksze r</w:t>
      </w:r>
      <w:r w:rsidRPr="005D45FF">
        <w:rPr>
          <w:rFonts w:eastAsia="Aptos" w:cs="Aptos"/>
          <w:kern w:val="0"/>
          <w:szCs w:val="20"/>
        </w:rPr>
        <w:t>óż</w:t>
      </w:r>
      <w:r w:rsidRPr="005D45FF">
        <w:rPr>
          <w:rFonts w:eastAsia="Aptos" w:cs="Arial"/>
          <w:kern w:val="0"/>
          <w:szCs w:val="20"/>
        </w:rPr>
        <w:t>nice w nak</w:t>
      </w:r>
      <w:r w:rsidRPr="005D45FF">
        <w:rPr>
          <w:rFonts w:eastAsia="Aptos" w:cs="Aptos"/>
          <w:kern w:val="0"/>
          <w:szCs w:val="20"/>
        </w:rPr>
        <w:t>ł</w:t>
      </w:r>
      <w:r w:rsidRPr="005D45FF">
        <w:rPr>
          <w:rFonts w:eastAsia="Aptos" w:cs="Arial"/>
          <w:kern w:val="0"/>
          <w:szCs w:val="20"/>
        </w:rPr>
        <w:t>adach inwestycyjnych wyst</w:t>
      </w:r>
      <w:r w:rsidRPr="005D45FF">
        <w:rPr>
          <w:rFonts w:eastAsia="Aptos" w:cs="Aptos"/>
          <w:kern w:val="0"/>
          <w:szCs w:val="20"/>
        </w:rPr>
        <w:t>ę</w:t>
      </w:r>
      <w:r w:rsidRPr="005D45FF">
        <w:rPr>
          <w:rFonts w:eastAsia="Aptos" w:cs="Arial"/>
          <w:kern w:val="0"/>
          <w:szCs w:val="20"/>
        </w:rPr>
        <w:t>puj</w:t>
      </w:r>
      <w:r w:rsidRPr="005D45FF">
        <w:rPr>
          <w:rFonts w:eastAsia="Aptos" w:cs="Aptos"/>
          <w:kern w:val="0"/>
          <w:szCs w:val="20"/>
        </w:rPr>
        <w:t>ą</w:t>
      </w:r>
      <w:r w:rsidRPr="005D45FF">
        <w:rPr>
          <w:rFonts w:eastAsia="Aptos" w:cs="Arial"/>
          <w:kern w:val="0"/>
          <w:szCs w:val="20"/>
        </w:rPr>
        <w:t xml:space="preserve"> w sektorach energetycznym, w zakresie produkcji (</w:t>
      </w:r>
      <w:r w:rsidR="00C05BEF">
        <w:rPr>
          <w:rFonts w:eastAsia="Aptos" w:cs="Arial"/>
          <w:kern w:val="0"/>
          <w:szCs w:val="20"/>
        </w:rPr>
        <w:t>2</w:t>
      </w:r>
      <w:r w:rsidR="00F50EEE">
        <w:rPr>
          <w:rFonts w:eastAsia="Aptos" w:cs="Arial"/>
          <w:kern w:val="0"/>
          <w:szCs w:val="20"/>
        </w:rPr>
        <w:t>4</w:t>
      </w:r>
      <w:r w:rsidRPr="005D45FF">
        <w:rPr>
          <w:rFonts w:eastAsia="Aptos" w:cs="Arial"/>
          <w:kern w:val="0"/>
          <w:szCs w:val="20"/>
        </w:rPr>
        <w:t xml:space="preserve">%), </w:t>
      </w:r>
      <w:r w:rsidR="00D62E8F">
        <w:rPr>
          <w:rFonts w:eastAsia="Aptos" w:cs="Arial"/>
          <w:kern w:val="0"/>
          <w:szCs w:val="20"/>
        </w:rPr>
        <w:t>górnictwie (</w:t>
      </w:r>
      <w:r w:rsidR="00A3334E">
        <w:rPr>
          <w:rFonts w:eastAsia="Aptos" w:cs="Arial"/>
          <w:kern w:val="0"/>
          <w:szCs w:val="20"/>
        </w:rPr>
        <w:t xml:space="preserve">76%), </w:t>
      </w:r>
      <w:r w:rsidRPr="005D45FF">
        <w:rPr>
          <w:rFonts w:eastAsia="Aptos" w:cs="Arial"/>
          <w:kern w:val="0"/>
          <w:szCs w:val="20"/>
        </w:rPr>
        <w:t>sektorze ciepłowniczym w zakresie produkcji ciepła</w:t>
      </w:r>
      <w:r w:rsidR="00E22851">
        <w:rPr>
          <w:rFonts w:eastAsia="Aptos" w:cs="Arial"/>
          <w:kern w:val="0"/>
          <w:szCs w:val="20"/>
        </w:rPr>
        <w:t xml:space="preserve"> </w:t>
      </w:r>
      <w:r w:rsidR="00E22851" w:rsidRPr="005D45FF">
        <w:rPr>
          <w:rFonts w:eastAsia="Aptos" w:cs="Arial"/>
          <w:kern w:val="0"/>
          <w:szCs w:val="20"/>
        </w:rPr>
        <w:t>(</w:t>
      </w:r>
      <w:r w:rsidR="00E22851">
        <w:rPr>
          <w:rFonts w:eastAsia="Aptos" w:cs="Arial"/>
          <w:kern w:val="0"/>
          <w:szCs w:val="20"/>
        </w:rPr>
        <w:t>42</w:t>
      </w:r>
      <w:r w:rsidR="00E22851" w:rsidRPr="005D45FF">
        <w:rPr>
          <w:rFonts w:eastAsia="Aptos" w:cs="Arial"/>
          <w:kern w:val="0"/>
          <w:szCs w:val="20"/>
        </w:rPr>
        <w:t>%)</w:t>
      </w:r>
      <w:r w:rsidR="00A3334E">
        <w:rPr>
          <w:rFonts w:eastAsia="Aptos" w:cs="Arial"/>
          <w:kern w:val="0"/>
          <w:szCs w:val="20"/>
        </w:rPr>
        <w:t xml:space="preserve"> oraz usługach (</w:t>
      </w:r>
      <w:r w:rsidR="008B4B49">
        <w:rPr>
          <w:rFonts w:eastAsia="Aptos" w:cs="Arial"/>
          <w:kern w:val="0"/>
          <w:szCs w:val="20"/>
        </w:rPr>
        <w:t>31%)</w:t>
      </w:r>
      <w:r w:rsidRPr="005D45FF">
        <w:rPr>
          <w:rFonts w:eastAsia="Aptos" w:cs="Arial"/>
          <w:kern w:val="0"/>
          <w:szCs w:val="20"/>
        </w:rPr>
        <w:t>. Scenariusze nie różnią się znacząco zakresie szacowanych nakładów w sektorze rafineryjnym.</w:t>
      </w:r>
      <w:r w:rsidRPr="005D45FF">
        <w:rPr>
          <w:rFonts w:eastAsia="Aptos" w:cs="Arial"/>
          <w:kern w:val="0"/>
          <w:szCs w:val="20"/>
          <w:vertAlign w:val="superscript"/>
        </w:rPr>
        <w:t xml:space="preserve"> </w:t>
      </w:r>
    </w:p>
    <w:p w14:paraId="5820A55F" w14:textId="77777777" w:rsidR="005D45FF" w:rsidRPr="005D45FF" w:rsidRDefault="005D45FF" w:rsidP="00691D35">
      <w:pPr>
        <w:spacing w:before="240" w:after="80"/>
        <w:rPr>
          <w:rFonts w:eastAsia="Aptos" w:cs="Arial"/>
          <w:b/>
          <w:bCs/>
          <w:kern w:val="0"/>
          <w:szCs w:val="20"/>
        </w:rPr>
      </w:pPr>
      <w:r w:rsidRPr="005D45FF">
        <w:rPr>
          <w:rFonts w:eastAsia="Aptos" w:cs="Arial"/>
          <w:b/>
          <w:bCs/>
          <w:kern w:val="0"/>
          <w:szCs w:val="20"/>
        </w:rPr>
        <w:t>Elektroenergetyka</w:t>
      </w:r>
    </w:p>
    <w:p w14:paraId="7774FFA1" w14:textId="3EEACA73" w:rsidR="005D45FF" w:rsidRPr="005D45FF" w:rsidRDefault="005D45FF" w:rsidP="005D45FF">
      <w:pPr>
        <w:rPr>
          <w:rFonts w:eastAsia="Aptos" w:cs="Arial"/>
          <w:kern w:val="0"/>
          <w:szCs w:val="20"/>
        </w:rPr>
      </w:pPr>
      <w:r w:rsidRPr="00BD2525">
        <w:rPr>
          <w:rFonts w:eastAsia="Aptos" w:cs="Arial"/>
          <w:kern w:val="0"/>
          <w:szCs w:val="20"/>
        </w:rPr>
        <w:t xml:space="preserve">Nakłady inwestycyjne w tym sektorze wzrastają w scenariuszu WAM do ok </w:t>
      </w:r>
      <w:r w:rsidR="000F7DBE" w:rsidRPr="00BD2525">
        <w:rPr>
          <w:rFonts w:eastAsia="Aptos" w:cs="Arial"/>
          <w:kern w:val="0"/>
          <w:szCs w:val="20"/>
        </w:rPr>
        <w:t>1.</w:t>
      </w:r>
      <w:r w:rsidR="00D42AB7">
        <w:rPr>
          <w:rFonts w:eastAsia="Aptos" w:cs="Arial"/>
          <w:kern w:val="0"/>
          <w:szCs w:val="20"/>
        </w:rPr>
        <w:t>5</w:t>
      </w:r>
      <w:r w:rsidR="00E056FA">
        <w:rPr>
          <w:rFonts w:eastAsia="Aptos" w:cs="Arial"/>
          <w:kern w:val="0"/>
          <w:szCs w:val="20"/>
        </w:rPr>
        <w:t>13</w:t>
      </w:r>
      <w:r w:rsidRPr="00BD2525">
        <w:rPr>
          <w:rFonts w:eastAsia="Aptos" w:cs="Arial"/>
          <w:kern w:val="0"/>
          <w:szCs w:val="20"/>
        </w:rPr>
        <w:t xml:space="preserve"> miliardów </w:t>
      </w:r>
      <w:r w:rsidR="000F7DBE" w:rsidRPr="00BD2525">
        <w:rPr>
          <w:rFonts w:eastAsia="Aptos" w:cs="Arial"/>
          <w:kern w:val="0"/>
          <w:szCs w:val="20"/>
        </w:rPr>
        <w:t>PLN</w:t>
      </w:r>
      <w:r w:rsidR="00206C34">
        <w:rPr>
          <w:rFonts w:eastAsia="Aptos" w:cs="Arial"/>
          <w:kern w:val="0"/>
          <w:szCs w:val="20"/>
        </w:rPr>
        <w:t>,</w:t>
      </w:r>
      <w:r w:rsidRPr="00BD2525">
        <w:rPr>
          <w:rFonts w:eastAsia="Aptos" w:cs="Arial"/>
          <w:kern w:val="0"/>
          <w:szCs w:val="20"/>
        </w:rPr>
        <w:t xml:space="preserve"> czyli ok</w:t>
      </w:r>
      <w:r w:rsidR="00C05BEF" w:rsidRPr="00BD2525">
        <w:rPr>
          <w:rFonts w:eastAsia="Aptos" w:cs="Arial"/>
          <w:kern w:val="0"/>
          <w:szCs w:val="20"/>
        </w:rPr>
        <w:t>.</w:t>
      </w:r>
      <w:r w:rsidRPr="00BD2525">
        <w:rPr>
          <w:rFonts w:eastAsia="Aptos" w:cs="Arial"/>
          <w:kern w:val="0"/>
          <w:szCs w:val="20"/>
        </w:rPr>
        <w:t xml:space="preserve"> </w:t>
      </w:r>
      <w:r w:rsidR="005F72CD">
        <w:rPr>
          <w:rFonts w:eastAsia="Aptos" w:cs="Arial"/>
          <w:kern w:val="0"/>
          <w:szCs w:val="20"/>
        </w:rPr>
        <w:t>297</w:t>
      </w:r>
      <w:r w:rsidR="001E19FE" w:rsidRPr="00BD2525">
        <w:rPr>
          <w:rFonts w:eastAsia="Aptos" w:cs="Arial"/>
          <w:kern w:val="0"/>
          <w:szCs w:val="20"/>
        </w:rPr>
        <w:t xml:space="preserve"> </w:t>
      </w:r>
      <w:r w:rsidRPr="00BD2525">
        <w:rPr>
          <w:rFonts w:eastAsia="Aptos" w:cs="Arial"/>
          <w:kern w:val="0"/>
          <w:szCs w:val="20"/>
        </w:rPr>
        <w:t xml:space="preserve">miliardów </w:t>
      </w:r>
      <w:r w:rsidR="000F7DBE" w:rsidRPr="00BD2525">
        <w:rPr>
          <w:rFonts w:eastAsia="Aptos" w:cs="Arial"/>
          <w:kern w:val="0"/>
          <w:szCs w:val="20"/>
        </w:rPr>
        <w:t>PLN</w:t>
      </w:r>
      <w:r w:rsidRPr="00BD2525">
        <w:rPr>
          <w:rFonts w:eastAsia="Aptos" w:cs="Arial"/>
          <w:kern w:val="0"/>
          <w:szCs w:val="20"/>
        </w:rPr>
        <w:t xml:space="preserve"> więcej niż w scenariuszu WEM. Scenariusz WAM zakłada większe o</w:t>
      </w:r>
      <w:r w:rsidR="003864F9" w:rsidRPr="00BD2525">
        <w:rPr>
          <w:rFonts w:eastAsia="Aptos" w:cs="Arial"/>
          <w:kern w:val="0"/>
          <w:szCs w:val="20"/>
        </w:rPr>
        <w:t xml:space="preserve"> </w:t>
      </w:r>
      <w:r w:rsidR="001771E6" w:rsidRPr="00BD2525">
        <w:rPr>
          <w:rFonts w:eastAsia="Aptos" w:cs="Arial"/>
          <w:kern w:val="0"/>
          <w:szCs w:val="20"/>
        </w:rPr>
        <w:t>21</w:t>
      </w:r>
      <w:r w:rsidRPr="00BD2525">
        <w:rPr>
          <w:rFonts w:eastAsia="Aptos" w:cs="Arial"/>
          <w:kern w:val="0"/>
          <w:szCs w:val="20"/>
        </w:rPr>
        <w:t>% inwestycje w rozwój OZE.  Wynika to z przewidywanego odej</w:t>
      </w:r>
      <w:r w:rsidRPr="00BD2525">
        <w:rPr>
          <w:rFonts w:eastAsia="Aptos" w:cs="Aptos"/>
          <w:kern w:val="0"/>
          <w:szCs w:val="20"/>
        </w:rPr>
        <w:t>ś</w:t>
      </w:r>
      <w:r w:rsidRPr="00BD2525">
        <w:rPr>
          <w:rFonts w:eastAsia="Aptos" w:cs="Arial"/>
          <w:kern w:val="0"/>
          <w:szCs w:val="20"/>
        </w:rPr>
        <w:t>cia od wykorzystania węgla</w:t>
      </w:r>
      <w:r w:rsidR="003864F9" w:rsidRPr="00BD2525">
        <w:rPr>
          <w:rFonts w:eastAsia="Aptos" w:cs="Arial"/>
          <w:kern w:val="0"/>
          <w:szCs w:val="20"/>
        </w:rPr>
        <w:t xml:space="preserve"> brunatnego</w:t>
      </w:r>
      <w:r w:rsidRPr="00BD2525">
        <w:rPr>
          <w:rFonts w:eastAsia="Aptos" w:cs="Arial"/>
          <w:kern w:val="0"/>
          <w:szCs w:val="20"/>
        </w:rPr>
        <w:t xml:space="preserve"> w energetyce do 2040 roku i </w:t>
      </w:r>
      <w:r w:rsidR="003864F9" w:rsidRPr="00BD2525">
        <w:rPr>
          <w:rFonts w:eastAsia="Aptos" w:cs="Arial"/>
          <w:kern w:val="0"/>
          <w:szCs w:val="20"/>
        </w:rPr>
        <w:t>znaczącej redukcji zużycia</w:t>
      </w:r>
      <w:r w:rsidRPr="00BD2525">
        <w:rPr>
          <w:rFonts w:eastAsia="Aptos" w:cs="Arial"/>
          <w:kern w:val="0"/>
          <w:szCs w:val="20"/>
        </w:rPr>
        <w:t xml:space="preserve"> w</w:t>
      </w:r>
      <w:r w:rsidRPr="00BD2525">
        <w:rPr>
          <w:rFonts w:eastAsia="Aptos" w:cs="Aptos"/>
          <w:kern w:val="0"/>
          <w:szCs w:val="20"/>
        </w:rPr>
        <w:t>ę</w:t>
      </w:r>
      <w:r w:rsidRPr="00BD2525">
        <w:rPr>
          <w:rFonts w:eastAsia="Aptos" w:cs="Arial"/>
          <w:kern w:val="0"/>
          <w:szCs w:val="20"/>
        </w:rPr>
        <w:t xml:space="preserve">gla kamiennego, co wymaga </w:t>
      </w:r>
      <w:r w:rsidR="003864F9" w:rsidRPr="00BD2525">
        <w:rPr>
          <w:rFonts w:eastAsia="Aptos" w:cs="Arial"/>
          <w:kern w:val="0"/>
          <w:szCs w:val="20"/>
        </w:rPr>
        <w:t xml:space="preserve">istotnych </w:t>
      </w:r>
      <w:r w:rsidRPr="00BD2525">
        <w:rPr>
          <w:rFonts w:eastAsia="Aptos" w:cs="Arial"/>
          <w:kern w:val="0"/>
          <w:szCs w:val="20"/>
        </w:rPr>
        <w:t xml:space="preserve">inwestycji w alternatywne </w:t>
      </w:r>
      <w:r w:rsidRPr="00BD2525">
        <w:rPr>
          <w:rFonts w:eastAsia="Aptos" w:cs="Aptos"/>
          <w:kern w:val="0"/>
          <w:szCs w:val="20"/>
        </w:rPr>
        <w:t>ź</w:t>
      </w:r>
      <w:r w:rsidRPr="00BD2525">
        <w:rPr>
          <w:rFonts w:eastAsia="Aptos" w:cs="Arial"/>
          <w:kern w:val="0"/>
          <w:szCs w:val="20"/>
        </w:rPr>
        <w:t>r</w:t>
      </w:r>
      <w:r w:rsidRPr="00BD2525">
        <w:rPr>
          <w:rFonts w:eastAsia="Aptos" w:cs="Aptos"/>
          <w:kern w:val="0"/>
          <w:szCs w:val="20"/>
        </w:rPr>
        <w:t>ó</w:t>
      </w:r>
      <w:r w:rsidRPr="00BD2525">
        <w:rPr>
          <w:rFonts w:eastAsia="Aptos" w:cs="Arial"/>
          <w:kern w:val="0"/>
          <w:szCs w:val="20"/>
        </w:rPr>
        <w:t>d</w:t>
      </w:r>
      <w:r w:rsidRPr="00BD2525">
        <w:rPr>
          <w:rFonts w:eastAsia="Aptos" w:cs="Aptos"/>
          <w:kern w:val="0"/>
          <w:szCs w:val="20"/>
        </w:rPr>
        <w:t>ł</w:t>
      </w:r>
      <w:r w:rsidRPr="00BD2525">
        <w:rPr>
          <w:rFonts w:eastAsia="Aptos" w:cs="Arial"/>
          <w:kern w:val="0"/>
          <w:szCs w:val="20"/>
        </w:rPr>
        <w:t>a energii oraz modernizacj</w:t>
      </w:r>
      <w:r w:rsidRPr="00BD2525">
        <w:rPr>
          <w:rFonts w:eastAsia="Aptos" w:cs="Aptos"/>
          <w:kern w:val="0"/>
          <w:szCs w:val="20"/>
        </w:rPr>
        <w:t>ę</w:t>
      </w:r>
      <w:r w:rsidRPr="00BD2525">
        <w:rPr>
          <w:rFonts w:eastAsia="Aptos" w:cs="Arial"/>
          <w:kern w:val="0"/>
          <w:szCs w:val="20"/>
        </w:rPr>
        <w:t xml:space="preserve"> infrastruktury przesyłowej i dystrybucyjnej</w:t>
      </w:r>
      <w:r w:rsidRPr="00BD2525">
        <w:rPr>
          <w:rFonts w:ascii="Arial" w:eastAsia="Aptos" w:hAnsi="Arial" w:cs="Arial"/>
          <w:kern w:val="0"/>
          <w:szCs w:val="20"/>
        </w:rPr>
        <w:t>​​</w:t>
      </w:r>
      <w:r w:rsidRPr="00BD2525">
        <w:rPr>
          <w:rFonts w:eastAsia="Aptos" w:cs="Arial"/>
          <w:kern w:val="0"/>
          <w:szCs w:val="20"/>
        </w:rPr>
        <w:t>.</w:t>
      </w:r>
      <w:r w:rsidR="001B6B00" w:rsidRPr="00BD2525">
        <w:rPr>
          <w:rFonts w:eastAsia="Aptos" w:cs="Arial"/>
          <w:kern w:val="0"/>
          <w:szCs w:val="20"/>
          <w:vertAlign w:val="superscript"/>
        </w:rPr>
        <w:t xml:space="preserve"> </w:t>
      </w:r>
      <w:r w:rsidRPr="00BD2525">
        <w:rPr>
          <w:rFonts w:eastAsia="Aptos" w:cs="Arial"/>
          <w:kern w:val="0"/>
          <w:szCs w:val="20"/>
        </w:rPr>
        <w:t xml:space="preserve">Scenariusz WAM zakłada również znaczne inwestycje w infrastrukturę magazynowania energii </w:t>
      </w:r>
      <w:r w:rsidR="00706DF9" w:rsidRPr="00BD2525">
        <w:rPr>
          <w:rFonts w:eastAsia="Aptos" w:cs="Arial"/>
          <w:kern w:val="0"/>
          <w:szCs w:val="20"/>
        </w:rPr>
        <w:t xml:space="preserve">oraz elektrolizery </w:t>
      </w:r>
      <w:r w:rsidRPr="00BD2525">
        <w:rPr>
          <w:rFonts w:eastAsia="Aptos" w:cs="Arial"/>
          <w:kern w:val="0"/>
          <w:szCs w:val="20"/>
        </w:rPr>
        <w:t>(wzrost o 97% w stosunku do WEM), z</w:t>
      </w:r>
      <w:r w:rsidR="003301E0" w:rsidRPr="00BD2525">
        <w:rPr>
          <w:rFonts w:eastAsia="Aptos" w:cs="Arial"/>
          <w:kern w:val="0"/>
          <w:szCs w:val="20"/>
        </w:rPr>
        <w:t xml:space="preserve"> uwagi </w:t>
      </w:r>
      <w:r w:rsidRPr="00BD2525">
        <w:rPr>
          <w:rFonts w:eastAsia="Aptos" w:cs="Arial"/>
          <w:kern w:val="0"/>
          <w:szCs w:val="20"/>
        </w:rPr>
        <w:t xml:space="preserve">na </w:t>
      </w:r>
      <w:r w:rsidR="003301E0" w:rsidRPr="00BD2525">
        <w:rPr>
          <w:rFonts w:eastAsia="Aptos" w:cs="Arial"/>
          <w:kern w:val="0"/>
          <w:szCs w:val="20"/>
        </w:rPr>
        <w:t>ich</w:t>
      </w:r>
      <w:r w:rsidRPr="00BD2525">
        <w:rPr>
          <w:rFonts w:eastAsia="Aptos" w:cs="Arial"/>
          <w:kern w:val="0"/>
          <w:szCs w:val="20"/>
        </w:rPr>
        <w:t xml:space="preserve"> rolę w efektywnym zagospodarowaniu produkcji z OZE i bilansowaniu tych źródeł, jak również we wzmacnianiu bezpieczeństwa dostaw.</w:t>
      </w:r>
    </w:p>
    <w:p w14:paraId="5E7FC6B0" w14:textId="77777777" w:rsidR="005D45FF" w:rsidRPr="005D45FF" w:rsidRDefault="005D45FF" w:rsidP="00691D35">
      <w:pPr>
        <w:spacing w:before="240" w:after="80"/>
        <w:rPr>
          <w:rFonts w:eastAsia="Aptos" w:cs="Arial"/>
          <w:b/>
          <w:bCs/>
          <w:kern w:val="0"/>
          <w:szCs w:val="20"/>
        </w:rPr>
      </w:pPr>
      <w:r w:rsidRPr="005D45FF">
        <w:rPr>
          <w:rFonts w:eastAsia="Aptos" w:cs="Arial"/>
          <w:b/>
          <w:bCs/>
          <w:kern w:val="0"/>
          <w:szCs w:val="20"/>
        </w:rPr>
        <w:t>Ciepłownictwo</w:t>
      </w:r>
    </w:p>
    <w:p w14:paraId="66F629DF" w14:textId="508CA6E0" w:rsidR="005D45FF" w:rsidRPr="005D45FF" w:rsidRDefault="005D45FF" w:rsidP="005D45FF">
      <w:pPr>
        <w:rPr>
          <w:rFonts w:eastAsia="Aptos" w:cs="Arial"/>
          <w:kern w:val="0"/>
          <w:szCs w:val="20"/>
        </w:rPr>
      </w:pPr>
      <w:r w:rsidRPr="005D45FF">
        <w:rPr>
          <w:rFonts w:eastAsia="Aptos" w:cs="Arial"/>
          <w:kern w:val="0"/>
          <w:szCs w:val="20"/>
        </w:rPr>
        <w:t xml:space="preserve">Znaczne różnice dotyczące nakładów inwestycyjnych odnotować można również w sektorze ciepłowniczym. Scenariusz WEM i WAM przewidują odpowiednio ok. </w:t>
      </w:r>
      <w:r w:rsidR="00277159">
        <w:rPr>
          <w:rFonts w:eastAsia="Aptos" w:cs="Arial"/>
          <w:kern w:val="0"/>
          <w:szCs w:val="20"/>
        </w:rPr>
        <w:t>3</w:t>
      </w:r>
      <w:r w:rsidR="008347AD">
        <w:rPr>
          <w:rFonts w:eastAsia="Aptos" w:cs="Arial"/>
          <w:kern w:val="0"/>
          <w:szCs w:val="20"/>
        </w:rPr>
        <w:t>2</w:t>
      </w:r>
      <w:r w:rsidR="00277159">
        <w:rPr>
          <w:rFonts w:eastAsia="Aptos" w:cs="Arial"/>
          <w:kern w:val="0"/>
          <w:szCs w:val="20"/>
        </w:rPr>
        <w:t>,6</w:t>
      </w:r>
      <w:r w:rsidRPr="005D45FF">
        <w:rPr>
          <w:rFonts w:eastAsia="Aptos" w:cs="Arial"/>
          <w:kern w:val="0"/>
          <w:szCs w:val="20"/>
        </w:rPr>
        <w:t xml:space="preserve"> lub </w:t>
      </w:r>
      <w:r w:rsidR="00277159">
        <w:rPr>
          <w:rFonts w:eastAsia="Aptos" w:cs="Arial"/>
          <w:kern w:val="0"/>
          <w:szCs w:val="20"/>
        </w:rPr>
        <w:t>4</w:t>
      </w:r>
      <w:r w:rsidR="008347AD">
        <w:rPr>
          <w:rFonts w:eastAsia="Aptos" w:cs="Arial"/>
          <w:kern w:val="0"/>
          <w:szCs w:val="20"/>
        </w:rPr>
        <w:t>6,5</w:t>
      </w:r>
      <w:r w:rsidRPr="005D45FF">
        <w:rPr>
          <w:rFonts w:eastAsia="Aptos" w:cs="Arial"/>
          <w:kern w:val="0"/>
          <w:szCs w:val="20"/>
        </w:rPr>
        <w:t xml:space="preserve"> miliardów </w:t>
      </w:r>
      <w:r w:rsidR="000F7DBE">
        <w:rPr>
          <w:rFonts w:eastAsia="Aptos" w:cs="Arial"/>
          <w:kern w:val="0"/>
          <w:szCs w:val="20"/>
        </w:rPr>
        <w:t>PLN</w:t>
      </w:r>
      <w:r w:rsidRPr="005D45FF">
        <w:rPr>
          <w:rFonts w:eastAsia="Aptos" w:cs="Arial"/>
          <w:kern w:val="0"/>
          <w:szCs w:val="20"/>
        </w:rPr>
        <w:t xml:space="preserve"> inwestycji w produkcję ciepła (</w:t>
      </w:r>
      <w:r w:rsidR="00AB6555">
        <w:rPr>
          <w:rFonts w:eastAsia="Aptos" w:cs="Arial"/>
          <w:kern w:val="0"/>
          <w:szCs w:val="20"/>
        </w:rPr>
        <w:t>42</w:t>
      </w:r>
      <w:r w:rsidRPr="005D45FF">
        <w:rPr>
          <w:rFonts w:eastAsia="Aptos" w:cs="Arial"/>
          <w:kern w:val="0"/>
          <w:szCs w:val="20"/>
        </w:rPr>
        <w:t xml:space="preserve">% </w:t>
      </w:r>
      <w:r w:rsidRPr="000A28D6">
        <w:rPr>
          <w:rFonts w:eastAsia="Aptos" w:cs="Arial"/>
          <w:kern w:val="0"/>
          <w:szCs w:val="20"/>
        </w:rPr>
        <w:t xml:space="preserve">przewaga WAM nad WEM) oraz odpowiednio </w:t>
      </w:r>
      <w:r w:rsidR="00697C15">
        <w:rPr>
          <w:rFonts w:eastAsia="Aptos" w:cs="Arial"/>
          <w:kern w:val="0"/>
          <w:szCs w:val="20"/>
        </w:rPr>
        <w:t>18</w:t>
      </w:r>
      <w:r w:rsidR="00BE7697">
        <w:rPr>
          <w:rFonts w:eastAsia="Aptos" w:cs="Arial"/>
          <w:kern w:val="0"/>
          <w:szCs w:val="20"/>
        </w:rPr>
        <w:t>1,1</w:t>
      </w:r>
      <w:r w:rsidR="00152992" w:rsidRPr="000A28D6">
        <w:rPr>
          <w:rFonts w:eastAsia="Aptos" w:cs="Arial"/>
          <w:kern w:val="0"/>
          <w:szCs w:val="20"/>
        </w:rPr>
        <w:t xml:space="preserve"> </w:t>
      </w:r>
      <w:r w:rsidRPr="000A28D6">
        <w:rPr>
          <w:rFonts w:eastAsia="Aptos" w:cs="Arial"/>
          <w:kern w:val="0"/>
          <w:szCs w:val="20"/>
        </w:rPr>
        <w:t xml:space="preserve">lub </w:t>
      </w:r>
      <w:r w:rsidR="00697C15">
        <w:rPr>
          <w:rFonts w:eastAsia="Aptos" w:cs="Arial"/>
          <w:kern w:val="0"/>
          <w:szCs w:val="20"/>
        </w:rPr>
        <w:t>2</w:t>
      </w:r>
      <w:r w:rsidR="00BE7697">
        <w:rPr>
          <w:rFonts w:eastAsia="Aptos" w:cs="Arial"/>
          <w:kern w:val="0"/>
          <w:szCs w:val="20"/>
        </w:rPr>
        <w:t>06,9</w:t>
      </w:r>
      <w:r w:rsidR="00152992" w:rsidRPr="000A28D6">
        <w:rPr>
          <w:rFonts w:eastAsia="Aptos" w:cs="Arial"/>
          <w:kern w:val="0"/>
          <w:szCs w:val="20"/>
        </w:rPr>
        <w:t xml:space="preserve"> </w:t>
      </w:r>
      <w:r w:rsidRPr="000A28D6">
        <w:rPr>
          <w:rFonts w:eastAsia="Aptos" w:cs="Arial"/>
          <w:kern w:val="0"/>
          <w:szCs w:val="20"/>
        </w:rPr>
        <w:t>miliard</w:t>
      </w:r>
      <w:r w:rsidR="003E2E40" w:rsidRPr="000A28D6">
        <w:rPr>
          <w:rFonts w:eastAsia="Aptos" w:cs="Arial"/>
          <w:kern w:val="0"/>
          <w:szCs w:val="20"/>
        </w:rPr>
        <w:t>y</w:t>
      </w:r>
      <w:r w:rsidRPr="000A28D6">
        <w:rPr>
          <w:rFonts w:eastAsia="Aptos" w:cs="Arial"/>
          <w:kern w:val="0"/>
          <w:szCs w:val="20"/>
        </w:rPr>
        <w:t xml:space="preserve"> </w:t>
      </w:r>
      <w:r w:rsidR="003E2E40" w:rsidRPr="000A28D6">
        <w:rPr>
          <w:rFonts w:eastAsia="Aptos" w:cs="Arial"/>
          <w:kern w:val="0"/>
          <w:szCs w:val="20"/>
        </w:rPr>
        <w:t>PLN</w:t>
      </w:r>
      <w:r w:rsidRPr="000A28D6">
        <w:rPr>
          <w:rFonts w:eastAsia="Aptos" w:cs="Arial"/>
          <w:kern w:val="0"/>
          <w:szCs w:val="20"/>
        </w:rPr>
        <w:t xml:space="preserve"> nakładów na dystrybucję energii</w:t>
      </w:r>
      <w:r w:rsidR="0028619A">
        <w:rPr>
          <w:rFonts w:eastAsia="Aptos" w:cs="Arial"/>
          <w:kern w:val="0"/>
          <w:szCs w:val="20"/>
        </w:rPr>
        <w:t xml:space="preserve">, w tym </w:t>
      </w:r>
      <w:r w:rsidR="00463F9E" w:rsidRPr="00463F9E">
        <w:rPr>
          <w:rFonts w:eastAsia="Aptos" w:cs="Arial"/>
          <w:kern w:val="0"/>
          <w:szCs w:val="20"/>
        </w:rPr>
        <w:t>urządzenia budynkow</w:t>
      </w:r>
      <w:r w:rsidR="0028619A">
        <w:rPr>
          <w:rFonts w:eastAsia="Aptos" w:cs="Arial"/>
          <w:kern w:val="0"/>
          <w:szCs w:val="20"/>
        </w:rPr>
        <w:t>e</w:t>
      </w:r>
      <w:r w:rsidR="00463F9E" w:rsidRPr="00463F9E">
        <w:rPr>
          <w:rFonts w:eastAsia="Aptos" w:cs="Arial"/>
          <w:kern w:val="0"/>
          <w:szCs w:val="20"/>
        </w:rPr>
        <w:t xml:space="preserve"> produkcji </w:t>
      </w:r>
      <w:r w:rsidR="00AD1B0E">
        <w:rPr>
          <w:rFonts w:eastAsia="Aptos" w:cs="Arial"/>
          <w:kern w:val="0"/>
          <w:szCs w:val="20"/>
        </w:rPr>
        <w:t xml:space="preserve">i magazynowania </w:t>
      </w:r>
      <w:r w:rsidR="00463F9E" w:rsidRPr="00463F9E">
        <w:rPr>
          <w:rFonts w:eastAsia="Aptos" w:cs="Arial"/>
          <w:kern w:val="0"/>
          <w:szCs w:val="20"/>
        </w:rPr>
        <w:t>ciepła</w:t>
      </w:r>
      <w:r w:rsidRPr="000A28D6">
        <w:rPr>
          <w:rFonts w:eastAsia="Aptos" w:cs="Arial"/>
          <w:kern w:val="0"/>
          <w:szCs w:val="20"/>
        </w:rPr>
        <w:t>. Największe stosunkowe różnice w wysokości nakładów występują w prognozach dla magazynów ciepła (</w:t>
      </w:r>
      <w:r w:rsidR="00B423CD" w:rsidRPr="000A28D6">
        <w:rPr>
          <w:rFonts w:eastAsia="Aptos" w:cs="Arial"/>
          <w:kern w:val="0"/>
          <w:szCs w:val="20"/>
        </w:rPr>
        <w:t>252</w:t>
      </w:r>
      <w:r w:rsidRPr="000A28D6">
        <w:rPr>
          <w:rFonts w:eastAsia="Aptos" w:cs="Arial"/>
          <w:kern w:val="0"/>
          <w:szCs w:val="20"/>
        </w:rPr>
        <w:t>%), a także pomp ciepła (</w:t>
      </w:r>
      <w:r w:rsidR="000A28D6" w:rsidRPr="000A28D6">
        <w:rPr>
          <w:rFonts w:eastAsia="Aptos" w:cs="Arial"/>
          <w:kern w:val="0"/>
          <w:szCs w:val="20"/>
        </w:rPr>
        <w:t>50</w:t>
      </w:r>
      <w:r w:rsidRPr="000A28D6">
        <w:rPr>
          <w:rFonts w:eastAsia="Aptos" w:cs="Arial"/>
          <w:kern w:val="0"/>
          <w:szCs w:val="20"/>
        </w:rPr>
        <w:t>%).</w:t>
      </w:r>
    </w:p>
    <w:p w14:paraId="0CB14B59" w14:textId="77777777" w:rsidR="005D45FF" w:rsidRPr="005D45FF" w:rsidRDefault="005D45FF" w:rsidP="00691D35">
      <w:pPr>
        <w:spacing w:before="240" w:after="80"/>
        <w:rPr>
          <w:rFonts w:eastAsia="Aptos" w:cs="Arial"/>
          <w:b/>
          <w:bCs/>
          <w:kern w:val="0"/>
          <w:szCs w:val="20"/>
        </w:rPr>
      </w:pPr>
      <w:r w:rsidRPr="005D45FF">
        <w:rPr>
          <w:rFonts w:eastAsia="Aptos" w:cs="Arial"/>
          <w:b/>
          <w:bCs/>
          <w:kern w:val="0"/>
          <w:szCs w:val="20"/>
        </w:rPr>
        <w:t>Transport</w:t>
      </w:r>
    </w:p>
    <w:p w14:paraId="1D19C20D" w14:textId="4B35188E" w:rsidR="00A2571A" w:rsidRPr="005D45FF" w:rsidRDefault="005D45FF" w:rsidP="005D45FF">
      <w:pPr>
        <w:rPr>
          <w:rFonts w:eastAsia="Aptos" w:cs="Arial"/>
          <w:kern w:val="0"/>
          <w:szCs w:val="20"/>
        </w:rPr>
      </w:pPr>
      <w:r w:rsidRPr="005D45FF">
        <w:rPr>
          <w:rFonts w:eastAsia="Aptos" w:cs="Arial"/>
          <w:kern w:val="0"/>
          <w:szCs w:val="20"/>
        </w:rPr>
        <w:t xml:space="preserve">Również w sektorze transportu potrzeby inwestycyjne są wyższe w scenariuszu WAM – o </w:t>
      </w:r>
      <w:r w:rsidR="007C34C4">
        <w:rPr>
          <w:rFonts w:eastAsia="Aptos" w:cs="Arial"/>
          <w:kern w:val="0"/>
          <w:szCs w:val="20"/>
        </w:rPr>
        <w:t xml:space="preserve">6,53 </w:t>
      </w:r>
      <w:r w:rsidRPr="005D45FF">
        <w:rPr>
          <w:rFonts w:eastAsia="Aptos" w:cs="Arial"/>
          <w:kern w:val="0"/>
          <w:szCs w:val="20"/>
        </w:rPr>
        <w:t xml:space="preserve">%. Wynika to z konieczności intensyfikacji działań na rzecz </w:t>
      </w:r>
      <w:proofErr w:type="spellStart"/>
      <w:r w:rsidRPr="005D45FF">
        <w:rPr>
          <w:rFonts w:eastAsia="Aptos" w:cs="Arial"/>
          <w:kern w:val="0"/>
          <w:szCs w:val="20"/>
        </w:rPr>
        <w:t>elektromobilności</w:t>
      </w:r>
      <w:proofErr w:type="spellEnd"/>
      <w:r w:rsidRPr="005D45FF">
        <w:rPr>
          <w:rFonts w:eastAsia="Aptos" w:cs="Arial"/>
          <w:kern w:val="0"/>
          <w:szCs w:val="20"/>
        </w:rPr>
        <w:t xml:space="preserve"> oraz rozwijania infrastruktury ładowania pojazdów elektrycznych. Dodatkowo, scenariusz WAM zakłada większą redukcję emisji gazów cieplarnianych z sektora transportu poprzez bardziej zdecydowane odchodzeniem od paliw kopalnych w transporcie drogowym i znaczną redukcją ich wykorzystania na rzecz rozwijania napędów elektrycznych oraz zastosowania wodoru jako źródła energii. </w:t>
      </w:r>
    </w:p>
    <w:p w14:paraId="216D402B" w14:textId="77777777" w:rsidR="005D45FF" w:rsidRPr="005D45FF" w:rsidRDefault="005D45FF" w:rsidP="00691D35">
      <w:pPr>
        <w:spacing w:before="240" w:after="80"/>
        <w:rPr>
          <w:rFonts w:eastAsia="Aptos" w:cs="Arial"/>
          <w:b/>
          <w:bCs/>
          <w:kern w:val="0"/>
          <w:szCs w:val="20"/>
        </w:rPr>
      </w:pPr>
      <w:r w:rsidRPr="005D45FF">
        <w:rPr>
          <w:rFonts w:eastAsia="Aptos" w:cs="Arial"/>
          <w:b/>
          <w:bCs/>
          <w:kern w:val="0"/>
          <w:szCs w:val="20"/>
        </w:rPr>
        <w:t>Gospodarstwa domowe</w:t>
      </w:r>
    </w:p>
    <w:p w14:paraId="6FF4B712" w14:textId="6EC2CFCB" w:rsidR="00935379" w:rsidRPr="00EB62D5" w:rsidRDefault="005D45FF" w:rsidP="005D45FF">
      <w:pPr>
        <w:rPr>
          <w:rFonts w:eastAsia="Aptos" w:cs="Arial"/>
          <w:kern w:val="0"/>
          <w:szCs w:val="20"/>
        </w:rPr>
      </w:pPr>
      <w:r w:rsidRPr="005D45FF">
        <w:rPr>
          <w:rFonts w:eastAsia="Aptos" w:cs="Arial"/>
          <w:kern w:val="0"/>
          <w:szCs w:val="20"/>
        </w:rPr>
        <w:t xml:space="preserve">W scenariuszu WAM przewiduje się również większe inwestycje w sektorze gospodarstw domowych, głównie w zakresie modernizacji systemów grzewczych oraz termomodernizacji budynków. </w:t>
      </w:r>
      <w:bookmarkStart w:id="5" w:name="_Hlk195705354"/>
      <w:r w:rsidRPr="005D45FF">
        <w:rPr>
          <w:rFonts w:eastAsia="Aptos" w:cs="Arial"/>
          <w:kern w:val="0"/>
          <w:szCs w:val="20"/>
        </w:rPr>
        <w:t xml:space="preserve">Łączne </w:t>
      </w:r>
      <w:r w:rsidRPr="005D45FF">
        <w:rPr>
          <w:rFonts w:eastAsia="Aptos" w:cs="Arial"/>
          <w:kern w:val="0"/>
          <w:szCs w:val="20"/>
        </w:rPr>
        <w:lastRenderedPageBreak/>
        <w:t>nakłady w tym sektorze wynoszą około</w:t>
      </w:r>
      <w:r w:rsidR="006B5ADA">
        <w:rPr>
          <w:rFonts w:eastAsia="Aptos" w:cs="Arial"/>
          <w:kern w:val="0"/>
          <w:szCs w:val="20"/>
        </w:rPr>
        <w:t xml:space="preserve"> </w:t>
      </w:r>
      <w:r w:rsidR="00432E2B">
        <w:rPr>
          <w:rFonts w:eastAsia="Aptos" w:cs="Arial"/>
          <w:kern w:val="0"/>
          <w:szCs w:val="20"/>
        </w:rPr>
        <w:t>3</w:t>
      </w:r>
      <w:r w:rsidR="00594468">
        <w:rPr>
          <w:rFonts w:eastAsia="Aptos" w:cs="Arial"/>
          <w:kern w:val="0"/>
          <w:szCs w:val="20"/>
        </w:rPr>
        <w:t>4</w:t>
      </w:r>
      <w:r w:rsidR="00292322">
        <w:rPr>
          <w:rFonts w:eastAsia="Aptos" w:cs="Arial"/>
          <w:kern w:val="0"/>
          <w:szCs w:val="20"/>
        </w:rPr>
        <w:t>2</w:t>
      </w:r>
      <w:r w:rsidR="00CA405C">
        <w:rPr>
          <w:rFonts w:eastAsia="Aptos" w:cs="Arial"/>
          <w:kern w:val="0"/>
          <w:szCs w:val="20"/>
        </w:rPr>
        <w:t xml:space="preserve"> </w:t>
      </w:r>
      <w:r w:rsidRPr="005D45FF">
        <w:rPr>
          <w:rFonts w:eastAsia="Aptos" w:cs="Arial"/>
          <w:kern w:val="0"/>
          <w:szCs w:val="20"/>
        </w:rPr>
        <w:t>miliard</w:t>
      </w:r>
      <w:r w:rsidR="006B5ADA">
        <w:rPr>
          <w:rFonts w:eastAsia="Aptos" w:cs="Arial"/>
          <w:kern w:val="0"/>
          <w:szCs w:val="20"/>
        </w:rPr>
        <w:t xml:space="preserve">y </w:t>
      </w:r>
      <w:r w:rsidR="00970A47">
        <w:rPr>
          <w:rFonts w:eastAsia="Aptos" w:cs="Arial"/>
          <w:kern w:val="0"/>
          <w:szCs w:val="20"/>
        </w:rPr>
        <w:t>PLN</w:t>
      </w:r>
      <w:r w:rsidRPr="005D45FF">
        <w:rPr>
          <w:rFonts w:eastAsia="Aptos" w:cs="Arial"/>
          <w:kern w:val="0"/>
          <w:szCs w:val="20"/>
        </w:rPr>
        <w:t xml:space="preserve"> w scenariuszu WEM, natomiast w scenariuszu WAM wynoszą ok </w:t>
      </w:r>
      <w:r w:rsidR="00292322">
        <w:rPr>
          <w:rFonts w:eastAsia="Aptos" w:cs="Arial"/>
          <w:kern w:val="0"/>
          <w:szCs w:val="20"/>
        </w:rPr>
        <w:t>3</w:t>
      </w:r>
      <w:r w:rsidR="00594468">
        <w:rPr>
          <w:rFonts w:eastAsia="Aptos" w:cs="Arial"/>
          <w:kern w:val="0"/>
          <w:szCs w:val="20"/>
        </w:rPr>
        <w:t>76</w:t>
      </w:r>
      <w:r w:rsidR="00CA405C" w:rsidRPr="00CA405C">
        <w:rPr>
          <w:rFonts w:eastAsia="Aptos" w:cs="Arial"/>
          <w:kern w:val="0"/>
          <w:szCs w:val="20"/>
        </w:rPr>
        <w:t xml:space="preserve"> </w:t>
      </w:r>
      <w:r w:rsidR="006B5ADA" w:rsidRPr="005D45FF">
        <w:rPr>
          <w:rFonts w:eastAsia="Aptos" w:cs="Arial"/>
          <w:kern w:val="0"/>
          <w:szCs w:val="20"/>
        </w:rPr>
        <w:t>miliard</w:t>
      </w:r>
      <w:r w:rsidR="006B5ADA">
        <w:rPr>
          <w:rFonts w:eastAsia="Aptos" w:cs="Arial"/>
          <w:kern w:val="0"/>
          <w:szCs w:val="20"/>
        </w:rPr>
        <w:t>y</w:t>
      </w:r>
      <w:r w:rsidR="006B5ADA" w:rsidRPr="005D45FF">
        <w:rPr>
          <w:rFonts w:eastAsia="Aptos" w:cs="Arial"/>
          <w:kern w:val="0"/>
          <w:szCs w:val="20"/>
        </w:rPr>
        <w:t xml:space="preserve"> </w:t>
      </w:r>
      <w:r w:rsidR="00244879">
        <w:rPr>
          <w:rFonts w:eastAsia="Aptos" w:cs="Arial"/>
          <w:kern w:val="0"/>
          <w:szCs w:val="20"/>
        </w:rPr>
        <w:t>PLN</w:t>
      </w:r>
      <w:r w:rsidRPr="005D45FF">
        <w:rPr>
          <w:rFonts w:eastAsia="Aptos" w:cs="Arial"/>
          <w:kern w:val="0"/>
          <w:szCs w:val="20"/>
        </w:rPr>
        <w:t>.</w:t>
      </w:r>
      <w:bookmarkEnd w:id="5"/>
    </w:p>
    <w:p w14:paraId="6FE63D9D" w14:textId="77777777" w:rsidR="005D45FF" w:rsidRPr="005D45FF" w:rsidRDefault="005D45FF" w:rsidP="00691D35">
      <w:pPr>
        <w:spacing w:before="240" w:after="80"/>
        <w:rPr>
          <w:rFonts w:eastAsia="Aptos" w:cs="Arial"/>
          <w:b/>
          <w:bCs/>
          <w:kern w:val="0"/>
          <w:szCs w:val="20"/>
        </w:rPr>
      </w:pPr>
      <w:r w:rsidRPr="005D45FF">
        <w:rPr>
          <w:rFonts w:eastAsia="Aptos" w:cs="Arial"/>
          <w:b/>
          <w:bCs/>
          <w:kern w:val="0"/>
          <w:szCs w:val="20"/>
        </w:rPr>
        <w:t>Porównanie dynamiki inwestycji</w:t>
      </w:r>
    </w:p>
    <w:p w14:paraId="6ED69F27" w14:textId="33A96130" w:rsidR="005D45FF" w:rsidRPr="005D45FF" w:rsidRDefault="005D45FF" w:rsidP="005D45FF">
      <w:pPr>
        <w:rPr>
          <w:rFonts w:eastAsia="Aptos" w:cs="Arial"/>
          <w:kern w:val="0"/>
          <w:szCs w:val="20"/>
        </w:rPr>
      </w:pPr>
      <w:r w:rsidRPr="005D45FF">
        <w:rPr>
          <w:rFonts w:eastAsia="Aptos" w:cs="Arial"/>
          <w:kern w:val="0"/>
          <w:szCs w:val="20"/>
        </w:rPr>
        <w:t>Scenariusze WEM i WAM wyraźnie różnią się w rozkładzie i intensywności nakładów inwestycyjnych w perspektywie długoterminowej. W scenariuszu WEM obserwujemy relatywnie stabilny poziom inwestycji. Po szczytowych nakładach w okresie 2026</w:t>
      </w:r>
      <w:r w:rsidR="002A2374">
        <w:rPr>
          <w:rFonts w:eastAsia="Aptos" w:cs="Arial"/>
          <w:kern w:val="0"/>
          <w:szCs w:val="20"/>
        </w:rPr>
        <w:t>–2</w:t>
      </w:r>
      <w:r w:rsidRPr="005D45FF">
        <w:rPr>
          <w:rFonts w:eastAsia="Aptos" w:cs="Arial"/>
          <w:kern w:val="0"/>
          <w:szCs w:val="20"/>
        </w:rPr>
        <w:t xml:space="preserve">030 na poziomie </w:t>
      </w:r>
      <w:r w:rsidR="000A642B">
        <w:rPr>
          <w:rFonts w:eastAsia="Aptos" w:cs="Arial"/>
          <w:kern w:val="0"/>
          <w:szCs w:val="20"/>
        </w:rPr>
        <w:t>882</w:t>
      </w:r>
      <w:r w:rsidR="00E9725F">
        <w:rPr>
          <w:rFonts w:eastAsia="Aptos" w:cs="Arial"/>
          <w:kern w:val="0"/>
          <w:szCs w:val="20"/>
        </w:rPr>
        <w:t xml:space="preserve"> </w:t>
      </w:r>
      <w:r w:rsidRPr="005D45FF">
        <w:rPr>
          <w:rFonts w:eastAsia="Aptos" w:cs="Arial"/>
          <w:kern w:val="0"/>
          <w:szCs w:val="20"/>
        </w:rPr>
        <w:t xml:space="preserve">miliardów </w:t>
      </w:r>
      <w:r w:rsidR="00C932FB">
        <w:rPr>
          <w:rFonts w:eastAsia="Aptos" w:cs="Arial"/>
          <w:kern w:val="0"/>
          <w:szCs w:val="20"/>
        </w:rPr>
        <w:t>PLN</w:t>
      </w:r>
      <w:r w:rsidRPr="005D45FF">
        <w:rPr>
          <w:rFonts w:eastAsia="Aptos" w:cs="Arial"/>
          <w:kern w:val="0"/>
          <w:szCs w:val="20"/>
        </w:rPr>
        <w:t xml:space="preserve">, następuje spadek inwestycji w kolejnych latach </w:t>
      </w:r>
      <w:r w:rsidR="00124C8F">
        <w:rPr>
          <w:rFonts w:eastAsia="Aptos" w:cs="Arial"/>
          <w:kern w:val="0"/>
          <w:szCs w:val="20"/>
        </w:rPr>
        <w:t xml:space="preserve">tj. </w:t>
      </w:r>
      <w:r w:rsidR="000A642B">
        <w:rPr>
          <w:rFonts w:eastAsia="Aptos" w:cs="Arial"/>
          <w:kern w:val="0"/>
          <w:szCs w:val="20"/>
        </w:rPr>
        <w:t>618</w:t>
      </w:r>
      <w:r w:rsidR="006B0CDB" w:rsidRPr="005D45FF">
        <w:rPr>
          <w:rFonts w:eastAsia="Aptos" w:cs="Arial"/>
          <w:kern w:val="0"/>
          <w:szCs w:val="20"/>
        </w:rPr>
        <w:t xml:space="preserve"> </w:t>
      </w:r>
      <w:bookmarkStart w:id="6" w:name="_Hlk195709253"/>
      <w:r w:rsidRPr="005D45FF">
        <w:rPr>
          <w:rFonts w:eastAsia="Aptos" w:cs="Arial"/>
          <w:kern w:val="0"/>
          <w:szCs w:val="20"/>
        </w:rPr>
        <w:t xml:space="preserve">miliardów </w:t>
      </w:r>
      <w:r w:rsidR="00C932FB">
        <w:rPr>
          <w:rFonts w:eastAsia="Aptos" w:cs="Arial"/>
          <w:kern w:val="0"/>
          <w:szCs w:val="20"/>
        </w:rPr>
        <w:t>PL</w:t>
      </w:r>
      <w:r w:rsidR="009436E6">
        <w:rPr>
          <w:rFonts w:eastAsia="Aptos" w:cs="Arial"/>
          <w:kern w:val="0"/>
          <w:szCs w:val="20"/>
        </w:rPr>
        <w:t>N</w:t>
      </w:r>
      <w:r w:rsidRPr="005D45FF">
        <w:rPr>
          <w:rFonts w:eastAsia="Aptos" w:cs="Arial"/>
          <w:kern w:val="0"/>
          <w:szCs w:val="20"/>
        </w:rPr>
        <w:t xml:space="preserve"> w latach 203</w:t>
      </w:r>
      <w:r w:rsidR="006B0CDB">
        <w:rPr>
          <w:rFonts w:eastAsia="Aptos" w:cs="Arial"/>
          <w:kern w:val="0"/>
          <w:szCs w:val="20"/>
        </w:rPr>
        <w:t>1</w:t>
      </w:r>
      <w:r w:rsidR="002A2374">
        <w:rPr>
          <w:rFonts w:eastAsia="Aptos" w:cs="Arial"/>
          <w:kern w:val="0"/>
          <w:szCs w:val="20"/>
        </w:rPr>
        <w:t>–2</w:t>
      </w:r>
      <w:r w:rsidRPr="005D45FF">
        <w:rPr>
          <w:rFonts w:eastAsia="Aptos" w:cs="Arial"/>
          <w:kern w:val="0"/>
          <w:szCs w:val="20"/>
        </w:rPr>
        <w:t>0</w:t>
      </w:r>
      <w:r w:rsidR="006B0CDB">
        <w:rPr>
          <w:rFonts w:eastAsia="Aptos" w:cs="Arial"/>
          <w:kern w:val="0"/>
          <w:szCs w:val="20"/>
        </w:rPr>
        <w:t xml:space="preserve">35 </w:t>
      </w:r>
      <w:bookmarkEnd w:id="6"/>
      <w:r w:rsidR="00D47AEB">
        <w:rPr>
          <w:rFonts w:eastAsia="Aptos" w:cs="Arial"/>
          <w:kern w:val="0"/>
          <w:szCs w:val="20"/>
        </w:rPr>
        <w:t xml:space="preserve">oraz </w:t>
      </w:r>
      <w:r w:rsidR="000A642B">
        <w:rPr>
          <w:rFonts w:eastAsia="Aptos" w:cs="Arial"/>
          <w:kern w:val="0"/>
          <w:szCs w:val="20"/>
        </w:rPr>
        <w:t>808</w:t>
      </w:r>
      <w:r w:rsidR="00D47AEB">
        <w:rPr>
          <w:rFonts w:eastAsia="Aptos" w:cs="Arial"/>
          <w:kern w:val="0"/>
          <w:szCs w:val="20"/>
        </w:rPr>
        <w:t xml:space="preserve"> </w:t>
      </w:r>
      <w:r w:rsidR="00D47AEB" w:rsidRPr="00D47AEB">
        <w:rPr>
          <w:rFonts w:eastAsia="Aptos" w:cs="Arial"/>
          <w:kern w:val="0"/>
          <w:szCs w:val="20"/>
        </w:rPr>
        <w:t>miliardów PLN w latach 203</w:t>
      </w:r>
      <w:r w:rsidR="00D47AEB">
        <w:rPr>
          <w:rFonts w:eastAsia="Aptos" w:cs="Arial"/>
          <w:kern w:val="0"/>
          <w:szCs w:val="20"/>
        </w:rPr>
        <w:t>6</w:t>
      </w:r>
      <w:r w:rsidR="00D47AEB" w:rsidRPr="00D47AEB">
        <w:rPr>
          <w:rFonts w:eastAsia="Aptos" w:cs="Arial"/>
          <w:kern w:val="0"/>
          <w:szCs w:val="20"/>
        </w:rPr>
        <w:t>–20</w:t>
      </w:r>
      <w:r w:rsidR="00D47AEB">
        <w:rPr>
          <w:rFonts w:eastAsia="Aptos" w:cs="Arial"/>
          <w:kern w:val="0"/>
          <w:szCs w:val="20"/>
        </w:rPr>
        <w:t>40</w:t>
      </w:r>
      <w:r w:rsidRPr="005D45FF">
        <w:rPr>
          <w:rFonts w:eastAsia="Aptos" w:cs="Arial"/>
          <w:kern w:val="0"/>
          <w:szCs w:val="20"/>
        </w:rPr>
        <w:t>.</w:t>
      </w:r>
    </w:p>
    <w:p w14:paraId="3AA48365" w14:textId="03F6CD4B" w:rsidR="005D45FF" w:rsidRPr="005D45FF" w:rsidRDefault="005D45FF" w:rsidP="005D45FF">
      <w:pPr>
        <w:rPr>
          <w:rFonts w:eastAsia="Aptos" w:cs="Arial"/>
          <w:kern w:val="0"/>
          <w:szCs w:val="20"/>
        </w:rPr>
      </w:pPr>
      <w:r w:rsidRPr="005D45FF">
        <w:rPr>
          <w:rFonts w:eastAsia="Aptos" w:cs="Arial"/>
          <w:kern w:val="0"/>
          <w:szCs w:val="20"/>
        </w:rPr>
        <w:t>Z kolei w scenariuszu WAM, nakłady inwestycyjne są wyższe i wykazują bardziej dynamiczny wzrost w pierwszym okresie, następnie utrzymując się na wysokim poziomie. Inwestycje w okresie 2026</w:t>
      </w:r>
      <w:r w:rsidR="002A2374">
        <w:rPr>
          <w:rFonts w:eastAsia="Aptos" w:cs="Arial"/>
          <w:kern w:val="0"/>
          <w:szCs w:val="20"/>
        </w:rPr>
        <w:t>–2</w:t>
      </w:r>
      <w:r w:rsidRPr="005D45FF">
        <w:rPr>
          <w:rFonts w:eastAsia="Aptos" w:cs="Arial"/>
          <w:kern w:val="0"/>
          <w:szCs w:val="20"/>
        </w:rPr>
        <w:t xml:space="preserve">030 mają wzrosnąć aż do </w:t>
      </w:r>
      <w:r w:rsidR="00FC6204">
        <w:rPr>
          <w:rFonts w:eastAsia="Aptos" w:cs="Arial"/>
          <w:kern w:val="0"/>
          <w:szCs w:val="20"/>
        </w:rPr>
        <w:t>9</w:t>
      </w:r>
      <w:r w:rsidR="000A642B">
        <w:rPr>
          <w:rFonts w:eastAsia="Aptos" w:cs="Arial"/>
          <w:kern w:val="0"/>
          <w:szCs w:val="20"/>
        </w:rPr>
        <w:t>18</w:t>
      </w:r>
      <w:r w:rsidR="00961016">
        <w:rPr>
          <w:rFonts w:eastAsia="Aptos" w:cs="Arial"/>
          <w:kern w:val="0"/>
          <w:szCs w:val="20"/>
        </w:rPr>
        <w:t xml:space="preserve"> </w:t>
      </w:r>
      <w:r w:rsidRPr="005D45FF">
        <w:rPr>
          <w:rFonts w:eastAsia="Aptos" w:cs="Arial"/>
          <w:kern w:val="0"/>
          <w:szCs w:val="20"/>
        </w:rPr>
        <w:t xml:space="preserve">miliardów </w:t>
      </w:r>
      <w:r w:rsidR="00C932FB">
        <w:rPr>
          <w:rFonts w:eastAsia="Aptos" w:cs="Arial"/>
          <w:kern w:val="0"/>
          <w:szCs w:val="20"/>
        </w:rPr>
        <w:t>PLN</w:t>
      </w:r>
      <w:r w:rsidRPr="005D45FF">
        <w:rPr>
          <w:rFonts w:eastAsia="Aptos" w:cs="Arial"/>
          <w:kern w:val="0"/>
          <w:szCs w:val="20"/>
        </w:rPr>
        <w:t xml:space="preserve">, utrzymując relatywnie wysoki poziom aż do </w:t>
      </w:r>
      <w:r w:rsidR="00491217">
        <w:rPr>
          <w:rFonts w:eastAsia="Aptos" w:cs="Arial"/>
          <w:kern w:val="0"/>
          <w:szCs w:val="20"/>
        </w:rPr>
        <w:t xml:space="preserve">piku osiągniętego w </w:t>
      </w:r>
      <w:r w:rsidRPr="005D45FF">
        <w:rPr>
          <w:rFonts w:eastAsia="Aptos" w:cs="Arial"/>
          <w:kern w:val="0"/>
          <w:szCs w:val="20"/>
        </w:rPr>
        <w:t>lat</w:t>
      </w:r>
      <w:r w:rsidR="00491217">
        <w:rPr>
          <w:rFonts w:eastAsia="Aptos" w:cs="Arial"/>
          <w:kern w:val="0"/>
          <w:szCs w:val="20"/>
        </w:rPr>
        <w:t>ach</w:t>
      </w:r>
      <w:r w:rsidRPr="005D45FF">
        <w:rPr>
          <w:rFonts w:eastAsia="Aptos" w:cs="Arial"/>
          <w:kern w:val="0"/>
          <w:szCs w:val="20"/>
        </w:rPr>
        <w:t xml:space="preserve"> 2036</w:t>
      </w:r>
      <w:r w:rsidR="002A2374">
        <w:rPr>
          <w:rFonts w:eastAsia="Aptos" w:cs="Arial"/>
          <w:kern w:val="0"/>
          <w:szCs w:val="20"/>
        </w:rPr>
        <w:t>–2</w:t>
      </w:r>
      <w:r w:rsidRPr="005D45FF">
        <w:rPr>
          <w:rFonts w:eastAsia="Aptos" w:cs="Arial"/>
          <w:kern w:val="0"/>
          <w:szCs w:val="20"/>
        </w:rPr>
        <w:t>040 wynosząc</w:t>
      </w:r>
      <w:r w:rsidR="00491217">
        <w:rPr>
          <w:rFonts w:eastAsia="Aptos" w:cs="Arial"/>
          <w:kern w:val="0"/>
          <w:szCs w:val="20"/>
        </w:rPr>
        <w:t xml:space="preserve"> </w:t>
      </w:r>
      <w:r w:rsidR="00FC6204">
        <w:rPr>
          <w:rFonts w:eastAsia="Aptos" w:cs="Arial"/>
          <w:kern w:val="0"/>
          <w:szCs w:val="20"/>
        </w:rPr>
        <w:t>1</w:t>
      </w:r>
      <w:r w:rsidR="007C3157">
        <w:rPr>
          <w:rFonts w:eastAsia="Aptos" w:cs="Arial"/>
          <w:kern w:val="0"/>
          <w:szCs w:val="20"/>
        </w:rPr>
        <w:t>.</w:t>
      </w:r>
      <w:r w:rsidR="00FC6204">
        <w:rPr>
          <w:rFonts w:eastAsia="Aptos" w:cs="Arial"/>
          <w:kern w:val="0"/>
          <w:szCs w:val="20"/>
        </w:rPr>
        <w:t>0</w:t>
      </w:r>
      <w:r w:rsidR="000A642B">
        <w:rPr>
          <w:rFonts w:eastAsia="Aptos" w:cs="Arial"/>
          <w:kern w:val="0"/>
          <w:szCs w:val="20"/>
        </w:rPr>
        <w:t>0</w:t>
      </w:r>
      <w:r w:rsidR="00926626">
        <w:rPr>
          <w:rFonts w:eastAsia="Aptos" w:cs="Arial"/>
          <w:kern w:val="0"/>
          <w:szCs w:val="20"/>
        </w:rPr>
        <w:t>9</w:t>
      </w:r>
      <w:r w:rsidRPr="005D45FF">
        <w:rPr>
          <w:rFonts w:eastAsia="Aptos" w:cs="Arial"/>
          <w:kern w:val="0"/>
          <w:szCs w:val="20"/>
        </w:rPr>
        <w:t xml:space="preserve"> miliard</w:t>
      </w:r>
      <w:r w:rsidR="00491217">
        <w:rPr>
          <w:rFonts w:eastAsia="Aptos" w:cs="Arial"/>
          <w:kern w:val="0"/>
          <w:szCs w:val="20"/>
        </w:rPr>
        <w:t>ów</w:t>
      </w:r>
      <w:r w:rsidR="00691FB2">
        <w:rPr>
          <w:rFonts w:eastAsia="Aptos" w:cs="Arial"/>
          <w:kern w:val="0"/>
          <w:szCs w:val="20"/>
        </w:rPr>
        <w:t xml:space="preserve"> </w:t>
      </w:r>
      <w:r w:rsidR="00C932FB">
        <w:rPr>
          <w:rFonts w:eastAsia="Aptos" w:cs="Arial"/>
          <w:kern w:val="0"/>
          <w:szCs w:val="20"/>
        </w:rPr>
        <w:t>PLN</w:t>
      </w:r>
      <w:r w:rsidRPr="005D45FF">
        <w:rPr>
          <w:rFonts w:eastAsia="Aptos" w:cs="Arial"/>
          <w:kern w:val="0"/>
          <w:szCs w:val="20"/>
        </w:rPr>
        <w:t xml:space="preserve">. W tym okresie szczególnie wysokie nakłady są planowane w sektorze wytwarzania energii elektrycznej oraz w podsektorze </w:t>
      </w:r>
      <w:proofErr w:type="spellStart"/>
      <w:r w:rsidRPr="005D45FF">
        <w:rPr>
          <w:rFonts w:eastAsia="Aptos" w:cs="Arial"/>
          <w:kern w:val="0"/>
          <w:szCs w:val="20"/>
        </w:rPr>
        <w:t>przesyłu</w:t>
      </w:r>
      <w:proofErr w:type="spellEnd"/>
      <w:r w:rsidRPr="005D45FF">
        <w:rPr>
          <w:rFonts w:eastAsia="Aptos" w:cs="Arial"/>
          <w:kern w:val="0"/>
          <w:szCs w:val="20"/>
        </w:rPr>
        <w:t xml:space="preserve"> i dystrybucji energii elektrycznej. </w:t>
      </w:r>
    </w:p>
    <w:p w14:paraId="545186A4" w14:textId="77777777" w:rsidR="005D45FF" w:rsidRPr="005D45FF" w:rsidRDefault="005D45FF" w:rsidP="005D45FF">
      <w:pPr>
        <w:rPr>
          <w:rFonts w:eastAsia="Aptos" w:cs="Arial"/>
          <w:kern w:val="0"/>
          <w:szCs w:val="20"/>
        </w:rPr>
      </w:pPr>
      <w:r w:rsidRPr="005D45FF">
        <w:rPr>
          <w:rFonts w:eastAsia="Aptos" w:cs="Arial"/>
          <w:kern w:val="0"/>
          <w:szCs w:val="20"/>
        </w:rPr>
        <w:t>W obu scenariuszach nie zakłada się inwestycji w węgiel po 2025 r.</w:t>
      </w:r>
    </w:p>
    <w:p w14:paraId="7FD6C530" w14:textId="2C4AB268" w:rsidR="00AE3F01" w:rsidRDefault="005D45FF" w:rsidP="005D45FF">
      <w:pPr>
        <w:rPr>
          <w:rFonts w:eastAsia="Aptos" w:cs="Arial"/>
          <w:kern w:val="0"/>
          <w:szCs w:val="20"/>
        </w:rPr>
      </w:pPr>
      <w:r w:rsidRPr="005D45FF">
        <w:rPr>
          <w:rFonts w:eastAsia="Aptos" w:cs="Arial"/>
          <w:kern w:val="0"/>
          <w:szCs w:val="20"/>
        </w:rPr>
        <w:t xml:space="preserve">Porównując oba scenariusze, WAM zakłada bardziej intensywną transformację energetyczną, co odzwierciedla się w wyraźnie wyższych i bardziej dynamicznych nakładach inwestycyjnych w całym okresie analizy. Scenariusz ten sugeruje silniejsze zaangażowanie w modernizację infrastruktury energetycznej oraz rozwój odnawialnych źródeł energii, co jest kluczowe dla </w:t>
      </w:r>
      <w:r w:rsidR="00392946">
        <w:rPr>
          <w:rFonts w:eastAsia="Aptos" w:cs="Arial"/>
          <w:kern w:val="0"/>
          <w:szCs w:val="20"/>
        </w:rPr>
        <w:t xml:space="preserve">obniżenia cen energii i </w:t>
      </w:r>
      <w:r w:rsidRPr="005D45FF">
        <w:rPr>
          <w:rFonts w:eastAsia="Aptos" w:cs="Arial"/>
          <w:kern w:val="0"/>
          <w:szCs w:val="20"/>
        </w:rPr>
        <w:t>osiągnięcia długoterminowych celów klimatycznych.</w:t>
      </w:r>
      <w:r w:rsidRPr="005D45FF" w:rsidDel="00157A44">
        <w:rPr>
          <w:rFonts w:eastAsia="Aptos" w:cs="Arial"/>
          <w:kern w:val="0"/>
          <w:szCs w:val="20"/>
          <w:highlight w:val="yellow"/>
        </w:rPr>
        <w:t xml:space="preserve"> </w:t>
      </w:r>
    </w:p>
    <w:p w14:paraId="0DD89EF3" w14:textId="51DBFF1C" w:rsidR="00AE3F01" w:rsidRPr="00AE3F01" w:rsidRDefault="00AE3F01" w:rsidP="00CA52ED">
      <w:pPr>
        <w:spacing w:before="240" w:after="80"/>
        <w:rPr>
          <w:rFonts w:eastAsia="Aptos" w:cs="Arial"/>
          <w:kern w:val="0"/>
          <w:szCs w:val="20"/>
        </w:rPr>
      </w:pPr>
      <w:r w:rsidRPr="00AE3F01">
        <w:rPr>
          <w:rFonts w:eastAsia="Aptos" w:cs="Arial"/>
          <w:b/>
          <w:bCs/>
          <w:kern w:val="0"/>
          <w:szCs w:val="20"/>
        </w:rPr>
        <w:t>Podsumowanie</w:t>
      </w:r>
    </w:p>
    <w:p w14:paraId="45E4AF5E" w14:textId="71959663" w:rsidR="00AE3F01" w:rsidRDefault="00AE3F01" w:rsidP="00AE3F01">
      <w:pPr>
        <w:rPr>
          <w:rFonts w:eastAsia="Aptos" w:cs="Arial"/>
          <w:kern w:val="0"/>
          <w:szCs w:val="20"/>
        </w:rPr>
      </w:pPr>
      <w:r w:rsidRPr="00AE3F01">
        <w:rPr>
          <w:rFonts w:eastAsia="Aptos" w:cs="Arial"/>
          <w:kern w:val="0"/>
          <w:szCs w:val="20"/>
        </w:rPr>
        <w:t>Scenariusz WAM wymaga</w:t>
      </w:r>
      <w:r w:rsidRPr="00AE3F01" w:rsidDel="00485B64">
        <w:rPr>
          <w:rFonts w:eastAsia="Aptos" w:cs="Arial"/>
          <w:kern w:val="0"/>
          <w:szCs w:val="20"/>
        </w:rPr>
        <w:t xml:space="preserve"> </w:t>
      </w:r>
      <w:r w:rsidRPr="00AE3F01">
        <w:rPr>
          <w:rFonts w:eastAsia="Aptos" w:cs="Arial"/>
          <w:kern w:val="0"/>
          <w:szCs w:val="20"/>
        </w:rPr>
        <w:t>większych nakładów inwestycyjnych niż scenariusz WEM, przede wszystkim w sektorach elektroenergetyki</w:t>
      </w:r>
      <w:r w:rsidR="00803431">
        <w:rPr>
          <w:rFonts w:eastAsia="Aptos" w:cs="Arial"/>
          <w:kern w:val="0"/>
          <w:szCs w:val="20"/>
        </w:rPr>
        <w:t>, ciepłownictwa</w:t>
      </w:r>
      <w:r w:rsidRPr="00AE3F01">
        <w:rPr>
          <w:rFonts w:eastAsia="Aptos" w:cs="Arial"/>
          <w:kern w:val="0"/>
          <w:szCs w:val="20"/>
        </w:rPr>
        <w:t xml:space="preserve">, transportu oraz gospodarstw domowych. Wyższe cele w zakresie redukcji emisji oraz efektywności energetycznej, przekładają się na potrzebę dodatkowych inwestycji. Pomimo większych kosztów, scenariusz WAM oferuje </w:t>
      </w:r>
      <w:r w:rsidR="00392946">
        <w:rPr>
          <w:rFonts w:eastAsia="Aptos" w:cs="Arial"/>
          <w:kern w:val="0"/>
          <w:szCs w:val="20"/>
        </w:rPr>
        <w:t xml:space="preserve">niższe ceny energii oraz bardziej </w:t>
      </w:r>
      <w:r w:rsidRPr="00AE3F01">
        <w:rPr>
          <w:rFonts w:eastAsia="Aptos" w:cs="Arial"/>
          <w:kern w:val="0"/>
          <w:szCs w:val="20"/>
        </w:rPr>
        <w:t>zrównoważoną i niskoemisyjną przyszłość, co w długoterminowej perspektywie może przynieść znaczące korzyści ekonomiczne i środowisko</w:t>
      </w:r>
      <w:r w:rsidR="000B2F6D">
        <w:rPr>
          <w:rFonts w:eastAsia="Aptos" w:cs="Arial"/>
          <w:kern w:val="0"/>
          <w:szCs w:val="20"/>
        </w:rPr>
        <w:t>we.</w:t>
      </w:r>
    </w:p>
    <w:p w14:paraId="6F43438B" w14:textId="77777777" w:rsidR="00801275" w:rsidRDefault="00801275" w:rsidP="00AE3F01">
      <w:pPr>
        <w:rPr>
          <w:rFonts w:eastAsia="Aptos" w:cs="Arial"/>
          <w:kern w:val="0"/>
          <w:szCs w:val="20"/>
        </w:rPr>
        <w:sectPr w:rsidR="00801275" w:rsidSect="00E01666">
          <w:headerReference w:type="default" r:id="rId13"/>
          <w:footerReference w:type="default" r:id="rId14"/>
          <w:pgSz w:w="11906" w:h="16838"/>
          <w:pgMar w:top="1417" w:right="1417" w:bottom="1417" w:left="1417" w:header="708" w:footer="708" w:gutter="0"/>
          <w:cols w:space="708"/>
          <w:docGrid w:linePitch="360"/>
        </w:sectPr>
      </w:pPr>
    </w:p>
    <w:p w14:paraId="2428F991" w14:textId="642F2D0D" w:rsidR="000F4635" w:rsidRDefault="00566C5D" w:rsidP="00AE3F01">
      <w:pPr>
        <w:rPr>
          <w:rFonts w:eastAsia="Aptos" w:cs="Arial"/>
          <w:kern w:val="0"/>
          <w:szCs w:val="20"/>
        </w:rPr>
      </w:pPr>
      <w:r>
        <w:rPr>
          <w:noProof/>
        </w:rPr>
        <w:lastRenderedPageBreak/>
        <w:drawing>
          <wp:inline distT="0" distB="0" distL="0" distR="0" wp14:anchorId="00E03BE5" wp14:editId="1C74C1DD">
            <wp:extent cx="8590915" cy="4742121"/>
            <wp:effectExtent l="0" t="0" r="635" b="1905"/>
            <wp:docPr id="393743257" name="Wykres 1">
              <a:extLst xmlns:a="http://schemas.openxmlformats.org/drawingml/2006/main">
                <a:ext uri="{FF2B5EF4-FFF2-40B4-BE49-F238E27FC236}">
                  <a16:creationId xmlns:a16="http://schemas.microsoft.com/office/drawing/2014/main" id="{3D3DF6C6-679A-4D42-9199-769446262F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055662C" w14:textId="7215DB05" w:rsidR="000B2F6D" w:rsidRDefault="00AE3F01" w:rsidP="005D45FF">
      <w:pPr>
        <w:rPr>
          <w:i/>
          <w:iCs/>
          <w:color w:val="0E2841" w:themeColor="text2"/>
          <w:sz w:val="18"/>
          <w:szCs w:val="18"/>
        </w:rPr>
      </w:pPr>
      <w:bookmarkStart w:id="7" w:name="_Ref167823562"/>
      <w:bookmarkStart w:id="8" w:name="_Toc171587277"/>
      <w:bookmarkStart w:id="9" w:name="_Toc174528538"/>
      <w:r w:rsidRPr="00AE3F01">
        <w:rPr>
          <w:i/>
          <w:iCs/>
          <w:color w:val="0E2841" w:themeColor="text2"/>
          <w:sz w:val="18"/>
          <w:szCs w:val="18"/>
        </w:rPr>
        <w:t xml:space="preserve">Rysunek </w:t>
      </w:r>
      <w:r w:rsidRPr="00AE3F01">
        <w:rPr>
          <w:i/>
          <w:iCs/>
          <w:color w:val="0E2841" w:themeColor="text2"/>
          <w:sz w:val="18"/>
          <w:szCs w:val="18"/>
        </w:rPr>
        <w:fldChar w:fldCharType="begin"/>
      </w:r>
      <w:r w:rsidRPr="00AE3F01">
        <w:rPr>
          <w:i/>
          <w:iCs/>
          <w:color w:val="0E2841" w:themeColor="text2"/>
          <w:sz w:val="18"/>
          <w:szCs w:val="18"/>
        </w:rPr>
        <w:instrText xml:space="preserve"> STYLEREF 1 \s </w:instrText>
      </w:r>
      <w:r w:rsidRPr="00AE3F01">
        <w:rPr>
          <w:i/>
          <w:iCs/>
          <w:color w:val="0E2841" w:themeColor="text2"/>
          <w:sz w:val="18"/>
          <w:szCs w:val="18"/>
        </w:rPr>
        <w:fldChar w:fldCharType="separate"/>
      </w:r>
      <w:r w:rsidR="006314AC">
        <w:rPr>
          <w:i/>
          <w:iCs/>
          <w:noProof/>
          <w:color w:val="0E2841" w:themeColor="text2"/>
          <w:sz w:val="18"/>
          <w:szCs w:val="18"/>
        </w:rPr>
        <w:t>1</w:t>
      </w:r>
      <w:r w:rsidRPr="00AE3F01">
        <w:rPr>
          <w:i/>
          <w:iCs/>
          <w:color w:val="0E2841" w:themeColor="text2"/>
          <w:sz w:val="18"/>
          <w:szCs w:val="18"/>
        </w:rPr>
        <w:fldChar w:fldCharType="end"/>
      </w:r>
      <w:r w:rsidRPr="00AE3F01">
        <w:rPr>
          <w:i/>
          <w:iCs/>
          <w:color w:val="0E2841" w:themeColor="text2"/>
          <w:sz w:val="18"/>
          <w:szCs w:val="18"/>
        </w:rPr>
        <w:t>.</w:t>
      </w:r>
      <w:r w:rsidRPr="00AE3F01">
        <w:rPr>
          <w:i/>
          <w:iCs/>
          <w:color w:val="0E2841" w:themeColor="text2"/>
          <w:sz w:val="18"/>
          <w:szCs w:val="18"/>
        </w:rPr>
        <w:fldChar w:fldCharType="begin"/>
      </w:r>
      <w:r w:rsidRPr="00AE3F01">
        <w:rPr>
          <w:i/>
          <w:iCs/>
          <w:color w:val="0E2841" w:themeColor="text2"/>
          <w:sz w:val="18"/>
          <w:szCs w:val="18"/>
        </w:rPr>
        <w:instrText xml:space="preserve"> SEQ Rysunek \* ARABIC \s 1 </w:instrText>
      </w:r>
      <w:r w:rsidRPr="00AE3F01">
        <w:rPr>
          <w:i/>
          <w:iCs/>
          <w:color w:val="0E2841" w:themeColor="text2"/>
          <w:sz w:val="18"/>
          <w:szCs w:val="18"/>
        </w:rPr>
        <w:fldChar w:fldCharType="separate"/>
      </w:r>
      <w:r w:rsidR="006314AC">
        <w:rPr>
          <w:i/>
          <w:iCs/>
          <w:noProof/>
          <w:color w:val="0E2841" w:themeColor="text2"/>
          <w:sz w:val="18"/>
          <w:szCs w:val="18"/>
        </w:rPr>
        <w:t>1</w:t>
      </w:r>
      <w:r w:rsidRPr="00AE3F01">
        <w:rPr>
          <w:i/>
          <w:iCs/>
          <w:color w:val="0E2841" w:themeColor="text2"/>
          <w:sz w:val="18"/>
          <w:szCs w:val="18"/>
        </w:rPr>
        <w:fldChar w:fldCharType="end"/>
      </w:r>
      <w:bookmarkEnd w:id="7"/>
      <w:r w:rsidRPr="00AE3F01">
        <w:rPr>
          <w:i/>
          <w:iCs/>
          <w:color w:val="0E2841" w:themeColor="text2"/>
          <w:sz w:val="18"/>
          <w:szCs w:val="18"/>
        </w:rPr>
        <w:t xml:space="preserve">. </w:t>
      </w:r>
      <w:bookmarkEnd w:id="8"/>
      <w:bookmarkEnd w:id="9"/>
      <w:r w:rsidR="003A6270">
        <w:rPr>
          <w:i/>
          <w:iCs/>
          <w:color w:val="0E2841" w:themeColor="text2"/>
          <w:sz w:val="18"/>
          <w:szCs w:val="18"/>
        </w:rPr>
        <w:t>Porównanie nakładów względem scenariuszy z przeznaczeniem na działania związane z wprowadzeniem KPEiK w latach 202</w:t>
      </w:r>
      <w:r w:rsidR="000F4635">
        <w:rPr>
          <w:i/>
          <w:iCs/>
          <w:color w:val="0E2841" w:themeColor="text2"/>
          <w:sz w:val="18"/>
          <w:szCs w:val="18"/>
        </w:rPr>
        <w:t>1</w:t>
      </w:r>
      <w:r w:rsidR="00C741A8">
        <w:rPr>
          <w:i/>
          <w:iCs/>
          <w:color w:val="0E2841" w:themeColor="text2"/>
          <w:sz w:val="18"/>
          <w:szCs w:val="18"/>
        </w:rPr>
        <w:t xml:space="preserve"> – </w:t>
      </w:r>
      <w:r w:rsidR="003A6270">
        <w:rPr>
          <w:i/>
          <w:iCs/>
          <w:color w:val="0E2841" w:themeColor="text2"/>
          <w:sz w:val="18"/>
          <w:szCs w:val="18"/>
        </w:rPr>
        <w:t>2040</w:t>
      </w:r>
    </w:p>
    <w:p w14:paraId="0CB85E0C" w14:textId="77777777" w:rsidR="005D40B8" w:rsidRDefault="005D40B8" w:rsidP="005D45FF">
      <w:pPr>
        <w:rPr>
          <w:i/>
          <w:iCs/>
          <w:color w:val="0E2841" w:themeColor="text2"/>
          <w:sz w:val="18"/>
          <w:szCs w:val="18"/>
        </w:rPr>
      </w:pPr>
    </w:p>
    <w:p w14:paraId="42564D47" w14:textId="77777777" w:rsidR="00801275" w:rsidRDefault="00801275" w:rsidP="000B2F6D">
      <w:pPr>
        <w:rPr>
          <w:i/>
          <w:iCs/>
          <w:color w:val="0E2841" w:themeColor="text2"/>
          <w:sz w:val="18"/>
          <w:szCs w:val="18"/>
        </w:rPr>
        <w:sectPr w:rsidR="00801275" w:rsidSect="00801275">
          <w:pgSz w:w="16838" w:h="11906" w:orient="landscape"/>
          <w:pgMar w:top="1417" w:right="1417" w:bottom="1417" w:left="1417" w:header="708" w:footer="708" w:gutter="0"/>
          <w:cols w:space="708"/>
          <w:docGrid w:linePitch="360"/>
        </w:sectPr>
      </w:pPr>
    </w:p>
    <w:p w14:paraId="2AF0386D" w14:textId="0AC8B113" w:rsidR="00ED52BB" w:rsidRPr="00ED52BB" w:rsidRDefault="00ED52BB" w:rsidP="001B6B00">
      <w:pPr>
        <w:pStyle w:val="Nagwek1"/>
      </w:pPr>
      <w:bookmarkStart w:id="10" w:name="_Toc195860633"/>
      <w:bookmarkStart w:id="11" w:name="_Toc202967956"/>
      <w:bookmarkStart w:id="12" w:name="_Hlk174532172"/>
      <w:r w:rsidRPr="00ED52BB">
        <w:lastRenderedPageBreak/>
        <w:t xml:space="preserve">Wpływ środków unijnych, reform i kamieni milowych </w:t>
      </w:r>
      <w:bookmarkStart w:id="13" w:name="_Hlk175294528"/>
      <w:r w:rsidRPr="00ED52BB">
        <w:t>na realizację celów wskazanych w</w:t>
      </w:r>
      <w:r w:rsidR="0080256E">
        <w:t> </w:t>
      </w:r>
      <w:bookmarkEnd w:id="13"/>
      <w:r w:rsidRPr="00ED52BB">
        <w:t>aKPEiK</w:t>
      </w:r>
      <w:bookmarkEnd w:id="10"/>
      <w:bookmarkEnd w:id="11"/>
    </w:p>
    <w:p w14:paraId="41AC73F2" w14:textId="043DBC86" w:rsidR="00C80CBC" w:rsidRPr="00546E40" w:rsidRDefault="0048007F" w:rsidP="0054707A">
      <w:pPr>
        <w:rPr>
          <w:szCs w:val="20"/>
        </w:rPr>
      </w:pPr>
      <w:bookmarkStart w:id="14" w:name="_Hlk175547411"/>
      <w:bookmarkEnd w:id="12"/>
      <w:r w:rsidRPr="00546E40">
        <w:rPr>
          <w:szCs w:val="20"/>
        </w:rPr>
        <w:t>Skala środków ujęta dla Polski z funduszy unijnych na transformację klimatyczno-energetyczną jest bezprecedensowa. Szacunkowa wielkość wydatków klimatycznych w latach 2021</w:t>
      </w:r>
      <w:r w:rsidR="002A2374">
        <w:rPr>
          <w:szCs w:val="20"/>
        </w:rPr>
        <w:t>–2</w:t>
      </w:r>
      <w:r w:rsidRPr="00546E40">
        <w:rPr>
          <w:szCs w:val="20"/>
        </w:rPr>
        <w:t xml:space="preserve">027 może wynieść ok. 260 mld zł. </w:t>
      </w:r>
      <w:r w:rsidR="00C80CBC" w:rsidRPr="00546E40">
        <w:rPr>
          <w:szCs w:val="20"/>
        </w:rPr>
        <w:t xml:space="preserve">Jednak, mając na względzie skalę wyzwań i rosnące unijne ambicje, konieczne będzie zaprogramowanie nowych funduszy na cele związane z transformacją gospodarki Polski w perspektywie po 2028 r. </w:t>
      </w:r>
    </w:p>
    <w:p w14:paraId="49125150" w14:textId="0001536E" w:rsidR="00A02137" w:rsidRPr="00546E40" w:rsidRDefault="00A02137" w:rsidP="0054707A">
      <w:pPr>
        <w:rPr>
          <w:szCs w:val="20"/>
        </w:rPr>
      </w:pPr>
      <w:r w:rsidRPr="00546E40">
        <w:rPr>
          <w:szCs w:val="20"/>
        </w:rPr>
        <w:t>Aktualnie realizowane programy przy udziale środków unijnych w perspektywie 2021</w:t>
      </w:r>
      <w:r w:rsidR="002A2374">
        <w:rPr>
          <w:szCs w:val="20"/>
        </w:rPr>
        <w:t>–2</w:t>
      </w:r>
      <w:r w:rsidRPr="00546E40">
        <w:rPr>
          <w:szCs w:val="20"/>
        </w:rPr>
        <w:t>027 pośrednio lub bezpośrednio przyczyniają się do realizacji celów określonych w Krajowym Planie w dziedzinie Energii i Klimatu.</w:t>
      </w:r>
    </w:p>
    <w:p w14:paraId="0C212493" w14:textId="60B5B13C" w:rsidR="0048007F" w:rsidRPr="00546E40" w:rsidRDefault="0048007F" w:rsidP="0054707A">
      <w:pPr>
        <w:rPr>
          <w:szCs w:val="20"/>
        </w:rPr>
      </w:pPr>
      <w:r w:rsidRPr="00546E40">
        <w:rPr>
          <w:szCs w:val="20"/>
        </w:rPr>
        <w:t>Najważniejszymi programami z budżetu UE w ramach bieżącej perspektywy finansowej , przyczyniającymi się do realizacji celów klimatycznych w Polsce będą: program Fundusze Europejskie na Infrastrukturę, Klimat</w:t>
      </w:r>
      <w:r w:rsidR="00F84C85">
        <w:rPr>
          <w:szCs w:val="20"/>
        </w:rPr>
        <w:t>,</w:t>
      </w:r>
      <w:r w:rsidRPr="00546E40">
        <w:rPr>
          <w:szCs w:val="20"/>
        </w:rPr>
        <w:t xml:space="preserve"> Środowisko (</w:t>
      </w:r>
      <w:proofErr w:type="spellStart"/>
      <w:r w:rsidRPr="00546E40">
        <w:rPr>
          <w:szCs w:val="20"/>
        </w:rPr>
        <w:t>FEnIKS</w:t>
      </w:r>
      <w:proofErr w:type="spellEnd"/>
      <w:r w:rsidRPr="00546E40">
        <w:rPr>
          <w:szCs w:val="20"/>
        </w:rPr>
        <w:t>),</w:t>
      </w:r>
      <w:r w:rsidR="00A02137" w:rsidRPr="00546E40">
        <w:rPr>
          <w:szCs w:val="20"/>
        </w:rPr>
        <w:t xml:space="preserve"> Fundusze Europejskie dla Polski Wschodniej (FEPW),</w:t>
      </w:r>
      <w:r w:rsidRPr="00546E40">
        <w:rPr>
          <w:szCs w:val="20"/>
        </w:rPr>
        <w:t xml:space="preserve"> Instrument na rzecz Odbudowy i Zwiększania Odporności</w:t>
      </w:r>
      <w:r w:rsidR="00B30609">
        <w:rPr>
          <w:szCs w:val="20"/>
        </w:rPr>
        <w:t xml:space="preserve"> </w:t>
      </w:r>
      <w:r w:rsidR="00B30609" w:rsidRPr="00B30609">
        <w:rPr>
          <w:szCs w:val="20"/>
        </w:rPr>
        <w:t xml:space="preserve">(RRF, ang. </w:t>
      </w:r>
      <w:proofErr w:type="spellStart"/>
      <w:r w:rsidR="00B30609" w:rsidRPr="00B30609">
        <w:rPr>
          <w:szCs w:val="20"/>
        </w:rPr>
        <w:t>Recovery</w:t>
      </w:r>
      <w:proofErr w:type="spellEnd"/>
      <w:r w:rsidR="00B30609" w:rsidRPr="00B30609">
        <w:rPr>
          <w:szCs w:val="20"/>
        </w:rPr>
        <w:t xml:space="preserve"> and </w:t>
      </w:r>
      <w:proofErr w:type="spellStart"/>
      <w:r w:rsidR="00B30609" w:rsidRPr="00B30609">
        <w:rPr>
          <w:szCs w:val="20"/>
        </w:rPr>
        <w:t>Resilience</w:t>
      </w:r>
      <w:proofErr w:type="spellEnd"/>
      <w:r w:rsidR="00B30609" w:rsidRPr="00B30609">
        <w:rPr>
          <w:szCs w:val="20"/>
        </w:rPr>
        <w:t xml:space="preserve"> </w:t>
      </w:r>
      <w:proofErr w:type="spellStart"/>
      <w:r w:rsidR="00B30609" w:rsidRPr="00B30609">
        <w:rPr>
          <w:szCs w:val="20"/>
        </w:rPr>
        <w:t>Facility</w:t>
      </w:r>
      <w:proofErr w:type="spellEnd"/>
      <w:r w:rsidR="00B30609" w:rsidRPr="00B30609">
        <w:rPr>
          <w:szCs w:val="20"/>
        </w:rPr>
        <w:t>)</w:t>
      </w:r>
      <w:r w:rsidRPr="00546E40">
        <w:rPr>
          <w:szCs w:val="20"/>
        </w:rPr>
        <w:t xml:space="preserve">, a także Mechanizm Sprawiedliwej Transformacji, w tym Fundusz na rzecz Sprawiedliwej Transformacji. </w:t>
      </w:r>
      <w:r w:rsidR="00491007" w:rsidRPr="00546E40">
        <w:rPr>
          <w:szCs w:val="20"/>
        </w:rPr>
        <w:t xml:space="preserve">Uzupełniająco do programu </w:t>
      </w:r>
      <w:proofErr w:type="spellStart"/>
      <w:r w:rsidR="00491007" w:rsidRPr="00546E40">
        <w:rPr>
          <w:szCs w:val="20"/>
        </w:rPr>
        <w:t>FEnIKS</w:t>
      </w:r>
      <w:proofErr w:type="spellEnd"/>
      <w:r w:rsidR="00491007" w:rsidRPr="00546E40">
        <w:rPr>
          <w:szCs w:val="20"/>
        </w:rPr>
        <w:t xml:space="preserve"> wsparcie ze środków unijnych realizowane jest również w ramach programów regionalnych, za których wdrażanie odpowiadają poszczególne województwa. </w:t>
      </w:r>
      <w:r w:rsidRPr="00546E40">
        <w:rPr>
          <w:szCs w:val="20"/>
        </w:rPr>
        <w:t>Jednym z istotnych źródeł finansowania tego procesu będą również wpływy z systemu EU ETS, które będą wydatkowane m.in. w ramach Funduszu Modernizacyjnego.</w:t>
      </w:r>
      <w:r w:rsidR="00491007" w:rsidRPr="00546E40">
        <w:rPr>
          <w:szCs w:val="20"/>
        </w:rPr>
        <w:t xml:space="preserve"> </w:t>
      </w:r>
    </w:p>
    <w:p w14:paraId="30FD16F4" w14:textId="141F96E3" w:rsidR="0048007F" w:rsidRPr="009756A2" w:rsidRDefault="0048007F" w:rsidP="0048007F">
      <w:pPr>
        <w:rPr>
          <w:szCs w:val="20"/>
        </w:rPr>
      </w:pPr>
      <w:r w:rsidRPr="00546E40">
        <w:rPr>
          <w:szCs w:val="20"/>
        </w:rPr>
        <w:t>Z kolei, od 2026 r. komplementarnym instrumentem będzie nowy Społeczny Fundusz Klimatyczny</w:t>
      </w:r>
      <w:r w:rsidR="00C87891">
        <w:rPr>
          <w:szCs w:val="20"/>
        </w:rPr>
        <w:t xml:space="preserve"> – SFK</w:t>
      </w:r>
      <w:r w:rsidRPr="00546E40">
        <w:rPr>
          <w:szCs w:val="20"/>
        </w:rPr>
        <w:t xml:space="preserve"> (</w:t>
      </w:r>
      <w:r w:rsidR="00022772">
        <w:rPr>
          <w:szCs w:val="20"/>
        </w:rPr>
        <w:t>SCF</w:t>
      </w:r>
      <w:r w:rsidR="005667BF">
        <w:rPr>
          <w:szCs w:val="20"/>
        </w:rPr>
        <w:t xml:space="preserve">, ang. </w:t>
      </w:r>
      <w:proofErr w:type="spellStart"/>
      <w:r w:rsidR="005667BF" w:rsidRPr="00E06843">
        <w:rPr>
          <w:i/>
          <w:iCs/>
          <w:szCs w:val="20"/>
        </w:rPr>
        <w:t>Social</w:t>
      </w:r>
      <w:proofErr w:type="spellEnd"/>
      <w:r w:rsidR="005667BF" w:rsidRPr="00E06843">
        <w:rPr>
          <w:i/>
          <w:iCs/>
          <w:szCs w:val="20"/>
        </w:rPr>
        <w:t xml:space="preserve"> </w:t>
      </w:r>
      <w:proofErr w:type="spellStart"/>
      <w:r w:rsidR="005667BF" w:rsidRPr="00E06843">
        <w:rPr>
          <w:i/>
          <w:iCs/>
          <w:szCs w:val="20"/>
        </w:rPr>
        <w:t>Climate</w:t>
      </w:r>
      <w:proofErr w:type="spellEnd"/>
      <w:r w:rsidR="005667BF" w:rsidRPr="00E06843">
        <w:rPr>
          <w:i/>
          <w:iCs/>
          <w:szCs w:val="20"/>
        </w:rPr>
        <w:t xml:space="preserve"> Fund</w:t>
      </w:r>
      <w:r w:rsidRPr="00546E40">
        <w:rPr>
          <w:szCs w:val="20"/>
        </w:rPr>
        <w:t>) ukierunkowany na wsparcie najbardziej wrażliwych</w:t>
      </w:r>
      <w:r w:rsidR="006325BB" w:rsidRPr="00EC3492">
        <w:rPr>
          <w:b/>
          <w:kern w:val="0"/>
          <w14:ligatures w14:val="none"/>
        </w:rPr>
        <w:t xml:space="preserve"> </w:t>
      </w:r>
      <w:r w:rsidR="006325BB" w:rsidRPr="006325BB">
        <w:rPr>
          <w:szCs w:val="20"/>
        </w:rPr>
        <w:t xml:space="preserve">gospodarstw domowych, mikroprzedsiębiorstw i użytkowników transportu m.in. </w:t>
      </w:r>
      <w:r w:rsidR="00061601">
        <w:rPr>
          <w:szCs w:val="20"/>
        </w:rPr>
        <w:t>w</w:t>
      </w:r>
      <w:r w:rsidR="006325BB" w:rsidRPr="006325BB">
        <w:rPr>
          <w:szCs w:val="20"/>
        </w:rPr>
        <w:t xml:space="preserve"> inwestycj</w:t>
      </w:r>
      <w:r w:rsidR="00061601">
        <w:rPr>
          <w:szCs w:val="20"/>
        </w:rPr>
        <w:t>ach</w:t>
      </w:r>
      <w:r w:rsidR="006325BB" w:rsidRPr="006325BB">
        <w:rPr>
          <w:szCs w:val="20"/>
        </w:rPr>
        <w:t xml:space="preserve"> ograniczających wykorzystywanie paliw kopalnych</w:t>
      </w:r>
      <w:r w:rsidR="00A02137" w:rsidRPr="00546E40">
        <w:rPr>
          <w:szCs w:val="20"/>
        </w:rPr>
        <w:t>.</w:t>
      </w:r>
      <w:r w:rsidRPr="00546E40">
        <w:rPr>
          <w:szCs w:val="20"/>
        </w:rPr>
        <w:t xml:space="preserve"> </w:t>
      </w:r>
      <w:r w:rsidR="00061601">
        <w:rPr>
          <w:szCs w:val="20"/>
        </w:rPr>
        <w:t>SFK</w:t>
      </w:r>
      <w:r w:rsidRPr="00546E40">
        <w:rPr>
          <w:szCs w:val="20"/>
        </w:rPr>
        <w:t xml:space="preserve"> </w:t>
      </w:r>
      <w:r w:rsidR="00061601">
        <w:rPr>
          <w:szCs w:val="20"/>
        </w:rPr>
        <w:t>został</w:t>
      </w:r>
      <w:r w:rsidR="00A02137" w:rsidRPr="00546E40">
        <w:rPr>
          <w:szCs w:val="20"/>
        </w:rPr>
        <w:t xml:space="preserve"> </w:t>
      </w:r>
      <w:r w:rsidRPr="00546E40">
        <w:rPr>
          <w:szCs w:val="20"/>
        </w:rPr>
        <w:t>ustanowiony na lata 2026</w:t>
      </w:r>
      <w:r w:rsidR="002A2374">
        <w:rPr>
          <w:szCs w:val="20"/>
        </w:rPr>
        <w:t>–2</w:t>
      </w:r>
      <w:r w:rsidRPr="00546E40">
        <w:rPr>
          <w:szCs w:val="20"/>
        </w:rPr>
        <w:t>032. Jego zasadniczym celem jest złagodzenie wpływu nowych opłat za emisję gazów cieplarnianych na ceny</w:t>
      </w:r>
      <w:r w:rsidR="00616254">
        <w:rPr>
          <w:szCs w:val="20"/>
        </w:rPr>
        <w:t xml:space="preserve"> energii</w:t>
      </w:r>
      <w:r w:rsidR="006325BB">
        <w:rPr>
          <w:szCs w:val="20"/>
        </w:rPr>
        <w:t xml:space="preserve"> i paliw</w:t>
      </w:r>
      <w:r w:rsidR="00061601">
        <w:rPr>
          <w:szCs w:val="20"/>
        </w:rPr>
        <w:t xml:space="preserve"> transportowych</w:t>
      </w:r>
      <w:r w:rsidRPr="00546E40">
        <w:rPr>
          <w:szCs w:val="20"/>
        </w:rPr>
        <w:t>, które wzrosną w wyniku rozszerzenia ETS na budynki i transport</w:t>
      </w:r>
      <w:r w:rsidR="006325BB">
        <w:rPr>
          <w:szCs w:val="20"/>
        </w:rPr>
        <w:t xml:space="preserve"> drogowy</w:t>
      </w:r>
      <w:r w:rsidRPr="00546E40">
        <w:rPr>
          <w:szCs w:val="20"/>
        </w:rPr>
        <w:t xml:space="preserve"> (ETS 2).</w:t>
      </w:r>
      <w:r w:rsidR="006325BB" w:rsidRPr="006325BB">
        <w:rPr>
          <w:szCs w:val="20"/>
        </w:rPr>
        <w:t>Narzędzie to ma służyć przede wszystkim zmniejszeniu zjawiska ubóstwa energetycznego i</w:t>
      </w:r>
      <w:r w:rsidR="006325BB">
        <w:rPr>
          <w:szCs w:val="20"/>
        </w:rPr>
        <w:t> </w:t>
      </w:r>
      <w:r w:rsidR="006325BB" w:rsidRPr="006325BB">
        <w:rPr>
          <w:szCs w:val="20"/>
        </w:rPr>
        <w:t>transportowego.</w:t>
      </w:r>
      <w:r w:rsidRPr="00546E40">
        <w:rPr>
          <w:szCs w:val="20"/>
        </w:rPr>
        <w:t xml:space="preserve"> W ramach Funduszu Polska ma do </w:t>
      </w:r>
      <w:r w:rsidRPr="009756A2">
        <w:rPr>
          <w:szCs w:val="20"/>
        </w:rPr>
        <w:t xml:space="preserve">dyspozycji </w:t>
      </w:r>
      <w:r w:rsidR="00AE397F" w:rsidRPr="00AE397F">
        <w:rPr>
          <w:szCs w:val="20"/>
        </w:rPr>
        <w:t>15,2 mld EUR - 11,4 mld EUR ze środków SFK oraz 3,8 mld EUR w ramach wkładu krajowego (min. 25%)</w:t>
      </w:r>
      <w:r w:rsidR="00691D35">
        <w:rPr>
          <w:rStyle w:val="Odwoanieprzypisudolnego"/>
          <w:szCs w:val="20"/>
        </w:rPr>
        <w:footnoteReference w:id="3"/>
      </w:r>
      <w:r w:rsidRPr="009756A2">
        <w:rPr>
          <w:szCs w:val="20"/>
        </w:rPr>
        <w:t>.</w:t>
      </w:r>
    </w:p>
    <w:p w14:paraId="7E68078B" w14:textId="23F916E6" w:rsidR="0054707A" w:rsidRPr="009756A2" w:rsidRDefault="007541D9" w:rsidP="0054707A">
      <w:pPr>
        <w:rPr>
          <w:szCs w:val="20"/>
        </w:rPr>
      </w:pPr>
      <w:r w:rsidRPr="009756A2">
        <w:rPr>
          <w:szCs w:val="20"/>
        </w:rPr>
        <w:t xml:space="preserve">Finansowanie ze środków unijnych, w szczególności w ramach Instrumentu na rzecz Odbudowy i Zwiększania Odporności </w:t>
      </w:r>
      <w:r w:rsidR="00993E16" w:rsidRPr="009756A2">
        <w:rPr>
          <w:szCs w:val="20"/>
        </w:rPr>
        <w:t xml:space="preserve">oraz </w:t>
      </w:r>
      <w:r w:rsidRPr="009756A2">
        <w:rPr>
          <w:szCs w:val="20"/>
        </w:rPr>
        <w:t xml:space="preserve">polityki spójności wzmacnia wysiłki Polski </w:t>
      </w:r>
      <w:r w:rsidR="0054707A" w:rsidRPr="009756A2">
        <w:rPr>
          <w:szCs w:val="20"/>
        </w:rPr>
        <w:t>na rzecz zrównoważonego rozwoju sektora energii oraz działania związane z ochroną środowiska, które są niezbędne dla budowania</w:t>
      </w:r>
      <w:r w:rsidR="004C57E3" w:rsidRPr="009756A2">
        <w:rPr>
          <w:szCs w:val="20"/>
        </w:rPr>
        <w:t xml:space="preserve"> </w:t>
      </w:r>
      <w:r w:rsidR="0054707A" w:rsidRPr="009756A2">
        <w:rPr>
          <w:szCs w:val="20"/>
        </w:rPr>
        <w:t>konkurencyjności</w:t>
      </w:r>
      <w:r w:rsidR="004C57E3" w:rsidRPr="009756A2">
        <w:rPr>
          <w:szCs w:val="20"/>
        </w:rPr>
        <w:t xml:space="preserve"> i wzmacniania krajowej gospodarki</w:t>
      </w:r>
      <w:r w:rsidR="0054707A" w:rsidRPr="009756A2">
        <w:rPr>
          <w:szCs w:val="20"/>
        </w:rPr>
        <w:t xml:space="preserve">. </w:t>
      </w:r>
    </w:p>
    <w:p w14:paraId="3C1E9D98" w14:textId="569FD3F6" w:rsidR="00ED52BB" w:rsidRPr="009756A2" w:rsidRDefault="004C57E3" w:rsidP="0054707A">
      <w:pPr>
        <w:rPr>
          <w:szCs w:val="20"/>
        </w:rPr>
      </w:pPr>
      <w:r w:rsidRPr="009756A2">
        <w:rPr>
          <w:szCs w:val="20"/>
        </w:rPr>
        <w:t xml:space="preserve">Środki przeznaczone dla Polski to </w:t>
      </w:r>
      <w:r w:rsidR="0054707A" w:rsidRPr="009756A2">
        <w:rPr>
          <w:szCs w:val="20"/>
        </w:rPr>
        <w:t>59,8 mld EUR w ramach RRF (do zakontraktowania do połowy 2026 r.) oraz 75,5 mld EUR z funduszy polityki spójności (lata 2021–2027).</w:t>
      </w:r>
    </w:p>
    <w:p w14:paraId="3DDF1613" w14:textId="65324CB6" w:rsidR="004C57E3" w:rsidRPr="00475F18" w:rsidRDefault="004C57E3" w:rsidP="0054707A">
      <w:pPr>
        <w:rPr>
          <w:szCs w:val="20"/>
        </w:rPr>
      </w:pPr>
      <w:r w:rsidRPr="009756A2">
        <w:rPr>
          <w:szCs w:val="20"/>
        </w:rPr>
        <w:t xml:space="preserve">Komplementarne źródła finansowania mają za zadanie </w:t>
      </w:r>
      <w:r w:rsidR="007F113E" w:rsidRPr="009756A2">
        <w:rPr>
          <w:szCs w:val="20"/>
        </w:rPr>
        <w:t>odpowiedzieć</w:t>
      </w:r>
      <w:r w:rsidRPr="009756A2">
        <w:rPr>
          <w:szCs w:val="20"/>
        </w:rPr>
        <w:t xml:space="preserve"> na wyzwania związane z transformacją energetyczną</w:t>
      </w:r>
      <w:r w:rsidRPr="009756A2">
        <w:rPr>
          <w:b/>
          <w:bCs/>
          <w:szCs w:val="20"/>
        </w:rPr>
        <w:t xml:space="preserve">. </w:t>
      </w:r>
      <w:r w:rsidRPr="009756A2">
        <w:rPr>
          <w:szCs w:val="20"/>
        </w:rPr>
        <w:t xml:space="preserve">Transformacja ta jest centralnym elementem KPO, a blisko połowa </w:t>
      </w:r>
      <w:r w:rsidR="002F222F" w:rsidRPr="009756A2">
        <w:rPr>
          <w:szCs w:val="20"/>
        </w:rPr>
        <w:t xml:space="preserve">tj. 44,96% </w:t>
      </w:r>
      <w:r w:rsidRPr="009756A2">
        <w:rPr>
          <w:szCs w:val="20"/>
        </w:rPr>
        <w:t>całkowitej alokacji</w:t>
      </w:r>
      <w:r w:rsidR="002F222F" w:rsidRPr="009756A2">
        <w:rPr>
          <w:szCs w:val="20"/>
        </w:rPr>
        <w:t xml:space="preserve">, </w:t>
      </w:r>
      <w:r w:rsidRPr="009756A2">
        <w:rPr>
          <w:szCs w:val="20"/>
        </w:rPr>
        <w:t xml:space="preserve">powiązana jest z osiągnięciem celów klimatycznych (26,9 mld EUR). Z kolei, w latach 2021–2027 na zieloną transformację zostanie zainwestowanych ponad 20 mld EUR w ramach </w:t>
      </w:r>
      <w:r w:rsidRPr="009756A2">
        <w:rPr>
          <w:szCs w:val="20"/>
        </w:rPr>
        <w:lastRenderedPageBreak/>
        <w:t>polityki spójności. Te środki unijne stanowią łącznie znaczne wsparcie dla inwestycji w zieloną</w:t>
      </w:r>
      <w:r w:rsidRPr="00475F18">
        <w:rPr>
          <w:szCs w:val="20"/>
        </w:rPr>
        <w:t xml:space="preserve"> transformację, w szczególności </w:t>
      </w:r>
      <w:r w:rsidR="00425A11" w:rsidRPr="00475F18">
        <w:rPr>
          <w:szCs w:val="20"/>
        </w:rPr>
        <w:t xml:space="preserve">w </w:t>
      </w:r>
      <w:r w:rsidRPr="00475F18">
        <w:rPr>
          <w:szCs w:val="20"/>
        </w:rPr>
        <w:t>sieci elektroenergetyczne, energię ze źródeł odnawialnych oraz zrównoważoną mobilność.</w:t>
      </w:r>
    </w:p>
    <w:p w14:paraId="0E9A76E8" w14:textId="6F5C46BD" w:rsidR="002F222F" w:rsidRPr="00475F18" w:rsidRDefault="00F85C37" w:rsidP="005C76F9">
      <w:r w:rsidRPr="00475F18">
        <w:t>Kierunki wydatkowania środków finansowych odpowiadają na zidentyfikowane wyzwania i priorytety UE określone w Rozporządzeniu Parlamentu i Rady (UE) w sprawie RRF i stanowią wkład do realizacji aktualnych strategicznych celów UE.</w:t>
      </w:r>
      <w:r w:rsidR="00E32334" w:rsidRPr="00475F18">
        <w:t xml:space="preserve"> Określone w KPO kamienie milowe odnoszą się do zaleceń krajowych skierowanych do Polski w ramach europejskiego semestru w latach 2022 i 2023. Ramy dla określenia kamieni milowych i wskaźników w KPO, co do zasady wyznaczały cele w dotychczasowych dokumentach strategicznych: Krajowym planie na rzecz energii i klimatu na lata 2021</w:t>
      </w:r>
      <w:r w:rsidR="002A2374">
        <w:t>–2</w:t>
      </w:r>
      <w:r w:rsidR="00E32334" w:rsidRPr="00475F18">
        <w:t>030 (KPEiK), jak i Polityce energetycznej Polski do 2040 r.</w:t>
      </w:r>
      <w:r w:rsidR="002F222F" w:rsidRPr="00475F18">
        <w:t xml:space="preserve"> </w:t>
      </w:r>
    </w:p>
    <w:p w14:paraId="75C84CB5" w14:textId="56D05562" w:rsidR="00E32334" w:rsidRPr="00546E40" w:rsidRDefault="002F222F" w:rsidP="005C76F9">
      <w:r w:rsidRPr="00546E40">
        <w:t xml:space="preserve">Celem zmaksymalizowania wpływu finansowania unijnego, w KPO uwzględniono reformy wspierające inwestycje, które mają pobudzić wzrost gospodarczy po pandemii Covid-19 oraz przyczynić się do poprawy bezpieczeństwa energetycznego. </w:t>
      </w:r>
    </w:p>
    <w:p w14:paraId="046ECBB5" w14:textId="535B9933" w:rsidR="00E32334" w:rsidRPr="00546E40" w:rsidRDefault="00E32334" w:rsidP="005C76F9">
      <w:r w:rsidRPr="00546E40">
        <w:t xml:space="preserve">Środki finansowe </w:t>
      </w:r>
      <w:r w:rsidR="006E6C22" w:rsidRPr="00546E40">
        <w:t>w</w:t>
      </w:r>
      <w:r w:rsidRPr="00546E40">
        <w:t xml:space="preserve"> ramach polityki spójności pomagają sprostać wyzwaniom związanym z</w:t>
      </w:r>
      <w:r w:rsidR="005C76F9">
        <w:t> </w:t>
      </w:r>
      <w:r w:rsidRPr="00546E40">
        <w:t>konkurencyjnością oraz zmniejszeniem różnic terytorialnych i nierówności społecznych w Polsce. W</w:t>
      </w:r>
      <w:r w:rsidR="005C76F9">
        <w:t> </w:t>
      </w:r>
      <w:r w:rsidRPr="00546E40">
        <w:t>obecnym okresie programowania, tj. w latach 2021–2027, wsparcie dla Polski ukierunkowano na przyspieszenie dekarbonizacji i poprawę polskiej gospodarki oraz zwiększenie spójności społecznej.</w:t>
      </w:r>
    </w:p>
    <w:p w14:paraId="2FBEFF27" w14:textId="410E3D00" w:rsidR="00FC69A0" w:rsidRPr="00546E40" w:rsidRDefault="00B56684" w:rsidP="005C76F9">
      <w:bookmarkStart w:id="15" w:name="_Hlk196723591"/>
      <w:r w:rsidRPr="00546E40">
        <w:t xml:space="preserve">Działania w </w:t>
      </w:r>
      <w:r w:rsidR="007F113E" w:rsidRPr="00546E40">
        <w:t xml:space="preserve">KPO </w:t>
      </w:r>
      <w:r w:rsidRPr="00546E40">
        <w:t>zostały określone w 2022 r.</w:t>
      </w:r>
      <w:r w:rsidR="002F222F" w:rsidRPr="00546E40">
        <w:t xml:space="preserve"> w związku z wyzwaniami gospodarczymi związanymi z</w:t>
      </w:r>
      <w:r w:rsidR="005C76F9">
        <w:t> </w:t>
      </w:r>
      <w:r w:rsidR="002F222F" w:rsidRPr="00546E40">
        <w:t>pandemią Covid</w:t>
      </w:r>
      <w:r w:rsidRPr="00546E40">
        <w:t>, a w następstwie wydarzeń związanych ze znacznym wzrostem cen i wojną w Ukrainie podlegały modyfikacjom</w:t>
      </w:r>
      <w:bookmarkEnd w:id="15"/>
      <w:r w:rsidRPr="00546E40">
        <w:t xml:space="preserve">. </w:t>
      </w:r>
      <w:r w:rsidR="008136B5" w:rsidRPr="00546E40">
        <w:t xml:space="preserve">Do KPO został dodany rozdział </w:t>
      </w:r>
      <w:proofErr w:type="spellStart"/>
      <w:r w:rsidR="008136B5" w:rsidRPr="00546E40">
        <w:t>REPowerEU</w:t>
      </w:r>
      <w:proofErr w:type="spellEnd"/>
      <w:r w:rsidR="008136B5" w:rsidRPr="00546E40">
        <w:t>, którego realizacja w najbliższych latach ma pozwolić Polsce stopniowo uniezależnić się od rosyjskich paliw kopalnych, zdywersyfikować dostawy energii i produkować więcej czystej energii. W ramach tego rozdziału ujęto m.in. reformy związane z usprawnieniem procesu wydawania pozwoleń dotyczących odnawialnych źródeł energii w celu umożliwienia szybszego zastosowania energii ze źródeł odnawialnych przez rozbudowywanie i</w:t>
      </w:r>
      <w:r w:rsidR="005C76F9">
        <w:t> </w:t>
      </w:r>
      <w:r w:rsidR="008136B5" w:rsidRPr="00546E40">
        <w:t xml:space="preserve">modernizowanie sieci w taki sposób, aby zapewnić możliwość obsługiwania przez nie nowo wybudowanej infrastruktury związanej z energią ze źródeł odnawialnych, </w:t>
      </w:r>
      <w:r w:rsidR="002F222F" w:rsidRPr="00546E40">
        <w:t>przy</w:t>
      </w:r>
      <w:r w:rsidR="008136B5" w:rsidRPr="00546E40">
        <w:t xml:space="preserve"> sprzyjani</w:t>
      </w:r>
      <w:r w:rsidR="002F222F" w:rsidRPr="00546E40">
        <w:t>u również</w:t>
      </w:r>
      <w:r w:rsidR="008136B5" w:rsidRPr="00546E40">
        <w:t xml:space="preserve"> tworzeniu obiektów magazynowania energii elektrycznej. </w:t>
      </w:r>
      <w:r w:rsidR="00FC69A0" w:rsidRPr="00546E40">
        <w:t>Główną przeszkodą w planach rozbudowy infrastruktury energii ze źródeł odnawialnych pozostaje sieć energetyczna. W zmniejszeniu przeciążenia sieci pomocne może być złagodzenie przepisów dotyczących tworzenia instalacji</w:t>
      </w:r>
      <w:r w:rsidR="006E6C22" w:rsidRPr="00546E40">
        <w:t>.</w:t>
      </w:r>
    </w:p>
    <w:p w14:paraId="6C0D0FE7" w14:textId="514DC658" w:rsidR="008136B5" w:rsidRPr="00546E40" w:rsidRDefault="008136B5" w:rsidP="008136B5">
      <w:pPr>
        <w:rPr>
          <w:szCs w:val="20"/>
        </w:rPr>
      </w:pPr>
      <w:r w:rsidRPr="00546E40">
        <w:rPr>
          <w:szCs w:val="20"/>
        </w:rPr>
        <w:t>Działania ułatwiają również eliminowanie barier dla rozwoju lokalnych społeczności energetycznych operujących w zakresie energii odnawialnej i sprzyjają tworzeniu takich społeczności.</w:t>
      </w:r>
    </w:p>
    <w:p w14:paraId="4FAB74E6" w14:textId="7028E604" w:rsidR="00A30E0F" w:rsidRPr="00546E40" w:rsidRDefault="00F85C37" w:rsidP="0054707A">
      <w:pPr>
        <w:rPr>
          <w:szCs w:val="20"/>
        </w:rPr>
      </w:pPr>
      <w:r w:rsidRPr="00546E40">
        <w:rPr>
          <w:szCs w:val="20"/>
        </w:rPr>
        <w:t xml:space="preserve">Obecnie KPO jest w </w:t>
      </w:r>
      <w:r w:rsidR="007F113E" w:rsidRPr="00546E40">
        <w:rPr>
          <w:szCs w:val="20"/>
        </w:rPr>
        <w:t>trakcie realizacji</w:t>
      </w:r>
      <w:r w:rsidR="00B56684" w:rsidRPr="00546E40">
        <w:rPr>
          <w:szCs w:val="20"/>
        </w:rPr>
        <w:t xml:space="preserve"> i co do zasady, działania w ramach tego </w:t>
      </w:r>
      <w:r w:rsidRPr="00546E40">
        <w:rPr>
          <w:szCs w:val="20"/>
        </w:rPr>
        <w:t>Instrumentu</w:t>
      </w:r>
      <w:r w:rsidR="00B56684" w:rsidRPr="00546E40">
        <w:rPr>
          <w:szCs w:val="20"/>
        </w:rPr>
        <w:t xml:space="preserve"> zostały przewidziane do połowy 2026 r.  </w:t>
      </w:r>
    </w:p>
    <w:p w14:paraId="730BA960" w14:textId="5D29B1B0" w:rsidR="00B56684" w:rsidRPr="00546E40" w:rsidRDefault="008136B5" w:rsidP="00280455">
      <w:pPr>
        <w:spacing w:before="360"/>
        <w:rPr>
          <w:b/>
          <w:bCs/>
          <w:szCs w:val="20"/>
        </w:rPr>
      </w:pPr>
      <w:r w:rsidRPr="00546E40">
        <w:rPr>
          <w:b/>
          <w:bCs/>
          <w:szCs w:val="20"/>
        </w:rPr>
        <w:t xml:space="preserve">Następujące główne działania ujęte w KPO </w:t>
      </w:r>
      <w:r w:rsidR="00491007" w:rsidRPr="00546E40">
        <w:rPr>
          <w:b/>
          <w:bCs/>
          <w:szCs w:val="20"/>
        </w:rPr>
        <w:t xml:space="preserve">oraz programach polityki spójności </w:t>
      </w:r>
      <w:r w:rsidR="00B16D42" w:rsidRPr="00546E40">
        <w:rPr>
          <w:b/>
          <w:bCs/>
          <w:szCs w:val="20"/>
        </w:rPr>
        <w:t>wspomagają realizację</w:t>
      </w:r>
      <w:r w:rsidRPr="00546E40">
        <w:rPr>
          <w:b/>
          <w:bCs/>
          <w:szCs w:val="20"/>
        </w:rPr>
        <w:t xml:space="preserve"> celów wskazanych w </w:t>
      </w:r>
      <w:r w:rsidR="00B16D42" w:rsidRPr="00546E40">
        <w:rPr>
          <w:b/>
          <w:bCs/>
          <w:szCs w:val="20"/>
        </w:rPr>
        <w:t>projekcie aKPEiK</w:t>
      </w:r>
      <w:r w:rsidR="00491007" w:rsidRPr="00546E40">
        <w:rPr>
          <w:b/>
          <w:bCs/>
          <w:szCs w:val="20"/>
        </w:rPr>
        <w:t>:</w:t>
      </w:r>
    </w:p>
    <w:p w14:paraId="7FB06AE6" w14:textId="77777777" w:rsidR="00A30E0F" w:rsidRPr="00546E40" w:rsidRDefault="00A30E0F" w:rsidP="00A30E0F">
      <w:pPr>
        <w:rPr>
          <w:rFonts w:eastAsia="Aptos" w:cs="Arial"/>
          <w:b/>
          <w:bCs/>
          <w:kern w:val="0"/>
          <w:szCs w:val="20"/>
          <w:u w:val="single"/>
        </w:rPr>
      </w:pPr>
      <w:r w:rsidRPr="00546E40">
        <w:rPr>
          <w:rFonts w:eastAsia="Aptos" w:cs="Arial"/>
          <w:b/>
          <w:bCs/>
          <w:kern w:val="0"/>
          <w:szCs w:val="20"/>
          <w:u w:val="single"/>
        </w:rPr>
        <w:t>Wymiar „Obniżenie emisyjności”</w:t>
      </w:r>
    </w:p>
    <w:p w14:paraId="045C2453" w14:textId="77777777" w:rsidR="00B16D42" w:rsidRPr="00546E40" w:rsidRDefault="00A30E0F" w:rsidP="00A30E0F">
      <w:pPr>
        <w:rPr>
          <w:szCs w:val="20"/>
        </w:rPr>
      </w:pPr>
      <w:r w:rsidRPr="00546E40">
        <w:rPr>
          <w:szCs w:val="20"/>
        </w:rPr>
        <w:t>Środki finansowe przewidziane w ramach KPO i polityki spójności wspierają różne technologie związane z odnawialnymi źródłami energii.</w:t>
      </w:r>
      <w:r w:rsidRPr="00546E40">
        <w:rPr>
          <w:b/>
          <w:bCs/>
          <w:szCs w:val="20"/>
        </w:rPr>
        <w:t xml:space="preserve"> </w:t>
      </w:r>
      <w:r w:rsidRPr="00546E40">
        <w:rPr>
          <w:szCs w:val="20"/>
        </w:rPr>
        <w:t xml:space="preserve">Do takich technologii należą m.in. lądowa i morska energia wiatrowa oraz </w:t>
      </w:r>
      <w:proofErr w:type="spellStart"/>
      <w:r w:rsidRPr="00546E40">
        <w:rPr>
          <w:szCs w:val="20"/>
        </w:rPr>
        <w:t>fotowoltaika</w:t>
      </w:r>
      <w:proofErr w:type="spellEnd"/>
      <w:r w:rsidRPr="00546E40">
        <w:rPr>
          <w:szCs w:val="20"/>
        </w:rPr>
        <w:t>. Łączna moc zainstalowana instalacji wiatrowych i fotowoltaicznych w Polsce osiągnęła już 18 GW</w:t>
      </w:r>
      <w:r w:rsidR="00B16D42" w:rsidRPr="00546E40">
        <w:rPr>
          <w:szCs w:val="20"/>
        </w:rPr>
        <w:t xml:space="preserve">. </w:t>
      </w:r>
    </w:p>
    <w:p w14:paraId="3629B02C" w14:textId="615914B7" w:rsidR="00A30E0F" w:rsidRPr="00546E40" w:rsidRDefault="00555A4B" w:rsidP="00A30E0F">
      <w:pPr>
        <w:rPr>
          <w:szCs w:val="20"/>
        </w:rPr>
      </w:pPr>
      <w:r w:rsidRPr="00546E40">
        <w:rPr>
          <w:szCs w:val="20"/>
        </w:rPr>
        <w:t>W ramach KPO przewidziano reformy mające na celu odblokowanie potencjału lądowej energ</w:t>
      </w:r>
      <w:r w:rsidR="00D36335">
        <w:rPr>
          <w:szCs w:val="20"/>
        </w:rPr>
        <w:t>etyki</w:t>
      </w:r>
      <w:r w:rsidRPr="00546E40">
        <w:rPr>
          <w:szCs w:val="20"/>
        </w:rPr>
        <w:t xml:space="preserve"> wiatrowej. </w:t>
      </w:r>
      <w:r w:rsidR="00B16D42" w:rsidRPr="00546E40">
        <w:rPr>
          <w:szCs w:val="20"/>
        </w:rPr>
        <w:t xml:space="preserve">Polska zwiększyła swoje ambicje w KPO, w ramach którego zostały dodane nowe działania w rozdziale </w:t>
      </w:r>
      <w:proofErr w:type="spellStart"/>
      <w:r w:rsidR="00B16D42" w:rsidRPr="00546E40">
        <w:rPr>
          <w:szCs w:val="20"/>
        </w:rPr>
        <w:t>REPowerEU</w:t>
      </w:r>
      <w:proofErr w:type="spellEnd"/>
      <w:r w:rsidR="00D36335">
        <w:rPr>
          <w:szCs w:val="20"/>
        </w:rPr>
        <w:t xml:space="preserve">, </w:t>
      </w:r>
      <w:r w:rsidR="00D36335" w:rsidRPr="00126654">
        <w:rPr>
          <w:szCs w:val="20"/>
        </w:rPr>
        <w:t>ukierunkowane na przyśpieszenie rozwoju energetyki fotowoltaicznej</w:t>
      </w:r>
      <w:r w:rsidR="00F42A27" w:rsidRPr="00126654">
        <w:rPr>
          <w:szCs w:val="20"/>
        </w:rPr>
        <w:t xml:space="preserve"> i wiatrowej</w:t>
      </w:r>
      <w:r w:rsidR="00D36335" w:rsidRPr="00126654">
        <w:rPr>
          <w:szCs w:val="20"/>
        </w:rPr>
        <w:t>.  Warto jednak podkreślić, że łączna moc zainstalowana tych dwóch technologii w Polsce już na koniec 2024 r. osiągnęła poziom blisko 32 GW, co oznacza, że cel 30 GW, zakładany w KPO do osiągnięcia dopiero w 2026, został zrealizowany z dużym wyprzedzeniem</w:t>
      </w:r>
      <w:r w:rsidR="00B16D42" w:rsidRPr="00546E40" w:rsidDel="00D36335">
        <w:rPr>
          <w:szCs w:val="20"/>
        </w:rPr>
        <w:t xml:space="preserve">. </w:t>
      </w:r>
    </w:p>
    <w:p w14:paraId="2C15386D" w14:textId="6DA51493" w:rsidR="00DA3C52" w:rsidRPr="00546192" w:rsidRDefault="002F222F" w:rsidP="003215B6">
      <w:pPr>
        <w:rPr>
          <w:szCs w:val="20"/>
        </w:rPr>
      </w:pPr>
      <w:r w:rsidRPr="00546E40">
        <w:rPr>
          <w:szCs w:val="20"/>
        </w:rPr>
        <w:lastRenderedPageBreak/>
        <w:t>Polityka spójności i KPO w Polsce umożliwiają koordynowanie działań, a ich efekty wzajemnie się uzupełniają i wzmacniają. Inwestycje w morską energię wiatrową są finansowe w ramach KPO. Z kolei, w</w:t>
      </w:r>
      <w:r w:rsidR="00280B43" w:rsidRPr="00546E40">
        <w:rPr>
          <w:szCs w:val="20"/>
        </w:rPr>
        <w:t xml:space="preserve"> ramach programów polityki spójności dokonywane </w:t>
      </w:r>
      <w:r w:rsidRPr="00546E40">
        <w:rPr>
          <w:szCs w:val="20"/>
        </w:rPr>
        <w:t>są</w:t>
      </w:r>
      <w:r w:rsidR="00280B43" w:rsidRPr="00546E40">
        <w:rPr>
          <w:szCs w:val="20"/>
        </w:rPr>
        <w:t xml:space="preserve"> inwestycje również w inne dziedziny związane z </w:t>
      </w:r>
      <w:r w:rsidRPr="00546E40">
        <w:rPr>
          <w:szCs w:val="20"/>
        </w:rPr>
        <w:t>rozwojem OZE, w ramach której wsparcie ukierunkowane jest przede wszystkim na działania związane z budową, przebudową, modernizacją i rozbudową odnawialnych źródeł energii w zakresie wytwarzania</w:t>
      </w:r>
      <w:r w:rsidR="00963E0C" w:rsidRPr="00546E40">
        <w:rPr>
          <w:szCs w:val="20"/>
        </w:rPr>
        <w:t xml:space="preserve"> biogazu</w:t>
      </w:r>
      <w:r w:rsidRPr="00546E40">
        <w:rPr>
          <w:szCs w:val="20"/>
        </w:rPr>
        <w:t xml:space="preserve"> </w:t>
      </w:r>
      <w:r w:rsidR="00963E0C" w:rsidRPr="00546E40">
        <w:rPr>
          <w:szCs w:val="20"/>
        </w:rPr>
        <w:t xml:space="preserve">/ </w:t>
      </w:r>
      <w:proofErr w:type="spellStart"/>
      <w:r w:rsidRPr="00546E40">
        <w:rPr>
          <w:szCs w:val="20"/>
        </w:rPr>
        <w:t>biometanu</w:t>
      </w:r>
      <w:proofErr w:type="spellEnd"/>
      <w:r w:rsidRPr="00546E40">
        <w:rPr>
          <w:szCs w:val="20"/>
        </w:rPr>
        <w:t xml:space="preserve"> wraz z przyłączeniem do sieci gazowej</w:t>
      </w:r>
      <w:r w:rsidR="003215B6" w:rsidRPr="00546E40">
        <w:rPr>
          <w:szCs w:val="20"/>
        </w:rPr>
        <w:t xml:space="preserve"> (w przypadku </w:t>
      </w:r>
      <w:proofErr w:type="spellStart"/>
      <w:r w:rsidR="003215B6" w:rsidRPr="00546E40">
        <w:rPr>
          <w:szCs w:val="20"/>
        </w:rPr>
        <w:t>FEnIKS</w:t>
      </w:r>
      <w:proofErr w:type="spellEnd"/>
      <w:r w:rsidR="003215B6" w:rsidRPr="00546E40">
        <w:rPr>
          <w:szCs w:val="20"/>
        </w:rPr>
        <w:t>)</w:t>
      </w:r>
      <w:r w:rsidRPr="00546E40">
        <w:rPr>
          <w:szCs w:val="20"/>
        </w:rPr>
        <w:t>.</w:t>
      </w:r>
      <w:r w:rsidR="003215B6" w:rsidRPr="00546E40">
        <w:rPr>
          <w:szCs w:val="20"/>
        </w:rPr>
        <w:t xml:space="preserve"> </w:t>
      </w:r>
    </w:p>
    <w:p w14:paraId="05E7C855" w14:textId="2126296E" w:rsidR="00DA3C52" w:rsidRPr="00546E40" w:rsidRDefault="00DA3C52" w:rsidP="00DA3C52">
      <w:pPr>
        <w:rPr>
          <w:szCs w:val="20"/>
        </w:rPr>
      </w:pPr>
      <w:r w:rsidRPr="00546E40">
        <w:rPr>
          <w:szCs w:val="20"/>
        </w:rPr>
        <w:t xml:space="preserve">Finansowanie zostało zapewnione również na ograniczenie konsumpcji energii końcowej oraz redukcji emisji gazów cieplarnianych poprzez zwiększanie efektywności energetycznej procesów przemysłowo-produkcyjnych przedsiębiorstw, obniżenie emisyjności przedsiębiorstw przemysłowych, w tym, przedsiębiorstw sektora energetycznego, wzrost udziału niskoemisyjnych źródeł wytwarzania energii w przedsiębiorstwach poprzez inwestycje w OZE oraz niskoemisyjne i wydajne wykorzystanie wytworzonej energii. </w:t>
      </w:r>
      <w:r w:rsidR="00963E0C" w:rsidRPr="00546E40">
        <w:rPr>
          <w:szCs w:val="20"/>
        </w:rPr>
        <w:t>W</w:t>
      </w:r>
      <w:r w:rsidRPr="00546E40">
        <w:rPr>
          <w:szCs w:val="20"/>
        </w:rPr>
        <w:t xml:space="preserve">sparcie dużych </w:t>
      </w:r>
      <w:r w:rsidR="00963E0C" w:rsidRPr="00546E40">
        <w:rPr>
          <w:szCs w:val="20"/>
        </w:rPr>
        <w:t xml:space="preserve">przedsiębiorstw w tym zakresie jest ujęte przede wszystkim ramach KPO, natomiast </w:t>
      </w:r>
      <w:r w:rsidR="00C10117" w:rsidRPr="00546E40">
        <w:rPr>
          <w:szCs w:val="20"/>
        </w:rPr>
        <w:t xml:space="preserve">dużych, </w:t>
      </w:r>
      <w:r w:rsidR="00963E0C" w:rsidRPr="00546E40">
        <w:rPr>
          <w:szCs w:val="20"/>
        </w:rPr>
        <w:t>średnich</w:t>
      </w:r>
      <w:r w:rsidR="00C10117" w:rsidRPr="00546E40">
        <w:rPr>
          <w:szCs w:val="20"/>
        </w:rPr>
        <w:t xml:space="preserve"> i małych również</w:t>
      </w:r>
      <w:r w:rsidR="00963E0C" w:rsidRPr="00546E40">
        <w:rPr>
          <w:szCs w:val="20"/>
        </w:rPr>
        <w:t xml:space="preserve"> w polityce spójności.</w:t>
      </w:r>
    </w:p>
    <w:p w14:paraId="617DC3FC" w14:textId="57AE481D" w:rsidR="00D170CA" w:rsidRPr="00546E40" w:rsidRDefault="00280B43" w:rsidP="00280B43">
      <w:pPr>
        <w:rPr>
          <w:szCs w:val="20"/>
        </w:rPr>
      </w:pPr>
      <w:r w:rsidRPr="00546E40">
        <w:rPr>
          <w:szCs w:val="20"/>
        </w:rPr>
        <w:t xml:space="preserve">Reformy ujęte w KPO mają na celu ograniczenie emisji gazów cieplarnianych i zanieczyszczeń powietrza z transportu oraz zwiększenie udziału paliw alternatywnych za pomocą szerokiego wachlarza środków regulacyjnych i nieregulacyjnych wdrożonych w ramach kompleksowej, długoterminowej strategii dekarbonizacji transportu. </w:t>
      </w:r>
      <w:r w:rsidR="00B023D0" w:rsidRPr="00546E40">
        <w:rPr>
          <w:szCs w:val="20"/>
        </w:rPr>
        <w:t>Jednym z elementów reformy będzie wprowadzenie opłaty rejestracyjnej i opłaty środowiskowej od pojazdów emisyjnych zgodnie z zasadą „zanieczyszczający płaci”. Wpływ tej reformy, w połączeniu z innymi działaniami, na upowszechnienie czystych ekologicznie pojazdów mierzy się w odniesieniu do konkretnej wartości docelowej dotyczącej zwiększenia udziału pojazdów elektrycznych.</w:t>
      </w:r>
      <w:r w:rsidR="00F92F15" w:rsidRPr="00546E40">
        <w:rPr>
          <w:szCs w:val="20"/>
        </w:rPr>
        <w:t xml:space="preserve"> W KPO określony kamień milowy na II kw. 2026 r. to zwiększenie udziału nowych pojazdów zeroemisyjnych na rynku (samochody/autobusy i pojazdy ciężkie) o co najmniej 100</w:t>
      </w:r>
      <w:r w:rsidR="00F84C85">
        <w:rPr>
          <w:szCs w:val="20"/>
        </w:rPr>
        <w:t>%</w:t>
      </w:r>
      <w:r w:rsidR="00F92F15" w:rsidRPr="00546E40">
        <w:rPr>
          <w:szCs w:val="20"/>
        </w:rPr>
        <w:t xml:space="preserve">. Na koniec 2020 r. liczba zarejestrowanych w Polsce pojazdów elektrycznych wynosiła 10 041. Przy powyższym założeniu liczba pojazdów elektrycznych na koniec II kw. 2026 r. powinna wynosić co najmniej 20 082. </w:t>
      </w:r>
    </w:p>
    <w:p w14:paraId="1A4F4FE0" w14:textId="30D48E8A" w:rsidR="00280B43" w:rsidRPr="00546E40" w:rsidRDefault="00B023D0" w:rsidP="00280B43">
      <w:pPr>
        <w:rPr>
          <w:szCs w:val="20"/>
        </w:rPr>
      </w:pPr>
      <w:r w:rsidRPr="00546E40">
        <w:rPr>
          <w:szCs w:val="20"/>
        </w:rPr>
        <w:t>Dodatkowo</w:t>
      </w:r>
      <w:r w:rsidR="00280B43" w:rsidRPr="00546E40">
        <w:rPr>
          <w:szCs w:val="20"/>
        </w:rPr>
        <w:t xml:space="preserve">, zaplanowano wprowadzenie obowiązku zakupu przez operatorów oraz organizatorów publicznego transportu zbiorowego tylko zeroemisyjnych autobusów w miastach powyżej 100 000 mieszkańców począwszy od 1 stycznia 2026 r. </w:t>
      </w:r>
    </w:p>
    <w:p w14:paraId="12F05F07" w14:textId="30A3B952" w:rsidR="00280B43" w:rsidRPr="00546E40" w:rsidRDefault="00280B43" w:rsidP="00A30E0F">
      <w:pPr>
        <w:rPr>
          <w:szCs w:val="20"/>
        </w:rPr>
      </w:pPr>
      <w:r w:rsidRPr="00546E40">
        <w:rPr>
          <w:szCs w:val="20"/>
        </w:rPr>
        <w:t xml:space="preserve">Reforma ujęta w KPO wspiera realizowane w ramach polityki spójności inicjatywy służące rozwojowi zrównoważonego transportu publicznego i promowaniu na miejskich obszarach funkcjonalnych aktywnych form mobilności, takich jak kolej podmiejska, publiczny transport miejski oraz ruch rowerowy i pieszy. </w:t>
      </w:r>
      <w:r w:rsidR="006C7662" w:rsidRPr="00546E40">
        <w:rPr>
          <w:szCs w:val="20"/>
        </w:rPr>
        <w:t>Polityka spójności umożliwia inwestycje w zrównoważony transport dzięki budowie 840 km linii kolejowych i dodatkowych 1 685 km ścieżek rowerowych.</w:t>
      </w:r>
    </w:p>
    <w:p w14:paraId="1EE561A2" w14:textId="70829B2F" w:rsidR="00A30E0F" w:rsidRPr="00546E40" w:rsidRDefault="00A30E0F" w:rsidP="00896790">
      <w:pPr>
        <w:spacing w:before="240"/>
        <w:rPr>
          <w:rFonts w:eastAsia="Aptos" w:cs="Arial"/>
          <w:b/>
          <w:bCs/>
          <w:kern w:val="0"/>
          <w:szCs w:val="20"/>
          <w:u w:val="single"/>
        </w:rPr>
      </w:pPr>
      <w:r w:rsidRPr="00546E40">
        <w:rPr>
          <w:rFonts w:eastAsia="Aptos" w:cs="Arial"/>
          <w:b/>
          <w:bCs/>
          <w:kern w:val="0"/>
          <w:szCs w:val="20"/>
          <w:u w:val="single"/>
        </w:rPr>
        <w:t>Wymiar „Efektywność energetyczna”</w:t>
      </w:r>
    </w:p>
    <w:p w14:paraId="7C196FF6" w14:textId="77777777" w:rsidR="00555A4B" w:rsidRPr="00546E40" w:rsidRDefault="00F85C37" w:rsidP="004F57F9">
      <w:pPr>
        <w:rPr>
          <w:szCs w:val="20"/>
        </w:rPr>
      </w:pPr>
      <w:r w:rsidRPr="00546E40">
        <w:rPr>
          <w:szCs w:val="20"/>
        </w:rPr>
        <w:t>Skoordynowane działania ze środków unijnych mają na celu poprawę jakości powietrza, redukcję emisji gazów cieplarnianych oraz bardziej racjonalne wykorzystanie energii dzięki poprawie efektywności energetycznej wybranych sektorów gospodarki i zastosowaniu niskoemisyjnych źródeł energii. Kluczową rolę odgrywają działania przyspieszające proces eliminacji głównych źródeł zanieczyszczeń powietrza przyczyniających się do występowania tzw. zjawiska niskiej emisji.</w:t>
      </w:r>
      <w:r w:rsidR="004F57F9" w:rsidRPr="00546E40">
        <w:rPr>
          <w:szCs w:val="20"/>
        </w:rPr>
        <w:t xml:space="preserve"> </w:t>
      </w:r>
    </w:p>
    <w:p w14:paraId="6E1C2998" w14:textId="5F989859" w:rsidR="004F57F9" w:rsidRPr="00546E40" w:rsidRDefault="007F113E" w:rsidP="004F57F9">
      <w:pPr>
        <w:rPr>
          <w:szCs w:val="20"/>
        </w:rPr>
      </w:pPr>
      <w:r w:rsidRPr="00546E40">
        <w:rPr>
          <w:szCs w:val="20"/>
        </w:rPr>
        <w:t>W ramach programu reform przewidzianych w KPO Polska przyjęła aktualizację Krajowego Planu Ochrony Powietrza.</w:t>
      </w:r>
      <w:r w:rsidRPr="00546E40">
        <w:rPr>
          <w:b/>
          <w:bCs/>
          <w:szCs w:val="20"/>
        </w:rPr>
        <w:t xml:space="preserve"> </w:t>
      </w:r>
      <w:r w:rsidRPr="00546E40">
        <w:rPr>
          <w:szCs w:val="20"/>
        </w:rPr>
        <w:t>Określono w niej kompleksowe i skoordynowane środki, jakie powinny wprowadzić organy publiczne na różnych szczeblach, aby poprawić jakość powietrza. W ramach tego programu nie będą już udzielane dotacje publiczne do węglowych źródeł ciepła.</w:t>
      </w:r>
      <w:r w:rsidR="004F57F9" w:rsidRPr="00546E40">
        <w:rPr>
          <w:szCs w:val="20"/>
        </w:rPr>
        <w:t xml:space="preserve"> </w:t>
      </w:r>
    </w:p>
    <w:p w14:paraId="7463E919" w14:textId="0913F19F" w:rsidR="0085259C" w:rsidRDefault="0085259C" w:rsidP="00555A4B">
      <w:pPr>
        <w:rPr>
          <w:szCs w:val="20"/>
        </w:rPr>
      </w:pPr>
    </w:p>
    <w:p w14:paraId="13475A57" w14:textId="09A004EE" w:rsidR="0085259C" w:rsidRDefault="0085259C" w:rsidP="0085259C">
      <w:pPr>
        <w:spacing w:after="0" w:line="240" w:lineRule="auto"/>
      </w:pPr>
      <w:r>
        <w:t xml:space="preserve">Jednym z elementów KPO było wydanie przez Ministra Przemysłu oraz Ministra Klimatu i Środowiska  rozporządzenia z dnia 4 listopada 2024 r. w sprawie wymagań </w:t>
      </w:r>
      <w:r w:rsidR="000656FA">
        <w:t>jakościowych</w:t>
      </w:r>
      <w:r>
        <w:t xml:space="preserve"> dla paliw stałych (Dz. U. z  2024 r. poz. 1618). Rozporządzeni</w:t>
      </w:r>
      <w:r w:rsidR="00A40BDC">
        <w:t>e</w:t>
      </w:r>
      <w:r>
        <w:t xml:space="preserve"> to stanowi wypełnienie kamienia milowego w ramach reformy B1.1. Czyste powietrze i efektywność energetyczna KPO.</w:t>
      </w:r>
    </w:p>
    <w:p w14:paraId="33616AE3" w14:textId="5AE9D1B6" w:rsidR="0085259C" w:rsidRDefault="0085259C" w:rsidP="0085259C">
      <w:pPr>
        <w:spacing w:after="0" w:line="240" w:lineRule="auto"/>
      </w:pPr>
      <w:r>
        <w:lastRenderedPageBreak/>
        <w:t>W ramach rozporządzenia wprowadzono zmianę:</w:t>
      </w:r>
    </w:p>
    <w:p w14:paraId="3B4E518B" w14:textId="5EA554A3" w:rsidR="0085259C" w:rsidRDefault="0085259C" w:rsidP="00C4562E">
      <w:pPr>
        <w:pStyle w:val="Akapitzlist"/>
        <w:numPr>
          <w:ilvl w:val="0"/>
          <w:numId w:val="8"/>
        </w:numPr>
        <w:spacing w:after="0" w:line="240" w:lineRule="auto"/>
      </w:pPr>
      <w:r>
        <w:t>nazewnictwa niektórych sortymentów paliw tak</w:t>
      </w:r>
      <w:r w:rsidR="009B0989">
        <w:t>,</w:t>
      </w:r>
      <w:r>
        <w:t xml:space="preserve"> aby nie wprowadzała w błąd</w:t>
      </w:r>
      <w:r w:rsidR="009B0989">
        <w:t>;</w:t>
      </w:r>
    </w:p>
    <w:p w14:paraId="469B1B7C" w14:textId="7DB86F52" w:rsidR="0085259C" w:rsidRDefault="0085259C" w:rsidP="00C4562E">
      <w:pPr>
        <w:pStyle w:val="Akapitzlist"/>
        <w:numPr>
          <w:ilvl w:val="0"/>
          <w:numId w:val="8"/>
        </w:numPr>
        <w:spacing w:after="0" w:line="240" w:lineRule="auto"/>
      </w:pPr>
      <w:r>
        <w:t>wartości parametrów jakościowych</w:t>
      </w:r>
      <w:r w:rsidR="00741152">
        <w:t xml:space="preserve"> dla</w:t>
      </w:r>
      <w:r>
        <w:t xml:space="preserve"> parametrów, które mają kluczowe znaczenie w ograniczeniu emisji zanieczyszczeń powietrza ze spalania paliw stałych do celów grzewczych w sektorze bytowo- komunalnym</w:t>
      </w:r>
      <w:r w:rsidR="00741152">
        <w:t xml:space="preserve"> (tj. zawartości siarki całkowitej, popiołu, wilgoci całkowitej oraz wartości opałowej);</w:t>
      </w:r>
    </w:p>
    <w:p w14:paraId="477A43A8" w14:textId="64ACF16F" w:rsidR="0085259C" w:rsidRDefault="0085259C" w:rsidP="00C4562E">
      <w:pPr>
        <w:pStyle w:val="Akapitzlist"/>
        <w:numPr>
          <w:ilvl w:val="0"/>
          <w:numId w:val="8"/>
        </w:numPr>
        <w:spacing w:after="0" w:line="240" w:lineRule="auto"/>
      </w:pPr>
      <w:r>
        <w:t>określono daty graniczne stosowania wymagań jakościowych dla poszczególnych sortymentów:</w:t>
      </w:r>
    </w:p>
    <w:p w14:paraId="3882552E" w14:textId="59B72B41" w:rsidR="0085259C" w:rsidRDefault="0085259C" w:rsidP="00741152">
      <w:pPr>
        <w:pStyle w:val="Akapitzlist"/>
        <w:numPr>
          <w:ilvl w:val="1"/>
          <w:numId w:val="9"/>
        </w:numPr>
        <w:spacing w:after="0" w:line="240" w:lineRule="auto"/>
      </w:pPr>
      <w:r>
        <w:t>do 30 czerwca 2027 r. dla paliw stałych otrzymywanych w procesie przeróbki termicznej węgla brunatnego,</w:t>
      </w:r>
    </w:p>
    <w:p w14:paraId="7B0A94AF" w14:textId="63034716" w:rsidR="0085259C" w:rsidRDefault="0085259C" w:rsidP="00741152">
      <w:pPr>
        <w:pStyle w:val="Akapitzlist"/>
        <w:numPr>
          <w:ilvl w:val="1"/>
          <w:numId w:val="9"/>
        </w:numPr>
        <w:spacing w:after="0" w:line="240" w:lineRule="auto"/>
      </w:pPr>
      <w:r>
        <w:t>do 30 czerwca 2029 r. dla sortymentu węgiel miał,</w:t>
      </w:r>
    </w:p>
    <w:p w14:paraId="7EEB97B9" w14:textId="0FCAF51B" w:rsidR="0085259C" w:rsidRDefault="0085259C" w:rsidP="00741152">
      <w:pPr>
        <w:pStyle w:val="Akapitzlist"/>
        <w:numPr>
          <w:ilvl w:val="1"/>
          <w:numId w:val="9"/>
        </w:numPr>
        <w:spacing w:after="0" w:line="240" w:lineRule="auto"/>
      </w:pPr>
      <w:r>
        <w:t>do 30 czerwca 2031 r. dla sortymentu węgiel kostka, węgiel orzech oraz węgiel groszek.</w:t>
      </w:r>
    </w:p>
    <w:p w14:paraId="691ED833" w14:textId="7829C5AD" w:rsidR="00555A4B" w:rsidRPr="00546E40" w:rsidRDefault="00555A4B" w:rsidP="00EC3492">
      <w:pPr>
        <w:spacing w:after="0" w:line="240" w:lineRule="auto"/>
        <w:rPr>
          <w:szCs w:val="20"/>
        </w:rPr>
      </w:pPr>
    </w:p>
    <w:p w14:paraId="1BC7A740" w14:textId="372CF0E8" w:rsidR="00A17031" w:rsidRDefault="00242732" w:rsidP="004462E6">
      <w:pPr>
        <w:rPr>
          <w:szCs w:val="20"/>
        </w:rPr>
      </w:pPr>
      <w:r>
        <w:rPr>
          <w:szCs w:val="20"/>
        </w:rPr>
        <w:t>.</w:t>
      </w:r>
      <w:r w:rsidR="00F50005">
        <w:rPr>
          <w:szCs w:val="20"/>
        </w:rPr>
        <w:t xml:space="preserve"> </w:t>
      </w:r>
      <w:r w:rsidR="00F50005" w:rsidRPr="00F50005">
        <w:rPr>
          <w:szCs w:val="20"/>
        </w:rPr>
        <w:t>Drugim elementem reformy B1.1. była realizacja kamienia milowego dot. wejścia w życie</w:t>
      </w:r>
      <w:r w:rsidR="004462E6">
        <w:rPr>
          <w:szCs w:val="20"/>
        </w:rPr>
        <w:t xml:space="preserve"> </w:t>
      </w:r>
      <w:r w:rsidR="00F50005" w:rsidRPr="00F50005">
        <w:rPr>
          <w:szCs w:val="20"/>
        </w:rPr>
        <w:t>rozporządzenia w sprawie norm jakości dla paliw stałych z biomasy. 24 maja 2025 r. weszło</w:t>
      </w:r>
      <w:r w:rsidR="00F50005">
        <w:rPr>
          <w:szCs w:val="20"/>
        </w:rPr>
        <w:t xml:space="preserve"> </w:t>
      </w:r>
      <w:r w:rsidR="00F50005" w:rsidRPr="00F50005">
        <w:rPr>
          <w:szCs w:val="20"/>
        </w:rPr>
        <w:t>w życie rozporządzanie Ministra Klimatu i Środowiska z dnia 8 maja 2025 r. w sprawie</w:t>
      </w:r>
      <w:r w:rsidR="00F50005">
        <w:rPr>
          <w:szCs w:val="20"/>
        </w:rPr>
        <w:t xml:space="preserve"> </w:t>
      </w:r>
      <w:r w:rsidR="00F50005" w:rsidRPr="00F50005">
        <w:rPr>
          <w:szCs w:val="20"/>
        </w:rPr>
        <w:t>wymagań jakościowych dla biomasy pozyskanej z drzew i krzewów wprowadzanej do obrotu</w:t>
      </w:r>
      <w:r w:rsidR="00F50005">
        <w:rPr>
          <w:szCs w:val="20"/>
        </w:rPr>
        <w:t xml:space="preserve"> </w:t>
      </w:r>
      <w:r w:rsidR="00F50005" w:rsidRPr="00F50005">
        <w:rPr>
          <w:szCs w:val="20"/>
        </w:rPr>
        <w:t>lub obejmowanej procedurą celną dopuszczenia do obrotu w postaci brykietu lub peletu (Dz.</w:t>
      </w:r>
      <w:r w:rsidR="00F50005">
        <w:rPr>
          <w:szCs w:val="20"/>
        </w:rPr>
        <w:t xml:space="preserve"> </w:t>
      </w:r>
      <w:r w:rsidR="00F50005" w:rsidRPr="00F50005">
        <w:rPr>
          <w:szCs w:val="20"/>
        </w:rPr>
        <w:t>U. z 2025 r. poz. 618).</w:t>
      </w:r>
      <w:r w:rsidR="004462E6">
        <w:rPr>
          <w:szCs w:val="20"/>
        </w:rPr>
        <w:t xml:space="preserve"> </w:t>
      </w:r>
      <w:r w:rsidR="004462E6" w:rsidRPr="004462E6">
        <w:rPr>
          <w:szCs w:val="20"/>
        </w:rPr>
        <w:t>Określono w nim wymagania jakościowe dla brykietu i peletu drzewnego wprowadzanego</w:t>
      </w:r>
      <w:r w:rsidR="004462E6">
        <w:rPr>
          <w:szCs w:val="20"/>
        </w:rPr>
        <w:t xml:space="preserve"> </w:t>
      </w:r>
      <w:r w:rsidR="004462E6" w:rsidRPr="004462E6">
        <w:rPr>
          <w:szCs w:val="20"/>
        </w:rPr>
        <w:t>na rynek z przeznaczeniem do użycia w sektorze bytowo-komunalnym.</w:t>
      </w:r>
    </w:p>
    <w:p w14:paraId="250C90FC" w14:textId="5AA8E0DF" w:rsidR="006C7662" w:rsidRPr="00546E40" w:rsidRDefault="006C7662" w:rsidP="006C7662">
      <w:pPr>
        <w:rPr>
          <w:szCs w:val="20"/>
        </w:rPr>
      </w:pPr>
      <w:r w:rsidRPr="00546E40">
        <w:rPr>
          <w:szCs w:val="20"/>
        </w:rPr>
        <w:t>Ujęte reformy obejmują również zmianę ustawy o wspieraniu termomodernizacji i remontów oraz o centralnej ewidencji emisyjności budynków; ustawy o finansowym wsparciu tworzenia lokali mieszkalnych na wynajem</w:t>
      </w:r>
      <w:r w:rsidR="00B023D0" w:rsidRPr="00546E40">
        <w:rPr>
          <w:szCs w:val="20"/>
        </w:rPr>
        <w:t xml:space="preserve"> oraz</w:t>
      </w:r>
      <w:r w:rsidRPr="00546E40">
        <w:rPr>
          <w:szCs w:val="20"/>
        </w:rPr>
        <w:t xml:space="preserve"> ustawy o niektórych formach popierania budownictwa mieszkaniowego. </w:t>
      </w:r>
    </w:p>
    <w:p w14:paraId="44896A9B" w14:textId="73015748" w:rsidR="00DA3C52" w:rsidRPr="00546E40" w:rsidRDefault="004F57F9" w:rsidP="00B023D0">
      <w:pPr>
        <w:rPr>
          <w:szCs w:val="20"/>
        </w:rPr>
      </w:pPr>
      <w:r w:rsidRPr="00546E40">
        <w:rPr>
          <w:szCs w:val="20"/>
        </w:rPr>
        <w:t xml:space="preserve">Głównym narzędziem działań na rzecz efektywności energetycznej budynków jest Program Priorytetowy „Czyste Powietrze”. W ramach reform w KPO, zostały usprawnione procedury składania wniosków, ujęto specjalne wsparcie ukierunkowane na gospodarstwa domowe o najniższych dochodach, niskich dochodach i gospodarstwa domowe o wyższych dochodach, w przypadku tego drugiego szczególnie z udziałem sektora bankowego udzielającego pożyczek połączonych z dotacjami. </w:t>
      </w:r>
      <w:r w:rsidR="00993E16" w:rsidRPr="00546E40">
        <w:rPr>
          <w:szCs w:val="20"/>
        </w:rPr>
        <w:t>W efekcie do połowy 2026</w:t>
      </w:r>
      <w:r w:rsidR="005D7930">
        <w:rPr>
          <w:szCs w:val="20"/>
        </w:rPr>
        <w:t> </w:t>
      </w:r>
      <w:r w:rsidR="00993E16" w:rsidRPr="00546E40">
        <w:rPr>
          <w:szCs w:val="20"/>
        </w:rPr>
        <w:t xml:space="preserve">r. z tego Instrumentu zostanie wsparta wymiana ponad 500 tys. źródeł ciepła w budynkach </w:t>
      </w:r>
      <w:r w:rsidR="00993E16" w:rsidRPr="00913893">
        <w:rPr>
          <w:color w:val="000000" w:themeColor="text1"/>
          <w:szCs w:val="20"/>
        </w:rPr>
        <w:t xml:space="preserve">jednorodzinnych, a niemal 380 tys. budynków jednorodzinnych zostanie poddanych termomodernizacji. </w:t>
      </w:r>
      <w:r w:rsidR="00993E16" w:rsidRPr="00546E40">
        <w:rPr>
          <w:szCs w:val="20"/>
        </w:rPr>
        <w:t xml:space="preserve">Uzupełniające finansowanie Programu „Czyste Powietrze” </w:t>
      </w:r>
      <w:r w:rsidR="00B30609">
        <w:rPr>
          <w:szCs w:val="20"/>
        </w:rPr>
        <w:t xml:space="preserve">pochodzi z </w:t>
      </w:r>
      <w:r w:rsidR="00993E16" w:rsidRPr="00546E40">
        <w:rPr>
          <w:szCs w:val="20"/>
        </w:rPr>
        <w:t>środk</w:t>
      </w:r>
      <w:r w:rsidR="00B30609">
        <w:rPr>
          <w:szCs w:val="20"/>
        </w:rPr>
        <w:t>ów</w:t>
      </w:r>
      <w:r w:rsidR="00993E16" w:rsidRPr="00546E40">
        <w:rPr>
          <w:szCs w:val="20"/>
        </w:rPr>
        <w:t xml:space="preserve"> </w:t>
      </w:r>
      <w:r w:rsidR="00B30609">
        <w:rPr>
          <w:szCs w:val="20"/>
        </w:rPr>
        <w:t xml:space="preserve">programu </w:t>
      </w:r>
      <w:proofErr w:type="spellStart"/>
      <w:r w:rsidR="00B30609">
        <w:rPr>
          <w:szCs w:val="20"/>
        </w:rPr>
        <w:t>FEnIKS</w:t>
      </w:r>
      <w:proofErr w:type="spellEnd"/>
      <w:r w:rsidR="00B30609">
        <w:rPr>
          <w:szCs w:val="20"/>
        </w:rPr>
        <w:t xml:space="preserve"> oraz Funduszu </w:t>
      </w:r>
      <w:proofErr w:type="spellStart"/>
      <w:r w:rsidR="00B30609">
        <w:rPr>
          <w:szCs w:val="20"/>
        </w:rPr>
        <w:t>Modernizacyjnego.</w:t>
      </w:r>
      <w:r w:rsidR="00555A4B" w:rsidRPr="00546E40">
        <w:rPr>
          <w:szCs w:val="20"/>
        </w:rPr>
        <w:t>Działania</w:t>
      </w:r>
      <w:proofErr w:type="spellEnd"/>
      <w:r w:rsidR="00555A4B" w:rsidRPr="00546E40">
        <w:rPr>
          <w:szCs w:val="20"/>
        </w:rPr>
        <w:t xml:space="preserve"> realizowane w ramach inwestycji doprowadzą średnio do co najmniej 30% oszczędności energii pierwotnej. </w:t>
      </w:r>
      <w:r w:rsidR="00B023D0" w:rsidRPr="00546E40">
        <w:rPr>
          <w:szCs w:val="20"/>
        </w:rPr>
        <w:t>Pomimo, że z</w:t>
      </w:r>
      <w:r w:rsidR="00F92F15" w:rsidRPr="00546E40">
        <w:rPr>
          <w:szCs w:val="20"/>
        </w:rPr>
        <w:t xml:space="preserve"> funduszy</w:t>
      </w:r>
      <w:r w:rsidR="00B023D0" w:rsidRPr="00546E40">
        <w:rPr>
          <w:szCs w:val="20"/>
        </w:rPr>
        <w:t xml:space="preserve"> RRF i polityki spójności zaplanowano na realizację Programu „Czyste Powietrze” ponad 5 mld euro, są one dalece niewystarczające w kontekście potrzeb sektora bytowo-komunalnego, w którym jako podstawowe paliwo wykorzystywane są paliwa stałe, a budynki mieszkalne wciąż w znacznym stopniu odznaczają się niską efektywnością energetyczną.</w:t>
      </w:r>
      <w:r w:rsidR="00114DA0">
        <w:rPr>
          <w:szCs w:val="20"/>
        </w:rPr>
        <w:t xml:space="preserve"> </w:t>
      </w:r>
      <w:r w:rsidR="0030753D" w:rsidRPr="00546E40">
        <w:rPr>
          <w:szCs w:val="20"/>
        </w:rPr>
        <w:t xml:space="preserve">W KPO zaplanowano również prawie 240 mln euro na poprawę efektywności energetycznej w budynkach mieszkalnych wielorodzinnych, co jest wdrażane poprzez </w:t>
      </w:r>
      <w:r w:rsidR="00F84C85">
        <w:rPr>
          <w:szCs w:val="20"/>
        </w:rPr>
        <w:t>Program TERMO,</w:t>
      </w:r>
      <w:r w:rsidR="0030753D" w:rsidRPr="00546E40">
        <w:rPr>
          <w:szCs w:val="20"/>
        </w:rPr>
        <w:t xml:space="preserve"> a także 582 mln euro na inwestycje w energooszczędne budownictwo mieszkaniowe dla gospodarstw domowych o niskich i średnich dochodach</w:t>
      </w:r>
      <w:r w:rsidR="00F84C85">
        <w:rPr>
          <w:szCs w:val="20"/>
        </w:rPr>
        <w:t xml:space="preserve"> </w:t>
      </w:r>
      <w:r w:rsidR="00F84C85" w:rsidRPr="00913893">
        <w:rPr>
          <w:color w:val="000000" w:themeColor="text1"/>
          <w:szCs w:val="20"/>
        </w:rPr>
        <w:t>finansowane ze środków KPO oraz Funduszu Dopłat</w:t>
      </w:r>
      <w:r w:rsidR="00DA3C52" w:rsidRPr="00913893">
        <w:rPr>
          <w:color w:val="000000" w:themeColor="text1"/>
          <w:szCs w:val="20"/>
        </w:rPr>
        <w:t xml:space="preserve">. </w:t>
      </w:r>
      <w:r w:rsidR="00DA3C52" w:rsidRPr="00546E40">
        <w:rPr>
          <w:szCs w:val="20"/>
        </w:rPr>
        <w:t xml:space="preserve">W efekcie tego drugiego działania do poł. 2026 r.  </w:t>
      </w:r>
      <w:r w:rsidR="00F84C85">
        <w:rPr>
          <w:szCs w:val="20"/>
        </w:rPr>
        <w:t>planowane jest oddanie</w:t>
      </w:r>
      <w:r w:rsidR="00DA3C52" w:rsidRPr="00546E40">
        <w:rPr>
          <w:szCs w:val="20"/>
        </w:rPr>
        <w:t xml:space="preserve"> 7 820 mieszkań. </w:t>
      </w:r>
    </w:p>
    <w:p w14:paraId="7256D546" w14:textId="77777777" w:rsidR="00A30E0F" w:rsidRPr="00546E40" w:rsidRDefault="00A30E0F" w:rsidP="00896790">
      <w:pPr>
        <w:spacing w:before="240"/>
        <w:rPr>
          <w:rFonts w:eastAsia="Aptos" w:cs="Arial"/>
          <w:b/>
          <w:bCs/>
          <w:kern w:val="0"/>
          <w:szCs w:val="20"/>
          <w:u w:val="single"/>
        </w:rPr>
      </w:pPr>
      <w:r w:rsidRPr="00546E40">
        <w:rPr>
          <w:rFonts w:eastAsia="Aptos" w:cs="Arial"/>
          <w:b/>
          <w:bCs/>
          <w:kern w:val="0"/>
          <w:szCs w:val="20"/>
          <w:u w:val="single"/>
        </w:rPr>
        <w:t>Wymiar „Bezpieczeństwo energetyczne”</w:t>
      </w:r>
    </w:p>
    <w:p w14:paraId="338702BD" w14:textId="3EC62E21" w:rsidR="00FC69A0" w:rsidRPr="00546E40" w:rsidRDefault="00FC69A0" w:rsidP="000C4B45">
      <w:pPr>
        <w:rPr>
          <w:szCs w:val="20"/>
        </w:rPr>
      </w:pPr>
      <w:r w:rsidRPr="00546E40">
        <w:rPr>
          <w:szCs w:val="20"/>
        </w:rPr>
        <w:t>Głównym celem dla Komponentu G. „</w:t>
      </w:r>
      <w:proofErr w:type="spellStart"/>
      <w:r w:rsidRPr="00546E40">
        <w:rPr>
          <w:szCs w:val="20"/>
        </w:rPr>
        <w:t>REPowerEU</w:t>
      </w:r>
      <w:proofErr w:type="spellEnd"/>
      <w:r w:rsidRPr="00546E40">
        <w:rPr>
          <w:szCs w:val="20"/>
        </w:rPr>
        <w:t>” jest przyczynienie się do zmniejszenia zależności od paliw kopalnych w Polsce i dalsze umożliwienie transformacji energetycznej poprzez wspieranie wdrażania odnawialnych źródeł energii i zwiększenie zdolności sieci elektroenergetycznych do integracji tych źródeł energii. Komponent ten ma również na celu poprawę bezpieczeństwa dostaw energii.</w:t>
      </w:r>
    </w:p>
    <w:p w14:paraId="1535A5FF" w14:textId="35E6B8C1" w:rsidR="000C4B45" w:rsidRPr="00546E40" w:rsidRDefault="00B023D0" w:rsidP="000C4B45">
      <w:pPr>
        <w:rPr>
          <w:szCs w:val="20"/>
        </w:rPr>
      </w:pPr>
      <w:r w:rsidRPr="00546E40">
        <w:rPr>
          <w:szCs w:val="20"/>
        </w:rPr>
        <w:t xml:space="preserve">Dla zwiększenia efektywności </w:t>
      </w:r>
      <w:proofErr w:type="spellStart"/>
      <w:r w:rsidRPr="00546E40">
        <w:rPr>
          <w:szCs w:val="20"/>
        </w:rPr>
        <w:t>przesyłu</w:t>
      </w:r>
      <w:proofErr w:type="spellEnd"/>
      <w:r w:rsidRPr="00546E40">
        <w:rPr>
          <w:szCs w:val="20"/>
        </w:rPr>
        <w:t xml:space="preserve"> energii oraz stabilności sieci elektroenergetycznej, związanej m.in. z przyłączaniem nowych mocy OZE, zarówno w ramach KPO, jak i polityce spójności zaplanowano ogromne środki na wsparcie infrastruktury</w:t>
      </w:r>
      <w:r w:rsidR="0049197C" w:rsidRPr="00546E40">
        <w:rPr>
          <w:szCs w:val="20"/>
        </w:rPr>
        <w:t xml:space="preserve"> </w:t>
      </w:r>
      <w:r w:rsidR="00F92F15" w:rsidRPr="00546E40">
        <w:rPr>
          <w:szCs w:val="20"/>
        </w:rPr>
        <w:t xml:space="preserve">do transportu </w:t>
      </w:r>
      <w:r w:rsidR="0049197C" w:rsidRPr="00546E40">
        <w:rPr>
          <w:szCs w:val="20"/>
        </w:rPr>
        <w:t xml:space="preserve">energii elektrycznej, w tym w zakresie </w:t>
      </w:r>
      <w:r w:rsidR="00A30E0F" w:rsidRPr="00546E40">
        <w:rPr>
          <w:szCs w:val="20"/>
        </w:rPr>
        <w:t>magazynowani</w:t>
      </w:r>
      <w:r w:rsidR="0049197C" w:rsidRPr="00546E40">
        <w:rPr>
          <w:szCs w:val="20"/>
        </w:rPr>
        <w:t>a</w:t>
      </w:r>
      <w:r w:rsidR="00A30E0F" w:rsidRPr="00546E40">
        <w:rPr>
          <w:szCs w:val="20"/>
        </w:rPr>
        <w:t xml:space="preserve"> energii. </w:t>
      </w:r>
      <w:r w:rsidR="00D170CA" w:rsidRPr="00546E40">
        <w:rPr>
          <w:szCs w:val="20"/>
        </w:rPr>
        <w:t xml:space="preserve">Z obydwóch źródeł na </w:t>
      </w:r>
      <w:r w:rsidR="000C4B45" w:rsidRPr="00546E40">
        <w:rPr>
          <w:szCs w:val="20"/>
        </w:rPr>
        <w:t xml:space="preserve">przesyłową infrastrukturę energii elektrycznej zaplanowano ponad 1 mld euro dotacji, a na dystrybucyjną infrastrukturę en. elektrycznej 1,8 mld euro również środków dotacyjnych. </w:t>
      </w:r>
    </w:p>
    <w:p w14:paraId="30F2C324" w14:textId="77777777" w:rsidR="000C4B45" w:rsidRPr="00546E40" w:rsidRDefault="000C4B45" w:rsidP="000C4B45">
      <w:pPr>
        <w:rPr>
          <w:szCs w:val="20"/>
        </w:rPr>
      </w:pPr>
      <w:r w:rsidRPr="00546E40">
        <w:rPr>
          <w:szCs w:val="20"/>
        </w:rPr>
        <w:lastRenderedPageBreak/>
        <w:t xml:space="preserve">Łącznie wsparcie to ma pomóc w rozbudowie i modernizacji krajowej sieci elektroenergetycznej, integracji odnawialnych źródeł energii i skutecznej dekarbonizacji dostaw energii elektrycznej. </w:t>
      </w:r>
    </w:p>
    <w:p w14:paraId="5C45F754" w14:textId="06952C8E" w:rsidR="000C4B45" w:rsidRPr="00546E40" w:rsidRDefault="000C4B45" w:rsidP="000C4B45">
      <w:pPr>
        <w:rPr>
          <w:szCs w:val="20"/>
        </w:rPr>
      </w:pPr>
      <w:r w:rsidRPr="00546E40">
        <w:rPr>
          <w:szCs w:val="20"/>
        </w:rPr>
        <w:t>Inwestycje służyć będą także cyfryzacji („</w:t>
      </w:r>
      <w:proofErr w:type="spellStart"/>
      <w:r w:rsidRPr="00546E40">
        <w:rPr>
          <w:szCs w:val="20"/>
        </w:rPr>
        <w:t>usmartowieniu</w:t>
      </w:r>
      <w:proofErr w:type="spellEnd"/>
      <w:r w:rsidRPr="00546E40">
        <w:rPr>
          <w:szCs w:val="20"/>
        </w:rPr>
        <w:t xml:space="preserve">”) infrastruktury elektroenergetycznej, co realizowane będzie przez rozbudowę systemu monitorowania jakości energii elektrycznej oraz wdrożenie </w:t>
      </w:r>
      <w:r w:rsidR="005A4CA8">
        <w:rPr>
          <w:szCs w:val="20"/>
        </w:rPr>
        <w:t>Centralnego Systemu Informacji Rynku Energii (CSIRE).</w:t>
      </w:r>
      <w:r w:rsidR="005A4CA8" w:rsidRPr="00546E40" w:rsidDel="005A4CA8">
        <w:rPr>
          <w:szCs w:val="20"/>
        </w:rPr>
        <w:t xml:space="preserve"> </w:t>
      </w:r>
    </w:p>
    <w:p w14:paraId="747E5A2E" w14:textId="21EBD67F" w:rsidR="000C4B45" w:rsidRPr="00546E40" w:rsidRDefault="000C4B45" w:rsidP="00D170CA">
      <w:pPr>
        <w:rPr>
          <w:szCs w:val="20"/>
        </w:rPr>
      </w:pPr>
      <w:r w:rsidRPr="00546E40">
        <w:rPr>
          <w:szCs w:val="20"/>
        </w:rPr>
        <w:t xml:space="preserve">W kontekście wzmacniania wymiaru bezpieczeństwa energetycznego, w ramach dodanego rozdziału </w:t>
      </w:r>
      <w:proofErr w:type="spellStart"/>
      <w:r w:rsidRPr="00546E40">
        <w:rPr>
          <w:szCs w:val="20"/>
        </w:rPr>
        <w:t>REPowerEU</w:t>
      </w:r>
      <w:proofErr w:type="spellEnd"/>
      <w:r w:rsidRPr="00546E40">
        <w:rPr>
          <w:szCs w:val="20"/>
        </w:rPr>
        <w:t xml:space="preserve"> ujęto nowy instrument finansowy pn. Wsparcie na rzecz krajowego systemu energetycznego (Fundusz Wsparcia Energetyki), z alokacją ponad 16 mld euro (cz. pożyczkowa KPO). Instrument </w:t>
      </w:r>
      <w:r w:rsidR="00061601">
        <w:rPr>
          <w:szCs w:val="20"/>
        </w:rPr>
        <w:t xml:space="preserve">jest </w:t>
      </w:r>
      <w:r w:rsidRPr="00546E40">
        <w:rPr>
          <w:szCs w:val="20"/>
        </w:rPr>
        <w:t xml:space="preserve">wdrażany </w:t>
      </w:r>
      <w:r w:rsidR="00883DBB">
        <w:rPr>
          <w:szCs w:val="20"/>
        </w:rPr>
        <w:t>przy</w:t>
      </w:r>
      <w:r w:rsidRPr="00546E40">
        <w:rPr>
          <w:szCs w:val="20"/>
        </w:rPr>
        <w:t xml:space="preserve"> współudziale Banku Gospodarstwa Krajowego. Celem jest zachęcenie do realizacji inwestycji prywatnych oraz poprawy dostępu do finansowania w tych sektorach polskiej gospodarki, które bezpośrednio ponoszą koszty transformacji energetycznej. Zakłada się, że znaczne środki w ramach tego instrumentu zostaną alokowane na rzecz inwestycji w infrastrukturę en. elektrycznej, budowy źródeł OZE oraz magazyny energii. </w:t>
      </w:r>
    </w:p>
    <w:p w14:paraId="3453023D" w14:textId="0CC6C55E" w:rsidR="00FC69A0" w:rsidRPr="00546E40" w:rsidRDefault="00FC69A0" w:rsidP="00A30E0F">
      <w:pPr>
        <w:rPr>
          <w:rFonts w:eastAsia="Aptos" w:cs="Arial"/>
          <w:kern w:val="0"/>
          <w:szCs w:val="20"/>
        </w:rPr>
      </w:pPr>
      <w:r w:rsidRPr="00546E40">
        <w:rPr>
          <w:szCs w:val="20"/>
        </w:rPr>
        <w:t>Kolejnym działaniem ujętym w ramach KPO jest „Budowa infrastruktury gazu ziemnego w celu zapewnienia bezpieczeństwa energetycznego”, która obejmuje poprawę infrastruktury energetycznej i obiektów w celu zaspokojenia natychmiastowego zapotrzebowania na bezpieczeństwo dostaw gazu, w tym skroplonego gazu ziemnego, w szczególności w celu umożliwienia dywersyfikacji dostaw w interesie Unii jako całości. Inwestycja polega na budowie sieci przesyłowej o długości 250 km między Gdańskiem a Gustorzynem. Po zakończeniu prac nowo wybudowana infrastruktura ma mieć zdolność przesyłową gazu wynoszącą 1 320 000 m3/h.</w:t>
      </w:r>
    </w:p>
    <w:p w14:paraId="3AD22839" w14:textId="77777777" w:rsidR="00A30E0F" w:rsidRPr="00546E40" w:rsidRDefault="00A30E0F" w:rsidP="00896790">
      <w:pPr>
        <w:spacing w:before="240"/>
        <w:rPr>
          <w:rFonts w:eastAsia="Aptos" w:cs="Arial"/>
          <w:b/>
          <w:bCs/>
          <w:kern w:val="0"/>
          <w:szCs w:val="20"/>
          <w:u w:val="single"/>
        </w:rPr>
      </w:pPr>
      <w:r w:rsidRPr="00546E40">
        <w:rPr>
          <w:rFonts w:eastAsia="Aptos" w:cs="Arial"/>
          <w:b/>
          <w:bCs/>
          <w:kern w:val="0"/>
          <w:szCs w:val="20"/>
          <w:u w:val="single"/>
        </w:rPr>
        <w:t>Wymiar „Wewnątrzunijny rynek energii i społeczny aspekt transformacji”</w:t>
      </w:r>
    </w:p>
    <w:p w14:paraId="6B4C58CF" w14:textId="506566E8" w:rsidR="00FA549A" w:rsidRPr="00546E40" w:rsidRDefault="00FA549A" w:rsidP="00FA549A">
      <w:pPr>
        <w:rPr>
          <w:szCs w:val="20"/>
        </w:rPr>
      </w:pPr>
      <w:r w:rsidRPr="00546E40">
        <w:rPr>
          <w:szCs w:val="20"/>
        </w:rPr>
        <w:t xml:space="preserve">W ramach planu odbudowy i zwiększania odporności (KPO) zasadnicze reformy i inwestycje na rzecz przedsiębiorstw w produkty, usługi i w kompetencje pracowników i personelu wspierają transformację ekologiczną, uzupełniając terytorialne plany sprawiedliwej transformacji oraz działania finansowane z Europejskiego Funduszu Społecznego Plus (EFS+). Dodatkowo, w rozdziale </w:t>
      </w:r>
      <w:proofErr w:type="spellStart"/>
      <w:r w:rsidRPr="00546E40">
        <w:rPr>
          <w:szCs w:val="20"/>
        </w:rPr>
        <w:t>REPowerEU</w:t>
      </w:r>
      <w:proofErr w:type="spellEnd"/>
      <w:r w:rsidRPr="00546E40">
        <w:rPr>
          <w:szCs w:val="20"/>
        </w:rPr>
        <w:t xml:space="preserve"> KPO ujęto przegląd sektorowych ram kwalifikacji, w wyniku którego poszerzony zostanie wykaz umiejętności ekologicznych w kluczowych sektorach, takich jak budownictwo, gospodarka wodna i gospodarowanie odpadami, a także odnawialne źródła energii.</w:t>
      </w:r>
    </w:p>
    <w:p w14:paraId="5EABCF71" w14:textId="5D29B6E9" w:rsidR="00280B43" w:rsidRPr="00546E40" w:rsidRDefault="00FA549A" w:rsidP="00A30E0F">
      <w:pPr>
        <w:rPr>
          <w:szCs w:val="20"/>
        </w:rPr>
      </w:pPr>
      <w:r w:rsidRPr="00546E40">
        <w:rPr>
          <w:szCs w:val="20"/>
        </w:rPr>
        <w:t>Polska jest również największym beneficjentem Funduszu na rzecz Sprawiedliwej Transformacji (FST), który wspiera transformację w pięciu regionach kraju (województwa dolnośląskie, łódzkie, małopolskie, śląskie, wielkopolskie). P</w:t>
      </w:r>
      <w:r w:rsidR="00280B43" w:rsidRPr="00546E40">
        <w:rPr>
          <w:szCs w:val="20"/>
        </w:rPr>
        <w:t xml:space="preserve">owstały </w:t>
      </w:r>
      <w:r w:rsidRPr="00546E40">
        <w:rPr>
          <w:szCs w:val="20"/>
        </w:rPr>
        <w:t>w wieloletnich ramach finansowych UE na lata 2021</w:t>
      </w:r>
      <w:r w:rsidR="002A2374">
        <w:rPr>
          <w:szCs w:val="20"/>
        </w:rPr>
        <w:t>–2</w:t>
      </w:r>
      <w:r w:rsidRPr="00546E40">
        <w:rPr>
          <w:szCs w:val="20"/>
        </w:rPr>
        <w:t xml:space="preserve">027 </w:t>
      </w:r>
      <w:r w:rsidR="00280B43" w:rsidRPr="00546E40">
        <w:rPr>
          <w:szCs w:val="20"/>
        </w:rPr>
        <w:t xml:space="preserve">Fundusz na rzecz Sprawiedliwej Transformacji (FST) </w:t>
      </w:r>
      <w:r w:rsidRPr="00546E40">
        <w:rPr>
          <w:szCs w:val="20"/>
        </w:rPr>
        <w:t>wpiera</w:t>
      </w:r>
      <w:r w:rsidR="00280B43" w:rsidRPr="00546E40">
        <w:rPr>
          <w:szCs w:val="20"/>
        </w:rPr>
        <w:t xml:space="preserve"> pracownik</w:t>
      </w:r>
      <w:r w:rsidRPr="00546E40">
        <w:rPr>
          <w:szCs w:val="20"/>
        </w:rPr>
        <w:t>ów</w:t>
      </w:r>
      <w:r w:rsidR="00280B43" w:rsidRPr="00546E40">
        <w:rPr>
          <w:szCs w:val="20"/>
        </w:rPr>
        <w:t xml:space="preserve"> i przedsiębiorstw</w:t>
      </w:r>
      <w:r w:rsidRPr="00546E40">
        <w:rPr>
          <w:szCs w:val="20"/>
        </w:rPr>
        <w:t>a</w:t>
      </w:r>
      <w:r w:rsidR="00BB3474">
        <w:rPr>
          <w:szCs w:val="20"/>
        </w:rPr>
        <w:t>,</w:t>
      </w:r>
      <w:r w:rsidR="00280B43" w:rsidRPr="00546E40">
        <w:rPr>
          <w:szCs w:val="20"/>
        </w:rPr>
        <w:t xml:space="preserve"> w pięciu (po)górniczych regionach</w:t>
      </w:r>
      <w:r w:rsidR="00BB3474">
        <w:rPr>
          <w:szCs w:val="20"/>
        </w:rPr>
        <w:t>,</w:t>
      </w:r>
      <w:r w:rsidR="00280B43" w:rsidRPr="00546E40">
        <w:rPr>
          <w:szCs w:val="20"/>
        </w:rPr>
        <w:t xml:space="preserve"> </w:t>
      </w:r>
      <w:r w:rsidR="00BB3474">
        <w:rPr>
          <w:szCs w:val="20"/>
        </w:rPr>
        <w:t xml:space="preserve">w </w:t>
      </w:r>
      <w:r w:rsidR="00280B43" w:rsidRPr="00546E40">
        <w:rPr>
          <w:szCs w:val="20"/>
        </w:rPr>
        <w:t>znale</w:t>
      </w:r>
      <w:r w:rsidR="00BB3474">
        <w:rPr>
          <w:szCs w:val="20"/>
        </w:rPr>
        <w:t>zieniu</w:t>
      </w:r>
      <w:r w:rsidR="00280B43" w:rsidRPr="00546E40">
        <w:rPr>
          <w:szCs w:val="20"/>
        </w:rPr>
        <w:t xml:space="preserve"> zatrudnieni</w:t>
      </w:r>
      <w:r w:rsidR="00BB3474">
        <w:rPr>
          <w:szCs w:val="20"/>
        </w:rPr>
        <w:t>a</w:t>
      </w:r>
      <w:r w:rsidR="00280B43" w:rsidRPr="00546E40">
        <w:rPr>
          <w:szCs w:val="20"/>
        </w:rPr>
        <w:t xml:space="preserve"> i </w:t>
      </w:r>
      <w:r w:rsidR="00BB3474">
        <w:rPr>
          <w:szCs w:val="20"/>
        </w:rPr>
        <w:t xml:space="preserve">prowadzeniu </w:t>
      </w:r>
      <w:r w:rsidR="00280B43" w:rsidRPr="00546E40">
        <w:rPr>
          <w:szCs w:val="20"/>
        </w:rPr>
        <w:t>działalnoś</w:t>
      </w:r>
      <w:r w:rsidR="00BB3474">
        <w:rPr>
          <w:szCs w:val="20"/>
        </w:rPr>
        <w:t>ci</w:t>
      </w:r>
      <w:r w:rsidR="00280B43" w:rsidRPr="00546E40">
        <w:rPr>
          <w:szCs w:val="20"/>
        </w:rPr>
        <w:t xml:space="preserve"> gospodarcz</w:t>
      </w:r>
      <w:r w:rsidR="00BB3474">
        <w:rPr>
          <w:szCs w:val="20"/>
        </w:rPr>
        <w:t>ej</w:t>
      </w:r>
      <w:r w:rsidR="00280B43" w:rsidRPr="00546E40">
        <w:rPr>
          <w:szCs w:val="20"/>
        </w:rPr>
        <w:t>.</w:t>
      </w:r>
      <w:r w:rsidRPr="00546E40">
        <w:rPr>
          <w:szCs w:val="20"/>
        </w:rPr>
        <w:t xml:space="preserve"> Przykładowo, n</w:t>
      </w:r>
      <w:r w:rsidR="00280B43" w:rsidRPr="00546E40">
        <w:rPr>
          <w:szCs w:val="20"/>
        </w:rPr>
        <w:t xml:space="preserve">a Śląsku, który jest największym regionem górniczym w UE, FST </w:t>
      </w:r>
      <w:r w:rsidRPr="00546E40">
        <w:rPr>
          <w:szCs w:val="20"/>
        </w:rPr>
        <w:t>ma wesprzeć</w:t>
      </w:r>
      <w:r w:rsidR="00280B43" w:rsidRPr="00546E40">
        <w:rPr>
          <w:szCs w:val="20"/>
        </w:rPr>
        <w:t xml:space="preserve"> 1 940 przedsiębiorstw i przyczyni</w:t>
      </w:r>
      <w:r w:rsidRPr="00546E40">
        <w:rPr>
          <w:szCs w:val="20"/>
        </w:rPr>
        <w:t>ć</w:t>
      </w:r>
      <w:r w:rsidR="00280B43" w:rsidRPr="00546E40">
        <w:rPr>
          <w:szCs w:val="20"/>
        </w:rPr>
        <w:t xml:space="preserve"> się do powstania 27 </w:t>
      </w:r>
      <w:r w:rsidR="00280455">
        <w:rPr>
          <w:szCs w:val="20"/>
        </w:rPr>
        <w:t>tys.</w:t>
      </w:r>
      <w:r w:rsidR="00280455" w:rsidRPr="00546E40">
        <w:rPr>
          <w:szCs w:val="20"/>
        </w:rPr>
        <w:t xml:space="preserve"> </w:t>
      </w:r>
      <w:r w:rsidR="00280B43" w:rsidRPr="00546E40">
        <w:rPr>
          <w:szCs w:val="20"/>
        </w:rPr>
        <w:t>nowych miejsc pracy. Pomoże też poprawić charakterystykę energetyczną 21</w:t>
      </w:r>
      <w:r w:rsidR="00280455">
        <w:rPr>
          <w:szCs w:val="20"/>
        </w:rPr>
        <w:t>,4 tys.</w:t>
      </w:r>
      <w:r w:rsidR="00280B43" w:rsidRPr="00546E40">
        <w:rPr>
          <w:szCs w:val="20"/>
        </w:rPr>
        <w:t xml:space="preserve"> budynków mieszkalnych na Dolnym Śląsku.</w:t>
      </w:r>
    </w:p>
    <w:p w14:paraId="4D8AA58E" w14:textId="77777777" w:rsidR="00A30E0F" w:rsidRPr="00546E40" w:rsidRDefault="00A30E0F" w:rsidP="00896790">
      <w:pPr>
        <w:spacing w:before="240"/>
        <w:rPr>
          <w:rFonts w:eastAsia="Aptos" w:cs="Arial"/>
          <w:b/>
          <w:bCs/>
          <w:kern w:val="0"/>
          <w:szCs w:val="20"/>
          <w:u w:val="single"/>
        </w:rPr>
      </w:pPr>
      <w:r w:rsidRPr="00546E40">
        <w:rPr>
          <w:rFonts w:eastAsia="Aptos" w:cs="Arial"/>
          <w:b/>
          <w:bCs/>
          <w:kern w:val="0"/>
          <w:szCs w:val="20"/>
          <w:u w:val="single"/>
        </w:rPr>
        <w:t>Wymiar „Badania naukowe, innowacje i konkurencyjność”</w:t>
      </w:r>
    </w:p>
    <w:p w14:paraId="42E6318E" w14:textId="03795948" w:rsidR="007F113E" w:rsidRPr="00546E40" w:rsidRDefault="006B6C56" w:rsidP="006B6C56">
      <w:pPr>
        <w:rPr>
          <w:szCs w:val="20"/>
        </w:rPr>
      </w:pPr>
      <w:r w:rsidRPr="00546E40">
        <w:rPr>
          <w:szCs w:val="20"/>
        </w:rPr>
        <w:t>Istotne znaczenie dla stymulowania konkurencyjności Polski ma zielona transformacja przemysłu i środowiska</w:t>
      </w:r>
      <w:r w:rsidR="00A02137" w:rsidRPr="00546E40">
        <w:rPr>
          <w:szCs w:val="20"/>
        </w:rPr>
        <w:t>,</w:t>
      </w:r>
      <w:r w:rsidRPr="00546E40">
        <w:rPr>
          <w:szCs w:val="20"/>
        </w:rPr>
        <w:t xml:space="preserve"> efektywne gospodarowanie zasobami i obieg zamknięty. </w:t>
      </w:r>
      <w:r w:rsidR="007F113E" w:rsidRPr="00546E40">
        <w:rPr>
          <w:szCs w:val="20"/>
        </w:rPr>
        <w:t xml:space="preserve">W ramach KPO Polska wprowadziła ważne środki z zakresu polityki, które mają poprawić jej konkurencyjność. </w:t>
      </w:r>
    </w:p>
    <w:p w14:paraId="0D7572BE" w14:textId="77777777" w:rsidR="007F113E" w:rsidRPr="00546E40" w:rsidRDefault="007F113E" w:rsidP="007F113E">
      <w:pPr>
        <w:rPr>
          <w:szCs w:val="20"/>
        </w:rPr>
      </w:pPr>
      <w:r w:rsidRPr="00546E40">
        <w:rPr>
          <w:szCs w:val="20"/>
        </w:rPr>
        <w:t>Za pomocą funduszy spójności Polska będzie również wspierać rozwój i stosowanie innowacji w dziedzinie technologii środowiskowych i gospodarki o obiegu zamkniętym. Jest to zgodne z krajowymi i regionalnymi strategiami inteligentnej specjalizacji. W KPO położono natomiast nacisk na wdrażanie technologii wspierających transformację środowiskową gospodarkę o obiegu zamkniętym w odniesieniu do małych i średnich przedsiębiorstw (MŚP).</w:t>
      </w:r>
    </w:p>
    <w:bookmarkEnd w:id="14"/>
    <w:p w14:paraId="2BF0085D" w14:textId="73432065" w:rsidR="00A30E0F" w:rsidRDefault="00A30E0F" w:rsidP="0054707A">
      <w:pPr>
        <w:sectPr w:rsidR="00A30E0F" w:rsidSect="00E01666">
          <w:pgSz w:w="11906" w:h="16838"/>
          <w:pgMar w:top="1417" w:right="1417" w:bottom="1417" w:left="1417" w:header="708" w:footer="708" w:gutter="0"/>
          <w:cols w:space="708"/>
          <w:docGrid w:linePitch="360"/>
        </w:sectPr>
      </w:pPr>
    </w:p>
    <w:p w14:paraId="45B024C9" w14:textId="7DDF40FF" w:rsidR="003B55AA" w:rsidRDefault="00A761A4" w:rsidP="003B55AA">
      <w:pPr>
        <w:pStyle w:val="Nagwek1"/>
      </w:pPr>
      <w:bookmarkStart w:id="16" w:name="_Toc195860634"/>
      <w:bookmarkStart w:id="17" w:name="_Toc202967957"/>
      <w:r>
        <w:lastRenderedPageBreak/>
        <w:t>Możliwe do wykorzystania ź</w:t>
      </w:r>
      <w:r w:rsidR="003B55AA">
        <w:t>ródła finansowania</w:t>
      </w:r>
      <w:bookmarkEnd w:id="16"/>
      <w:bookmarkEnd w:id="17"/>
      <w:r w:rsidR="003B55AA">
        <w:t xml:space="preserve"> </w:t>
      </w:r>
    </w:p>
    <w:p w14:paraId="0E2EF5F0" w14:textId="25E41AAF" w:rsidR="00C63F8B" w:rsidRPr="001B1DBE" w:rsidRDefault="00081E72" w:rsidP="00FB763A">
      <w:pPr>
        <w:rPr>
          <w:i/>
          <w:iCs/>
          <w:sz w:val="16"/>
          <w:szCs w:val="18"/>
        </w:rPr>
      </w:pPr>
      <w:r w:rsidRPr="001B1DBE">
        <w:rPr>
          <w:i/>
          <w:iCs/>
          <w:sz w:val="16"/>
          <w:szCs w:val="18"/>
        </w:rPr>
        <w:t>Poniżej zaprezentowano ramowe zestawienie możliwych źródeł finansowania transformacji klimatyczno-energetycznej na najbliższą dekadę. W przypadku funduszy europejskich, przedstawiono zarówno informacje</w:t>
      </w:r>
      <w:r w:rsidR="0046477E" w:rsidRPr="001B1DBE">
        <w:rPr>
          <w:i/>
          <w:iCs/>
          <w:sz w:val="16"/>
          <w:szCs w:val="18"/>
        </w:rPr>
        <w:t xml:space="preserve"> o </w:t>
      </w:r>
      <w:r w:rsidR="008E73C7" w:rsidRPr="001B1DBE">
        <w:rPr>
          <w:i/>
          <w:iCs/>
          <w:sz w:val="16"/>
          <w:szCs w:val="18"/>
        </w:rPr>
        <w:t>programach</w:t>
      </w:r>
      <w:r w:rsidR="00452733" w:rsidRPr="001B1DBE">
        <w:rPr>
          <w:i/>
          <w:iCs/>
          <w:sz w:val="16"/>
          <w:szCs w:val="18"/>
        </w:rPr>
        <w:t xml:space="preserve"> </w:t>
      </w:r>
      <w:r w:rsidR="00BB602A" w:rsidRPr="001B1DBE">
        <w:rPr>
          <w:i/>
          <w:iCs/>
          <w:sz w:val="16"/>
          <w:szCs w:val="18"/>
        </w:rPr>
        <w:t>polityk</w:t>
      </w:r>
      <w:r w:rsidR="00CF4193" w:rsidRPr="001B1DBE">
        <w:rPr>
          <w:i/>
          <w:iCs/>
          <w:sz w:val="16"/>
          <w:szCs w:val="18"/>
        </w:rPr>
        <w:t>i</w:t>
      </w:r>
      <w:r w:rsidR="00BB602A" w:rsidRPr="001B1DBE">
        <w:rPr>
          <w:i/>
          <w:iCs/>
          <w:sz w:val="16"/>
          <w:szCs w:val="18"/>
        </w:rPr>
        <w:t xml:space="preserve"> spójności, jak również o </w:t>
      </w:r>
      <w:r w:rsidR="00AB5BC7" w:rsidRPr="001B1DBE">
        <w:rPr>
          <w:i/>
          <w:iCs/>
          <w:sz w:val="16"/>
          <w:szCs w:val="18"/>
        </w:rPr>
        <w:t>szczególnie istotnych</w:t>
      </w:r>
      <w:r w:rsidR="00135B00" w:rsidRPr="001B1DBE">
        <w:rPr>
          <w:i/>
          <w:iCs/>
          <w:sz w:val="16"/>
          <w:szCs w:val="18"/>
        </w:rPr>
        <w:t>,</w:t>
      </w:r>
      <w:r w:rsidR="00AB5BC7" w:rsidRPr="001B1DBE">
        <w:rPr>
          <w:i/>
          <w:iCs/>
          <w:sz w:val="16"/>
          <w:szCs w:val="18"/>
        </w:rPr>
        <w:t xml:space="preserve"> </w:t>
      </w:r>
      <w:r w:rsidR="00BB602A" w:rsidRPr="001B1DBE">
        <w:rPr>
          <w:i/>
          <w:iCs/>
          <w:sz w:val="16"/>
          <w:szCs w:val="18"/>
        </w:rPr>
        <w:t>flagowych programach</w:t>
      </w:r>
      <w:r w:rsidR="001B1DBE" w:rsidRPr="001B1DBE">
        <w:rPr>
          <w:i/>
          <w:iCs/>
          <w:sz w:val="16"/>
          <w:szCs w:val="18"/>
        </w:rPr>
        <w:t xml:space="preserve"> krajowych</w:t>
      </w:r>
      <w:r w:rsidR="00BB602A" w:rsidRPr="001B1DBE">
        <w:rPr>
          <w:i/>
          <w:iCs/>
          <w:sz w:val="16"/>
          <w:szCs w:val="18"/>
        </w:rPr>
        <w:t xml:space="preserve"> </w:t>
      </w:r>
      <w:r w:rsidR="00CF4193" w:rsidRPr="001B1DBE">
        <w:rPr>
          <w:i/>
          <w:iCs/>
          <w:sz w:val="16"/>
          <w:szCs w:val="18"/>
        </w:rPr>
        <w:t xml:space="preserve">współfinansowanych z wielu </w:t>
      </w:r>
      <w:r w:rsidR="001B1DBE" w:rsidRPr="001B1DBE">
        <w:rPr>
          <w:i/>
          <w:iCs/>
          <w:sz w:val="16"/>
          <w:szCs w:val="18"/>
        </w:rPr>
        <w:t xml:space="preserve">różnych </w:t>
      </w:r>
      <w:r w:rsidR="00135B00" w:rsidRPr="001B1DBE">
        <w:rPr>
          <w:i/>
          <w:iCs/>
          <w:sz w:val="16"/>
          <w:szCs w:val="18"/>
        </w:rPr>
        <w:t>źródeł</w:t>
      </w:r>
      <w:r w:rsidR="00AB5BC7" w:rsidRPr="001B1DBE">
        <w:rPr>
          <w:i/>
          <w:iCs/>
          <w:sz w:val="16"/>
          <w:szCs w:val="18"/>
        </w:rPr>
        <w:t xml:space="preserve"> (jak np. Program Czyste Powietrze finansowany z KPO, </w:t>
      </w:r>
      <w:proofErr w:type="spellStart"/>
      <w:r w:rsidR="00AB5BC7" w:rsidRPr="001B1DBE">
        <w:rPr>
          <w:i/>
          <w:iCs/>
          <w:sz w:val="16"/>
          <w:szCs w:val="18"/>
        </w:rPr>
        <w:t>FE</w:t>
      </w:r>
      <w:r w:rsidR="000F764D" w:rsidRPr="001B1DBE">
        <w:rPr>
          <w:i/>
          <w:iCs/>
          <w:sz w:val="16"/>
          <w:szCs w:val="18"/>
        </w:rPr>
        <w:t>nIKS</w:t>
      </w:r>
      <w:proofErr w:type="spellEnd"/>
      <w:r w:rsidR="000F764D" w:rsidRPr="001B1DBE">
        <w:rPr>
          <w:i/>
          <w:iCs/>
          <w:sz w:val="16"/>
          <w:szCs w:val="18"/>
        </w:rPr>
        <w:t>, FM</w:t>
      </w:r>
      <w:r w:rsidR="007D2C5A" w:rsidRPr="001B1DBE">
        <w:rPr>
          <w:i/>
          <w:iCs/>
          <w:sz w:val="16"/>
          <w:szCs w:val="18"/>
        </w:rPr>
        <w:t xml:space="preserve">). </w:t>
      </w:r>
      <w:r w:rsidR="00302854" w:rsidRPr="001B1DBE">
        <w:rPr>
          <w:i/>
          <w:iCs/>
          <w:sz w:val="16"/>
          <w:szCs w:val="18"/>
        </w:rPr>
        <w:t>Z powyższego względu</w:t>
      </w:r>
      <w:r w:rsidR="00FB763A" w:rsidRPr="001B1DBE">
        <w:rPr>
          <w:i/>
          <w:iCs/>
          <w:sz w:val="16"/>
          <w:szCs w:val="18"/>
        </w:rPr>
        <w:t xml:space="preserve">, w celu właściwego rozumienia </w:t>
      </w:r>
      <w:r w:rsidR="00D602BD" w:rsidRPr="001B1DBE">
        <w:rPr>
          <w:i/>
          <w:iCs/>
          <w:sz w:val="16"/>
          <w:szCs w:val="18"/>
        </w:rPr>
        <w:t xml:space="preserve">informacji zawartych w </w:t>
      </w:r>
      <w:r w:rsidR="00636077" w:rsidRPr="001B1DBE">
        <w:rPr>
          <w:i/>
          <w:iCs/>
          <w:sz w:val="16"/>
          <w:szCs w:val="18"/>
        </w:rPr>
        <w:t>tabeli,</w:t>
      </w:r>
      <w:r w:rsidR="00302854" w:rsidRPr="001B1DBE">
        <w:rPr>
          <w:i/>
          <w:iCs/>
          <w:sz w:val="16"/>
          <w:szCs w:val="18"/>
        </w:rPr>
        <w:t xml:space="preserve"> </w:t>
      </w:r>
      <w:r w:rsidR="00475EE3" w:rsidRPr="001B1DBE">
        <w:rPr>
          <w:i/>
          <w:iCs/>
          <w:sz w:val="16"/>
          <w:szCs w:val="18"/>
          <w:u w:val="single"/>
        </w:rPr>
        <w:t>nie</w:t>
      </w:r>
      <w:r w:rsidR="00636077" w:rsidRPr="001B1DBE">
        <w:rPr>
          <w:i/>
          <w:iCs/>
          <w:sz w:val="16"/>
          <w:szCs w:val="18"/>
          <w:u w:val="single"/>
        </w:rPr>
        <w:t> </w:t>
      </w:r>
      <w:r w:rsidR="00475EE3" w:rsidRPr="001B1DBE">
        <w:rPr>
          <w:i/>
          <w:iCs/>
          <w:sz w:val="16"/>
          <w:szCs w:val="18"/>
          <w:u w:val="single"/>
        </w:rPr>
        <w:t>należy</w:t>
      </w:r>
      <w:r w:rsidR="006F023D" w:rsidRPr="001B1DBE">
        <w:rPr>
          <w:i/>
          <w:iCs/>
          <w:sz w:val="16"/>
          <w:szCs w:val="18"/>
          <w:u w:val="single"/>
        </w:rPr>
        <w:t xml:space="preserve"> </w:t>
      </w:r>
      <w:r w:rsidR="00C93E9A" w:rsidRPr="001B1DBE">
        <w:rPr>
          <w:i/>
          <w:iCs/>
          <w:sz w:val="16"/>
          <w:szCs w:val="18"/>
          <w:u w:val="single"/>
        </w:rPr>
        <w:t>sumować</w:t>
      </w:r>
      <w:r w:rsidR="00C93E9A" w:rsidRPr="001B1DBE">
        <w:rPr>
          <w:i/>
          <w:iCs/>
          <w:sz w:val="16"/>
          <w:szCs w:val="18"/>
        </w:rPr>
        <w:t xml:space="preserve"> wielkości </w:t>
      </w:r>
      <w:r w:rsidR="00FB763A" w:rsidRPr="001B1DBE">
        <w:rPr>
          <w:i/>
          <w:iCs/>
          <w:sz w:val="16"/>
          <w:szCs w:val="18"/>
        </w:rPr>
        <w:t>alokacji finansowej.</w:t>
      </w:r>
    </w:p>
    <w:p w14:paraId="690E052F" w14:textId="77777777" w:rsidR="003B55AA" w:rsidRPr="003B55AA" w:rsidRDefault="003B55AA" w:rsidP="003B55AA"/>
    <w:tbl>
      <w:tblPr>
        <w:tblStyle w:val="Tabelalisty7kolorowaakcent6"/>
        <w:tblW w:w="14175" w:type="dxa"/>
        <w:tblLayout w:type="fixed"/>
        <w:tblLook w:val="04A0" w:firstRow="1" w:lastRow="0" w:firstColumn="1" w:lastColumn="0" w:noHBand="0" w:noVBand="1"/>
      </w:tblPr>
      <w:tblGrid>
        <w:gridCol w:w="454"/>
        <w:gridCol w:w="1474"/>
        <w:gridCol w:w="1559"/>
        <w:gridCol w:w="1701"/>
        <w:gridCol w:w="1559"/>
        <w:gridCol w:w="1281"/>
        <w:gridCol w:w="1186"/>
        <w:gridCol w:w="1413"/>
        <w:gridCol w:w="3548"/>
      </w:tblGrid>
      <w:tr w:rsidR="00801275" w:rsidRPr="00ED52BB" w14:paraId="7207E7FC" w14:textId="77777777" w:rsidTr="00300186">
        <w:trPr>
          <w:cnfStyle w:val="100000000000" w:firstRow="1" w:lastRow="0" w:firstColumn="0" w:lastColumn="0" w:oddVBand="0" w:evenVBand="0" w:oddHBand="0" w:evenHBand="0" w:firstRowFirstColumn="0" w:firstRowLastColumn="0" w:lastRowFirstColumn="0" w:lastRowLastColumn="0"/>
          <w:trHeight w:val="459"/>
          <w:tblHeader/>
        </w:trPr>
        <w:tc>
          <w:tcPr>
            <w:cnfStyle w:val="001000000100" w:firstRow="0" w:lastRow="0" w:firstColumn="1" w:lastColumn="0" w:oddVBand="0" w:evenVBand="0" w:oddHBand="0" w:evenHBand="0" w:firstRowFirstColumn="1" w:firstRowLastColumn="0" w:lastRowFirstColumn="0" w:lastRowLastColumn="0"/>
            <w:tcW w:w="454" w:type="dxa"/>
            <w:tcBorders>
              <w:bottom w:val="single" w:sz="4" w:space="0" w:color="3A7C22" w:themeColor="accent6" w:themeShade="BF"/>
            </w:tcBorders>
            <w:noWrap/>
            <w:vAlign w:val="center"/>
          </w:tcPr>
          <w:p w14:paraId="0281BFE4" w14:textId="084E2AB0" w:rsidR="004B4E67" w:rsidRPr="002B271B" w:rsidRDefault="000F6750" w:rsidP="000F6750">
            <w:pPr>
              <w:pStyle w:val="Akapitzlist"/>
              <w:ind w:left="57"/>
              <w:rPr>
                <w:b/>
                <w:bCs/>
                <w:sz w:val="16"/>
                <w:szCs w:val="16"/>
              </w:rPr>
            </w:pPr>
            <w:proofErr w:type="spellStart"/>
            <w:r>
              <w:rPr>
                <w:b/>
                <w:bCs/>
                <w:sz w:val="16"/>
                <w:szCs w:val="16"/>
              </w:rPr>
              <w:t>Lp</w:t>
            </w:r>
            <w:proofErr w:type="spellEnd"/>
          </w:p>
        </w:tc>
        <w:tc>
          <w:tcPr>
            <w:tcW w:w="1474" w:type="dxa"/>
            <w:tcBorders>
              <w:bottom w:val="single" w:sz="4" w:space="0" w:color="3A7C22" w:themeColor="accent6" w:themeShade="BF"/>
            </w:tcBorders>
            <w:noWrap/>
            <w:vAlign w:val="center"/>
            <w:hideMark/>
          </w:tcPr>
          <w:p w14:paraId="46AB4A38" w14:textId="77777777" w:rsidR="004B4E67" w:rsidRPr="007E19F7" w:rsidRDefault="004B4E67" w:rsidP="007E19F7">
            <w:pPr>
              <w:jc w:val="center"/>
              <w:cnfStyle w:val="100000000000" w:firstRow="1" w:lastRow="0" w:firstColumn="0" w:lastColumn="0" w:oddVBand="0" w:evenVBand="0" w:oddHBand="0" w:evenHBand="0" w:firstRowFirstColumn="0" w:firstRowLastColumn="0" w:lastRowFirstColumn="0" w:lastRowLastColumn="0"/>
              <w:rPr>
                <w:b/>
                <w:bCs/>
                <w:sz w:val="16"/>
                <w:szCs w:val="16"/>
              </w:rPr>
            </w:pPr>
            <w:r w:rsidRPr="007E19F7">
              <w:rPr>
                <w:b/>
                <w:bCs/>
                <w:sz w:val="16"/>
                <w:szCs w:val="16"/>
              </w:rPr>
              <w:t>Nazwa instrumentu</w:t>
            </w:r>
          </w:p>
        </w:tc>
        <w:tc>
          <w:tcPr>
            <w:tcW w:w="1559" w:type="dxa"/>
            <w:tcBorders>
              <w:bottom w:val="single" w:sz="4" w:space="0" w:color="3A7C22" w:themeColor="accent6" w:themeShade="BF"/>
            </w:tcBorders>
            <w:vAlign w:val="center"/>
            <w:hideMark/>
          </w:tcPr>
          <w:p w14:paraId="344B2F9F" w14:textId="77777777" w:rsidR="004B4E67" w:rsidRPr="007E19F7" w:rsidRDefault="004B4E67" w:rsidP="007E19F7">
            <w:pPr>
              <w:jc w:val="center"/>
              <w:cnfStyle w:val="100000000000" w:firstRow="1" w:lastRow="0" w:firstColumn="0" w:lastColumn="0" w:oddVBand="0" w:evenVBand="0" w:oddHBand="0" w:evenHBand="0" w:firstRowFirstColumn="0" w:firstRowLastColumn="0" w:lastRowFirstColumn="0" w:lastRowLastColumn="0"/>
              <w:rPr>
                <w:b/>
                <w:bCs/>
                <w:sz w:val="16"/>
                <w:szCs w:val="16"/>
              </w:rPr>
            </w:pPr>
            <w:r w:rsidRPr="007E19F7">
              <w:rPr>
                <w:b/>
                <w:bCs/>
                <w:sz w:val="16"/>
                <w:szCs w:val="16"/>
              </w:rPr>
              <w:t>Podstawowy zakres inwestycyjny</w:t>
            </w:r>
          </w:p>
        </w:tc>
        <w:tc>
          <w:tcPr>
            <w:tcW w:w="1701" w:type="dxa"/>
            <w:tcBorders>
              <w:bottom w:val="single" w:sz="4" w:space="0" w:color="3A7C22" w:themeColor="accent6" w:themeShade="BF"/>
            </w:tcBorders>
            <w:noWrap/>
            <w:vAlign w:val="center"/>
            <w:hideMark/>
          </w:tcPr>
          <w:p w14:paraId="436EB91C" w14:textId="77777777" w:rsidR="004B4E67" w:rsidRPr="007E19F7" w:rsidRDefault="004B4E67" w:rsidP="007E19F7">
            <w:pPr>
              <w:jc w:val="center"/>
              <w:cnfStyle w:val="100000000000" w:firstRow="1" w:lastRow="0" w:firstColumn="0" w:lastColumn="0" w:oddVBand="0" w:evenVBand="0" w:oddHBand="0" w:evenHBand="0" w:firstRowFirstColumn="0" w:firstRowLastColumn="0" w:lastRowFirstColumn="0" w:lastRowLastColumn="0"/>
              <w:rPr>
                <w:b/>
                <w:bCs/>
                <w:sz w:val="16"/>
                <w:szCs w:val="16"/>
              </w:rPr>
            </w:pPr>
            <w:r w:rsidRPr="007E19F7">
              <w:rPr>
                <w:b/>
                <w:bCs/>
                <w:sz w:val="16"/>
                <w:szCs w:val="16"/>
              </w:rPr>
              <w:t>Wielkość środków</w:t>
            </w:r>
          </w:p>
        </w:tc>
        <w:tc>
          <w:tcPr>
            <w:tcW w:w="1559" w:type="dxa"/>
            <w:tcBorders>
              <w:bottom w:val="single" w:sz="4" w:space="0" w:color="3A7C22" w:themeColor="accent6" w:themeShade="BF"/>
            </w:tcBorders>
            <w:noWrap/>
            <w:vAlign w:val="center"/>
            <w:hideMark/>
          </w:tcPr>
          <w:p w14:paraId="09C0328E" w14:textId="77777777" w:rsidR="004B4E67" w:rsidRPr="007E19F7" w:rsidRDefault="004B4E67" w:rsidP="007E19F7">
            <w:pPr>
              <w:jc w:val="center"/>
              <w:cnfStyle w:val="100000000000" w:firstRow="1" w:lastRow="0" w:firstColumn="0" w:lastColumn="0" w:oddVBand="0" w:evenVBand="0" w:oddHBand="0" w:evenHBand="0" w:firstRowFirstColumn="0" w:firstRowLastColumn="0" w:lastRowFirstColumn="0" w:lastRowLastColumn="0"/>
              <w:rPr>
                <w:b/>
                <w:bCs/>
                <w:sz w:val="16"/>
                <w:szCs w:val="16"/>
              </w:rPr>
            </w:pPr>
            <w:r w:rsidRPr="007E19F7">
              <w:rPr>
                <w:b/>
                <w:bCs/>
                <w:sz w:val="16"/>
                <w:szCs w:val="16"/>
              </w:rPr>
              <w:t>Lata wdrażania</w:t>
            </w:r>
          </w:p>
        </w:tc>
        <w:tc>
          <w:tcPr>
            <w:tcW w:w="1281" w:type="dxa"/>
            <w:tcBorders>
              <w:bottom w:val="single" w:sz="4" w:space="0" w:color="3A7C22" w:themeColor="accent6" w:themeShade="BF"/>
            </w:tcBorders>
            <w:noWrap/>
            <w:vAlign w:val="center"/>
            <w:hideMark/>
          </w:tcPr>
          <w:p w14:paraId="2D601AB9" w14:textId="77777777" w:rsidR="004B4E67" w:rsidRPr="007E19F7" w:rsidRDefault="004B4E67" w:rsidP="007E19F7">
            <w:pPr>
              <w:jc w:val="center"/>
              <w:cnfStyle w:val="100000000000" w:firstRow="1" w:lastRow="0" w:firstColumn="0" w:lastColumn="0" w:oddVBand="0" w:evenVBand="0" w:oddHBand="0" w:evenHBand="0" w:firstRowFirstColumn="0" w:firstRowLastColumn="0" w:lastRowFirstColumn="0" w:lastRowLastColumn="0"/>
              <w:rPr>
                <w:b/>
                <w:bCs/>
                <w:sz w:val="16"/>
                <w:szCs w:val="16"/>
              </w:rPr>
            </w:pPr>
            <w:r w:rsidRPr="007E19F7">
              <w:rPr>
                <w:b/>
                <w:bCs/>
                <w:sz w:val="16"/>
                <w:szCs w:val="16"/>
              </w:rPr>
              <w:t>Źródło finansowania</w:t>
            </w:r>
          </w:p>
        </w:tc>
        <w:tc>
          <w:tcPr>
            <w:tcW w:w="1186" w:type="dxa"/>
            <w:tcBorders>
              <w:bottom w:val="single" w:sz="4" w:space="0" w:color="3A7C22" w:themeColor="accent6" w:themeShade="BF"/>
            </w:tcBorders>
            <w:noWrap/>
            <w:vAlign w:val="center"/>
            <w:hideMark/>
          </w:tcPr>
          <w:p w14:paraId="5AEDFA54" w14:textId="77777777" w:rsidR="004B4E67" w:rsidRPr="007E19F7" w:rsidRDefault="004B4E67" w:rsidP="007E19F7">
            <w:pPr>
              <w:jc w:val="center"/>
              <w:cnfStyle w:val="100000000000" w:firstRow="1" w:lastRow="0" w:firstColumn="0" w:lastColumn="0" w:oddVBand="0" w:evenVBand="0" w:oddHBand="0" w:evenHBand="0" w:firstRowFirstColumn="0" w:firstRowLastColumn="0" w:lastRowFirstColumn="0" w:lastRowLastColumn="0"/>
              <w:rPr>
                <w:b/>
                <w:bCs/>
                <w:sz w:val="16"/>
                <w:szCs w:val="16"/>
              </w:rPr>
            </w:pPr>
            <w:r w:rsidRPr="007E19F7">
              <w:rPr>
                <w:b/>
                <w:bCs/>
                <w:sz w:val="16"/>
                <w:szCs w:val="16"/>
              </w:rPr>
              <w:t>Typ</w:t>
            </w:r>
          </w:p>
        </w:tc>
        <w:tc>
          <w:tcPr>
            <w:tcW w:w="1413" w:type="dxa"/>
            <w:tcBorders>
              <w:bottom w:val="single" w:sz="4" w:space="0" w:color="3A7C22" w:themeColor="accent6" w:themeShade="BF"/>
            </w:tcBorders>
            <w:noWrap/>
            <w:vAlign w:val="center"/>
            <w:hideMark/>
          </w:tcPr>
          <w:p w14:paraId="76A96186" w14:textId="77777777" w:rsidR="004B4E67" w:rsidRPr="007E19F7" w:rsidRDefault="004B4E67" w:rsidP="007E19F7">
            <w:pPr>
              <w:jc w:val="center"/>
              <w:cnfStyle w:val="100000000000" w:firstRow="1" w:lastRow="0" w:firstColumn="0" w:lastColumn="0" w:oddVBand="0" w:evenVBand="0" w:oddHBand="0" w:evenHBand="0" w:firstRowFirstColumn="0" w:firstRowLastColumn="0" w:lastRowFirstColumn="0" w:lastRowLastColumn="0"/>
              <w:rPr>
                <w:b/>
                <w:bCs/>
                <w:sz w:val="16"/>
                <w:szCs w:val="16"/>
              </w:rPr>
            </w:pPr>
            <w:r w:rsidRPr="007E19F7">
              <w:rPr>
                <w:b/>
                <w:bCs/>
                <w:sz w:val="16"/>
                <w:szCs w:val="16"/>
              </w:rPr>
              <w:t>Nazwa instytucji wdrażającej</w:t>
            </w:r>
          </w:p>
        </w:tc>
        <w:tc>
          <w:tcPr>
            <w:tcW w:w="3548" w:type="dxa"/>
            <w:tcBorders>
              <w:bottom w:val="single" w:sz="4" w:space="0" w:color="3A7C22" w:themeColor="accent6" w:themeShade="BF"/>
            </w:tcBorders>
            <w:vAlign w:val="center"/>
            <w:hideMark/>
          </w:tcPr>
          <w:p w14:paraId="5B0F38EE" w14:textId="77777777" w:rsidR="004B4E67" w:rsidRPr="007E19F7" w:rsidRDefault="004B4E67" w:rsidP="00CF5E8B">
            <w:pPr>
              <w:jc w:val="left"/>
              <w:cnfStyle w:val="100000000000" w:firstRow="1" w:lastRow="0" w:firstColumn="0" w:lastColumn="0" w:oddVBand="0" w:evenVBand="0" w:oddHBand="0" w:evenHBand="0" w:firstRowFirstColumn="0" w:firstRowLastColumn="0" w:lastRowFirstColumn="0" w:lastRowLastColumn="0"/>
              <w:rPr>
                <w:b/>
                <w:bCs/>
                <w:sz w:val="16"/>
                <w:szCs w:val="16"/>
              </w:rPr>
            </w:pPr>
            <w:r w:rsidRPr="007E19F7">
              <w:rPr>
                <w:b/>
                <w:bCs/>
                <w:sz w:val="16"/>
                <w:szCs w:val="16"/>
              </w:rPr>
              <w:t>Dodatkowe informacje</w:t>
            </w:r>
          </w:p>
        </w:tc>
      </w:tr>
      <w:tr w:rsidR="00801275" w:rsidRPr="00ED52BB" w14:paraId="04B8A5EC" w14:textId="77777777" w:rsidTr="00300186">
        <w:trPr>
          <w:cnfStyle w:val="000000100000" w:firstRow="0" w:lastRow="0" w:firstColumn="0" w:lastColumn="0" w:oddVBand="0" w:evenVBand="0" w:oddHBand="1"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345BB379" w14:textId="1239E1A5" w:rsidR="004B4E67" w:rsidRPr="002B271B" w:rsidRDefault="004B4E67" w:rsidP="002B271B">
            <w:pPr>
              <w:pStyle w:val="Akapitzlist"/>
              <w:numPr>
                <w:ilvl w:val="0"/>
                <w:numId w:val="4"/>
              </w:numPr>
              <w:ind w:left="57" w:firstLine="0"/>
              <w:rPr>
                <w:rFonts w:ascii="Calibri" w:eastAsia="Times New Roman" w:hAnsi="Calibri" w:cs="Calibri"/>
                <w:color w:val="000000"/>
                <w:kern w:val="0"/>
                <w:szCs w:val="20"/>
                <w:lang w:eastAsia="pl-PL"/>
                <w14:ligatures w14:val="none"/>
              </w:rPr>
            </w:pPr>
          </w:p>
        </w:tc>
        <w:tc>
          <w:tcPr>
            <w:tcW w:w="1474" w:type="dxa"/>
            <w:tcBorders>
              <w:top w:val="single" w:sz="4" w:space="0" w:color="3A7C22" w:themeColor="accent6" w:themeShade="BF"/>
            </w:tcBorders>
            <w:hideMark/>
          </w:tcPr>
          <w:p w14:paraId="3D00E56D" w14:textId="14E7130A" w:rsidR="004B4E67" w:rsidRPr="007E6FC2"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7E6FC2">
              <w:rPr>
                <w:rFonts w:eastAsia="Times New Roman" w:cs="Calibri"/>
                <w:color w:val="000000"/>
                <w:kern w:val="0"/>
                <w:sz w:val="16"/>
                <w:szCs w:val="16"/>
                <w:lang w:eastAsia="pl-PL"/>
                <w14:ligatures w14:val="none"/>
              </w:rPr>
              <w:t>System wsparcia dla morskiej energetyki wiatrowej</w:t>
            </w:r>
          </w:p>
        </w:tc>
        <w:tc>
          <w:tcPr>
            <w:tcW w:w="1559" w:type="dxa"/>
            <w:tcBorders>
              <w:top w:val="single" w:sz="4" w:space="0" w:color="3A7C22" w:themeColor="accent6" w:themeShade="BF"/>
            </w:tcBorders>
            <w:noWrap/>
            <w:hideMark/>
          </w:tcPr>
          <w:p w14:paraId="666E507A" w14:textId="77777777" w:rsidR="004B4E67" w:rsidRPr="007E6FC2"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7E6FC2">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tcBorders>
            <w:hideMark/>
          </w:tcPr>
          <w:p w14:paraId="311235E8" w14:textId="63286D8B" w:rsidR="004B4E67" w:rsidRPr="007E6FC2" w:rsidRDefault="003D63B4"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xml:space="preserve">44,6 mld euro </w:t>
            </w:r>
          </w:p>
        </w:tc>
        <w:tc>
          <w:tcPr>
            <w:tcW w:w="1559" w:type="dxa"/>
            <w:tcBorders>
              <w:top w:val="single" w:sz="4" w:space="0" w:color="3A7C22" w:themeColor="accent6" w:themeShade="BF"/>
            </w:tcBorders>
            <w:hideMark/>
          </w:tcPr>
          <w:p w14:paraId="22AADA1A" w14:textId="77777777" w:rsidR="004B4E67" w:rsidRPr="007E6FC2"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7E6FC2">
              <w:rPr>
                <w:rFonts w:eastAsia="Times New Roman" w:cs="Calibri"/>
                <w:color w:val="000000"/>
                <w:kern w:val="0"/>
                <w:sz w:val="16"/>
                <w:szCs w:val="16"/>
                <w:lang w:eastAsia="pl-PL"/>
                <w14:ligatures w14:val="none"/>
              </w:rPr>
              <w:t>25 lat od pierwszego wytworzenia i wprowadzenia do sieci energii elektrycznej wytworzonej w morskiej farmie wiatrowej lub jej części na podstawie udzielonej koncesji</w:t>
            </w:r>
          </w:p>
        </w:tc>
        <w:tc>
          <w:tcPr>
            <w:tcW w:w="1281" w:type="dxa"/>
            <w:tcBorders>
              <w:top w:val="single" w:sz="4" w:space="0" w:color="3A7C22" w:themeColor="accent6" w:themeShade="BF"/>
            </w:tcBorders>
            <w:noWrap/>
            <w:hideMark/>
          </w:tcPr>
          <w:p w14:paraId="0F7DE29A" w14:textId="77777777" w:rsidR="004B4E67" w:rsidRPr="007E6FC2"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7E6FC2">
              <w:rPr>
                <w:rFonts w:eastAsia="Times New Roman" w:cs="Calibri"/>
                <w:color w:val="000000"/>
                <w:kern w:val="0"/>
                <w:sz w:val="16"/>
                <w:szCs w:val="16"/>
                <w:lang w:eastAsia="pl-PL"/>
                <w14:ligatures w14:val="none"/>
              </w:rPr>
              <w:t>Opłata OZE</w:t>
            </w:r>
          </w:p>
        </w:tc>
        <w:tc>
          <w:tcPr>
            <w:tcW w:w="1186" w:type="dxa"/>
            <w:tcBorders>
              <w:top w:val="single" w:sz="4" w:space="0" w:color="3A7C22" w:themeColor="accent6" w:themeShade="BF"/>
            </w:tcBorders>
            <w:noWrap/>
            <w:hideMark/>
          </w:tcPr>
          <w:p w14:paraId="6B6AE889" w14:textId="77777777" w:rsidR="004B4E67" w:rsidRPr="007E6FC2"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7E6FC2">
              <w:rPr>
                <w:rFonts w:eastAsia="Times New Roman" w:cs="Calibri"/>
                <w:color w:val="000000"/>
                <w:kern w:val="0"/>
                <w:sz w:val="16"/>
                <w:szCs w:val="16"/>
                <w:lang w:eastAsia="pl-PL"/>
                <w14:ligatures w14:val="none"/>
              </w:rPr>
              <w:t>Operacyjne</w:t>
            </w:r>
          </w:p>
        </w:tc>
        <w:tc>
          <w:tcPr>
            <w:tcW w:w="1413" w:type="dxa"/>
            <w:tcBorders>
              <w:top w:val="single" w:sz="4" w:space="0" w:color="3A7C22" w:themeColor="accent6" w:themeShade="BF"/>
            </w:tcBorders>
            <w:hideMark/>
          </w:tcPr>
          <w:p w14:paraId="7F67D19E" w14:textId="77777777" w:rsidR="004B4E67" w:rsidRPr="007E6FC2"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7E6FC2">
              <w:rPr>
                <w:rFonts w:eastAsia="Times New Roman" w:cs="Calibri"/>
                <w:color w:val="000000"/>
                <w:kern w:val="0"/>
                <w:sz w:val="16"/>
                <w:szCs w:val="16"/>
                <w:lang w:eastAsia="pl-PL"/>
                <w14:ligatures w14:val="none"/>
              </w:rPr>
              <w:t>Ministerstwo Klimatu i Środowiska</w:t>
            </w:r>
          </w:p>
        </w:tc>
        <w:tc>
          <w:tcPr>
            <w:tcW w:w="3548" w:type="dxa"/>
            <w:tcBorders>
              <w:top w:val="single" w:sz="4" w:space="0" w:color="3A7C22" w:themeColor="accent6" w:themeShade="BF"/>
            </w:tcBorders>
            <w:hideMark/>
          </w:tcPr>
          <w:p w14:paraId="281B1C0C" w14:textId="77777777" w:rsidR="003D63B4" w:rsidRDefault="004B4E67" w:rsidP="00CF5E8B">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7E6FC2">
              <w:rPr>
                <w:rFonts w:eastAsia="Times New Roman" w:cs="Calibri"/>
                <w:color w:val="000000"/>
                <w:kern w:val="0"/>
                <w:sz w:val="16"/>
                <w:szCs w:val="16"/>
                <w:lang w:eastAsia="pl-PL"/>
                <w14:ligatures w14:val="none"/>
              </w:rPr>
              <w:t>Podstawa prawna:  Ustawa z dnia 17 grudnia 2020 r. o promowaniu wytwarzania energii elektrycznej w morskich farmach wiatrowych.</w:t>
            </w:r>
          </w:p>
          <w:p w14:paraId="4CE1925C" w14:textId="55CF4FC1" w:rsidR="004B4E67" w:rsidRPr="007E6FC2" w:rsidRDefault="003D63B4" w:rsidP="00CF5E8B">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xml:space="preserve">Wielkość środków na podstawie aktualnie notyfikowanej pomocy publicznej (odnoszącej się do ok. 18 GW </w:t>
            </w:r>
            <w:r w:rsidR="00CC049C">
              <w:rPr>
                <w:rFonts w:eastAsia="Times New Roman" w:cs="Calibri"/>
                <w:color w:val="000000"/>
                <w:kern w:val="0"/>
                <w:sz w:val="16"/>
                <w:szCs w:val="16"/>
                <w:lang w:eastAsia="pl-PL"/>
                <w14:ligatures w14:val="none"/>
              </w:rPr>
              <w:t xml:space="preserve">mocy w morskiej energetyce wiatrowej) </w:t>
            </w:r>
            <w:r w:rsidR="004B4E67" w:rsidRPr="007E6FC2">
              <w:rPr>
                <w:rFonts w:eastAsia="Times New Roman" w:cs="Calibri"/>
                <w:color w:val="000000"/>
                <w:kern w:val="0"/>
                <w:sz w:val="16"/>
                <w:szCs w:val="16"/>
                <w:lang w:eastAsia="pl-PL"/>
                <w14:ligatures w14:val="none"/>
              </w:rPr>
              <w:br/>
            </w:r>
            <w:r w:rsidR="004B4E67" w:rsidRPr="007E6FC2">
              <w:rPr>
                <w:rFonts w:eastAsia="Times New Roman" w:cs="Calibri"/>
                <w:color w:val="000000"/>
                <w:kern w:val="0"/>
                <w:sz w:val="16"/>
                <w:szCs w:val="16"/>
                <w:lang w:eastAsia="pl-PL"/>
                <w14:ligatures w14:val="none"/>
              </w:rPr>
              <w:br/>
            </w:r>
          </w:p>
        </w:tc>
      </w:tr>
      <w:tr w:rsidR="004B4E67" w:rsidRPr="00ED52BB" w14:paraId="4D8B9BCF" w14:textId="77777777" w:rsidTr="00300186">
        <w:trPr>
          <w:trHeight w:val="3166"/>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3AC201B0" w14:textId="5192349B" w:rsidR="004B4E67" w:rsidRPr="002B271B" w:rsidRDefault="004B4E67" w:rsidP="002B271B">
            <w:pPr>
              <w:pStyle w:val="Akapitzlist"/>
              <w:numPr>
                <w:ilvl w:val="0"/>
                <w:numId w:val="4"/>
              </w:numPr>
              <w:ind w:left="57" w:firstLine="0"/>
              <w:jc w:val="center"/>
              <w:rPr>
                <w:rFonts w:ascii="Calibri" w:eastAsia="Times New Roman" w:hAnsi="Calibri" w:cs="Calibri"/>
                <w:color w:val="000000"/>
                <w:kern w:val="0"/>
                <w:szCs w:val="20"/>
                <w:lang w:eastAsia="pl-PL"/>
                <w14:ligatures w14:val="none"/>
              </w:rPr>
            </w:pPr>
          </w:p>
        </w:tc>
        <w:tc>
          <w:tcPr>
            <w:tcW w:w="1474" w:type="dxa"/>
            <w:tcBorders>
              <w:top w:val="single" w:sz="4" w:space="0" w:color="3A7C22" w:themeColor="accent6" w:themeShade="BF"/>
            </w:tcBorders>
            <w:hideMark/>
          </w:tcPr>
          <w:p w14:paraId="3FC78432" w14:textId="77777777" w:rsidR="004B4E67" w:rsidRPr="007E6FC2"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7E6FC2">
              <w:rPr>
                <w:rFonts w:eastAsia="Times New Roman" w:cs="Calibri"/>
                <w:color w:val="000000"/>
                <w:kern w:val="0"/>
                <w:sz w:val="16"/>
                <w:szCs w:val="16"/>
                <w:lang w:eastAsia="pl-PL"/>
                <w14:ligatures w14:val="none"/>
              </w:rPr>
              <w:t>Aukcyjny system wsparcia dla wytwórców energii z odnawialnych źródeł energii</w:t>
            </w:r>
          </w:p>
        </w:tc>
        <w:tc>
          <w:tcPr>
            <w:tcW w:w="1559" w:type="dxa"/>
            <w:tcBorders>
              <w:top w:val="single" w:sz="4" w:space="0" w:color="3A7C22" w:themeColor="accent6" w:themeShade="BF"/>
            </w:tcBorders>
            <w:hideMark/>
          </w:tcPr>
          <w:p w14:paraId="64274209" w14:textId="77777777" w:rsidR="004B4E67" w:rsidRPr="007E6FC2"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7E6FC2">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tcBorders>
            <w:hideMark/>
          </w:tcPr>
          <w:p w14:paraId="511D453C" w14:textId="573A2C15" w:rsidR="004B4E67" w:rsidRPr="007E6FC2"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7E6FC2">
              <w:rPr>
                <w:rFonts w:eastAsia="Times New Roman" w:cs="Calibri"/>
                <w:color w:val="000000"/>
                <w:kern w:val="0"/>
                <w:sz w:val="16"/>
                <w:szCs w:val="16"/>
                <w:lang w:eastAsia="pl-PL"/>
                <w14:ligatures w14:val="none"/>
              </w:rPr>
              <w:t xml:space="preserve">Łączna maksymalna wartość wolumenów w 15-letnim okresie wsparcia wynosi  </w:t>
            </w:r>
            <w:r w:rsidR="00462FA8">
              <w:rPr>
                <w:rFonts w:eastAsia="Times New Roman" w:cs="Calibri"/>
                <w:color w:val="000000"/>
                <w:kern w:val="0"/>
                <w:sz w:val="16"/>
                <w:szCs w:val="16"/>
                <w:lang w:eastAsia="pl-PL"/>
                <w14:ligatures w14:val="none"/>
              </w:rPr>
              <w:t xml:space="preserve">153 mld </w:t>
            </w:r>
            <w:r w:rsidR="005C5D38">
              <w:rPr>
                <w:rFonts w:eastAsia="Times New Roman" w:cs="Calibri"/>
                <w:color w:val="000000"/>
                <w:kern w:val="0"/>
                <w:sz w:val="16"/>
                <w:szCs w:val="16"/>
                <w:lang w:eastAsia="pl-PL"/>
                <w14:ligatures w14:val="none"/>
              </w:rPr>
              <w:t>zł</w:t>
            </w:r>
          </w:p>
        </w:tc>
        <w:tc>
          <w:tcPr>
            <w:tcW w:w="1559" w:type="dxa"/>
            <w:tcBorders>
              <w:top w:val="single" w:sz="4" w:space="0" w:color="3A7C22" w:themeColor="accent6" w:themeShade="BF"/>
            </w:tcBorders>
            <w:hideMark/>
          </w:tcPr>
          <w:p w14:paraId="6AF5F333" w14:textId="42448DE6" w:rsidR="004B4E67" w:rsidRPr="007E6FC2"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7E6FC2">
              <w:rPr>
                <w:rFonts w:eastAsia="Times New Roman" w:cs="Calibri"/>
                <w:color w:val="000000"/>
                <w:kern w:val="0"/>
                <w:sz w:val="16"/>
                <w:szCs w:val="16"/>
                <w:lang w:eastAsia="pl-PL"/>
                <w14:ligatures w14:val="none"/>
              </w:rPr>
              <w:t>od 2016</w:t>
            </w:r>
            <w:r w:rsidR="00462FA8">
              <w:rPr>
                <w:rFonts w:eastAsia="Times New Roman" w:cs="Calibri"/>
                <w:color w:val="000000"/>
                <w:kern w:val="0"/>
                <w:sz w:val="16"/>
                <w:szCs w:val="16"/>
                <w:lang w:eastAsia="pl-PL"/>
                <w14:ligatures w14:val="none"/>
              </w:rPr>
              <w:t xml:space="preserve"> r.</w:t>
            </w:r>
            <w:r w:rsidRPr="007E6FC2">
              <w:rPr>
                <w:rFonts w:eastAsia="Times New Roman" w:cs="Calibri"/>
                <w:color w:val="000000"/>
                <w:kern w:val="0"/>
                <w:sz w:val="16"/>
                <w:szCs w:val="16"/>
                <w:lang w:eastAsia="pl-PL"/>
                <w14:ligatures w14:val="none"/>
              </w:rPr>
              <w:t xml:space="preserve">  do 30 czerwca 2039 </w:t>
            </w:r>
            <w:r w:rsidR="00462FA8">
              <w:rPr>
                <w:rFonts w:eastAsia="Times New Roman" w:cs="Calibri"/>
                <w:color w:val="000000"/>
                <w:kern w:val="0"/>
                <w:sz w:val="16"/>
                <w:szCs w:val="16"/>
                <w:lang w:eastAsia="pl-PL"/>
                <w14:ligatures w14:val="none"/>
              </w:rPr>
              <w:t>r.</w:t>
            </w:r>
          </w:p>
        </w:tc>
        <w:tc>
          <w:tcPr>
            <w:tcW w:w="1281" w:type="dxa"/>
            <w:tcBorders>
              <w:top w:val="single" w:sz="4" w:space="0" w:color="3A7C22" w:themeColor="accent6" w:themeShade="BF"/>
            </w:tcBorders>
            <w:hideMark/>
          </w:tcPr>
          <w:p w14:paraId="787FD4A6" w14:textId="4C320FEC" w:rsidR="004B4E67" w:rsidRPr="007E6FC2"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7E6FC2">
              <w:rPr>
                <w:rFonts w:eastAsia="Times New Roman" w:cs="Calibri"/>
                <w:color w:val="000000"/>
                <w:kern w:val="0"/>
                <w:sz w:val="16"/>
                <w:szCs w:val="16"/>
                <w:lang w:eastAsia="pl-PL"/>
                <w14:ligatures w14:val="none"/>
              </w:rPr>
              <w:t>Zarządca Rozliczeń S.A.</w:t>
            </w:r>
            <w:r w:rsidR="00C741A8">
              <w:rPr>
                <w:rFonts w:eastAsia="Times New Roman" w:cs="Calibri"/>
                <w:color w:val="000000"/>
                <w:kern w:val="0"/>
                <w:sz w:val="16"/>
                <w:szCs w:val="16"/>
                <w:lang w:eastAsia="pl-PL"/>
                <w14:ligatures w14:val="none"/>
              </w:rPr>
              <w:t xml:space="preserve"> – </w:t>
            </w:r>
            <w:r w:rsidRPr="007E6FC2">
              <w:rPr>
                <w:rFonts w:eastAsia="Times New Roman" w:cs="Calibri"/>
                <w:color w:val="000000"/>
                <w:kern w:val="0"/>
                <w:sz w:val="16"/>
                <w:szCs w:val="16"/>
                <w:lang w:eastAsia="pl-PL"/>
                <w14:ligatures w14:val="none"/>
              </w:rPr>
              <w:t>(finansowanie z opłaty OZE)</w:t>
            </w:r>
          </w:p>
        </w:tc>
        <w:tc>
          <w:tcPr>
            <w:tcW w:w="1186" w:type="dxa"/>
            <w:tcBorders>
              <w:top w:val="single" w:sz="4" w:space="0" w:color="3A7C22" w:themeColor="accent6" w:themeShade="BF"/>
            </w:tcBorders>
            <w:hideMark/>
          </w:tcPr>
          <w:p w14:paraId="5B0DDE83" w14:textId="77777777" w:rsidR="004B4E67" w:rsidRPr="007E6FC2"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7E6FC2">
              <w:rPr>
                <w:rFonts w:eastAsia="Times New Roman" w:cs="Calibri"/>
                <w:color w:val="000000"/>
                <w:kern w:val="0"/>
                <w:sz w:val="16"/>
                <w:szCs w:val="16"/>
                <w:lang w:eastAsia="pl-PL"/>
                <w14:ligatures w14:val="none"/>
              </w:rPr>
              <w:t>Operacyjne</w:t>
            </w:r>
          </w:p>
        </w:tc>
        <w:tc>
          <w:tcPr>
            <w:tcW w:w="1413" w:type="dxa"/>
            <w:tcBorders>
              <w:top w:val="single" w:sz="4" w:space="0" w:color="3A7C22" w:themeColor="accent6" w:themeShade="BF"/>
            </w:tcBorders>
            <w:hideMark/>
          </w:tcPr>
          <w:p w14:paraId="3E1E2B52" w14:textId="77777777" w:rsidR="004B4E67" w:rsidRPr="007E6FC2"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7E6FC2">
              <w:rPr>
                <w:rFonts w:eastAsia="Times New Roman" w:cs="Calibri"/>
                <w:color w:val="000000"/>
                <w:kern w:val="0"/>
                <w:sz w:val="16"/>
                <w:szCs w:val="16"/>
                <w:lang w:eastAsia="pl-PL"/>
                <w14:ligatures w14:val="none"/>
              </w:rPr>
              <w:t xml:space="preserve"> Ministerstwo Klimatu i Środowiska</w:t>
            </w:r>
          </w:p>
        </w:tc>
        <w:tc>
          <w:tcPr>
            <w:tcW w:w="3548" w:type="dxa"/>
            <w:tcBorders>
              <w:top w:val="single" w:sz="4" w:space="0" w:color="3A7C22" w:themeColor="accent6" w:themeShade="BF"/>
              <w:bottom w:val="single" w:sz="4" w:space="0" w:color="3A7C22" w:themeColor="accent6" w:themeShade="BF"/>
            </w:tcBorders>
            <w:hideMark/>
          </w:tcPr>
          <w:p w14:paraId="2670B990" w14:textId="1DEA941E" w:rsidR="004B4E67" w:rsidRPr="007E6FC2" w:rsidRDefault="004B4E67" w:rsidP="00CF5E8B">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7E6FC2">
              <w:rPr>
                <w:rFonts w:eastAsia="Times New Roman" w:cs="Calibri"/>
                <w:color w:val="000000"/>
                <w:kern w:val="0"/>
                <w:sz w:val="16"/>
                <w:szCs w:val="16"/>
                <w:lang w:eastAsia="pl-PL"/>
                <w14:ligatures w14:val="none"/>
              </w:rPr>
              <w:t>W organizowanych przez Prezesa Urzędu Regulacji Energetyki aukcjach wyłaniani są przedsiębiorcy, którzy zaoferowali produkcję energii z odnawialnego źródła po najniższej cenie, pomniejszonej o kwotę podatku od towarów i usług, a których oferty łącznie nie przekroczyły 100% wartości lub ilości energii elektrycznej z odnawialnych źródeł energii określonej w ogłoszeniu o aukcji oraz 80% ilości energii elektrycznej objętej wszystkimi złożonymi ofertami. Zwycięzca otrzymuje w ten sposób wsparcie w postaci gwarantowanej dopłaty do ceny sprzedaży energii na okres 15 lat, która podlega waloryzacji o poziom inflacji. Właściciele instalacji OZE, którzy wygrali aukcję uzyskują tym samym prawo do otrzymywania tzw. wyrównania ujemnego salda, czyli comiesięcznej płatności stanowiącej różnicę między ceną aukcyjną oferowaną przez wytwórcę, a ceną rynkową energii elektrycznej z zastrzeżeniem maksymalnej ilości energii elektrycznej oferowanej podczas aukcji.</w:t>
            </w:r>
            <w:r w:rsidRPr="007E6FC2">
              <w:rPr>
                <w:rFonts w:eastAsia="Times New Roman" w:cs="Calibri"/>
                <w:color w:val="000000"/>
                <w:kern w:val="0"/>
                <w:sz w:val="16"/>
                <w:szCs w:val="16"/>
                <w:lang w:eastAsia="pl-PL"/>
                <w14:ligatures w14:val="none"/>
              </w:rPr>
              <w:br/>
            </w:r>
            <w:r w:rsidRPr="007E6FC2">
              <w:rPr>
                <w:rFonts w:eastAsia="Times New Roman" w:cs="Calibri"/>
                <w:color w:val="000000"/>
                <w:kern w:val="0"/>
                <w:sz w:val="16"/>
                <w:szCs w:val="16"/>
                <w:lang w:eastAsia="pl-PL"/>
                <w14:ligatures w14:val="none"/>
              </w:rPr>
              <w:br/>
              <w:t xml:space="preserve">Zgodnie z rozporządzeniem Rady Ministrów z </w:t>
            </w:r>
            <w:r w:rsidRPr="007E6FC2">
              <w:rPr>
                <w:rFonts w:eastAsia="Times New Roman" w:cs="Calibri"/>
                <w:color w:val="000000"/>
                <w:kern w:val="0"/>
                <w:sz w:val="16"/>
                <w:szCs w:val="16"/>
                <w:lang w:eastAsia="pl-PL"/>
                <w14:ligatures w14:val="none"/>
              </w:rPr>
              <w:lastRenderedPageBreak/>
              <w:t>dnia 27 września 2022 r. w sprawie maksymalnych ilości i wartości energii elektrycznej z odnawialnych źródeł energii, które mogą zostać sprzedane w drodze aukcji w poszczególnych następujących po sobie latach kalendarzowych 2022</w:t>
            </w:r>
            <w:r w:rsidR="002A2374">
              <w:rPr>
                <w:rFonts w:eastAsia="Times New Roman" w:cs="Calibri"/>
                <w:color w:val="000000"/>
                <w:kern w:val="0"/>
                <w:sz w:val="16"/>
                <w:szCs w:val="16"/>
                <w:lang w:eastAsia="pl-PL"/>
                <w14:ligatures w14:val="none"/>
              </w:rPr>
              <w:t>–2</w:t>
            </w:r>
            <w:r w:rsidRPr="007E6FC2">
              <w:rPr>
                <w:rFonts w:eastAsia="Times New Roman" w:cs="Calibri"/>
                <w:color w:val="000000"/>
                <w:kern w:val="0"/>
                <w:sz w:val="16"/>
                <w:szCs w:val="16"/>
                <w:lang w:eastAsia="pl-PL"/>
                <w14:ligatures w14:val="none"/>
              </w:rPr>
              <w:t>027 (Dz.U. 2022 poz. 2085) (Dz.U. 2022 poz. 2085) łączny szacowany wolumen energii przeznaczony do sprzedaży w trakcie aukcji 2022</w:t>
            </w:r>
            <w:r w:rsidR="002A2374">
              <w:rPr>
                <w:rFonts w:eastAsia="Times New Roman" w:cs="Calibri"/>
                <w:color w:val="000000"/>
                <w:kern w:val="0"/>
                <w:sz w:val="16"/>
                <w:szCs w:val="16"/>
                <w:lang w:eastAsia="pl-PL"/>
                <w14:ligatures w14:val="none"/>
              </w:rPr>
              <w:t>–2</w:t>
            </w:r>
            <w:r w:rsidRPr="007E6FC2">
              <w:rPr>
                <w:rFonts w:eastAsia="Times New Roman" w:cs="Calibri"/>
                <w:color w:val="000000"/>
                <w:kern w:val="0"/>
                <w:sz w:val="16"/>
                <w:szCs w:val="16"/>
                <w:lang w:eastAsia="pl-PL"/>
                <w14:ligatures w14:val="none"/>
              </w:rPr>
              <w:t xml:space="preserve">027 w 15-letnich okresach wsparcia wynosi 394 650 000 MWh. </w:t>
            </w:r>
            <w:r w:rsidRPr="007E6FC2">
              <w:rPr>
                <w:rFonts w:eastAsia="Times New Roman" w:cs="Calibri"/>
                <w:color w:val="000000"/>
                <w:kern w:val="0"/>
                <w:sz w:val="16"/>
                <w:szCs w:val="16"/>
                <w:lang w:eastAsia="pl-PL"/>
                <w14:ligatures w14:val="none"/>
              </w:rPr>
              <w:br/>
              <w:t>Łączna maksymalna wartość ww. wolumenów w 15-letnim okresie wsparcia wynosi natomiast 152 968 500 000 zł.</w:t>
            </w:r>
            <w:r w:rsidRPr="007E6FC2">
              <w:rPr>
                <w:rFonts w:eastAsia="Times New Roman" w:cs="Calibri"/>
                <w:color w:val="000000"/>
                <w:kern w:val="0"/>
                <w:sz w:val="16"/>
                <w:szCs w:val="16"/>
                <w:lang w:eastAsia="pl-PL"/>
                <w14:ligatures w14:val="none"/>
              </w:rPr>
              <w:br/>
              <w:t>Jednocześnie łączny roczny wolumen energii przeznaczony do sprzedaży w trakcie aukcji w 15-letnich okresach wsparcia wyniesie w 2022 r. 34 087 500 MWh, w 2023 r. 87 900 000 MWh, w 2024 r. 44 587 500 MWh, w 2025 r. 75 900 000 MWh, a w latach 2026 i 2027 76 087 500 MWh. Łączna roczna maksymalna wartość ww. wolumenów wyniesie natomiast w 2022r. 14 377 500 000 zł, w 2023 r. 40 780 500 000 zł, w 2024 r. 17 002 500 000 zł, w 2025 r. 31 053 000 000 zł, a w latach 2026</w:t>
            </w:r>
            <w:r w:rsidRPr="007E6FC2">
              <w:rPr>
                <w:rFonts w:eastAsia="Times New Roman" w:cs="Calibri"/>
                <w:color w:val="000000"/>
                <w:kern w:val="0"/>
                <w:sz w:val="16"/>
                <w:szCs w:val="16"/>
                <w:lang w:eastAsia="pl-PL"/>
                <w14:ligatures w14:val="none"/>
              </w:rPr>
              <w:br/>
              <w:t>i 2027 24 877 500 000 zł.</w:t>
            </w:r>
            <w:r w:rsidRPr="007E6FC2">
              <w:rPr>
                <w:rFonts w:eastAsia="Times New Roman" w:cs="Calibri"/>
                <w:color w:val="000000"/>
                <w:kern w:val="0"/>
                <w:sz w:val="16"/>
                <w:szCs w:val="16"/>
                <w:lang w:eastAsia="pl-PL"/>
                <w14:ligatures w14:val="none"/>
              </w:rPr>
              <w:br/>
              <w:t>Mając na uwadze powyższe należy jednak zauważyć, że ww. wartości zostały wyliczone jako maksymalne, przy założeniu, że ceny sprzedaży osiągane w czasie aukcji będą równe zakładanym cenom referencyjnym, co w dotychczasowej praktyce nie miało miejsca. Analizując doświadczenia płynące z aukcji przeprowadzonych w latach 2016–2021, można oczekiwać, że prezentowane powyżej wartości będą istotnie niższe.</w:t>
            </w:r>
          </w:p>
        </w:tc>
      </w:tr>
      <w:tr w:rsidR="00801275" w:rsidRPr="00ED52BB" w14:paraId="3F69C4DC" w14:textId="77777777" w:rsidTr="00300186">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7FE52D83" w14:textId="70F90AF4" w:rsidR="004B4E67" w:rsidRPr="002B271B" w:rsidRDefault="004B4E67" w:rsidP="002B271B">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160FE836" w14:textId="77777777" w:rsidR="004B4E67" w:rsidRPr="00D93429"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Stała cena zakupu (FIT)</w:t>
            </w:r>
          </w:p>
        </w:tc>
        <w:tc>
          <w:tcPr>
            <w:tcW w:w="1559" w:type="dxa"/>
            <w:tcBorders>
              <w:top w:val="single" w:sz="4" w:space="0" w:color="3A7C22" w:themeColor="accent6" w:themeShade="BF"/>
            </w:tcBorders>
            <w:hideMark/>
          </w:tcPr>
          <w:p w14:paraId="7B4C2F90" w14:textId="77777777" w:rsidR="004B4E67" w:rsidRPr="00D93429"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tcBorders>
            <w:hideMark/>
          </w:tcPr>
          <w:p w14:paraId="11C468BB" w14:textId="52DACA4E" w:rsidR="00221528" w:rsidRDefault="00221528" w:rsidP="00221528">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 xml:space="preserve"> Zgodnie </w:t>
            </w:r>
            <w:r>
              <w:rPr>
                <w:rFonts w:eastAsia="Times New Roman" w:cs="Calibri"/>
                <w:color w:val="000000"/>
                <w:kern w:val="0"/>
                <w:sz w:val="16"/>
                <w:szCs w:val="16"/>
                <w:lang w:eastAsia="pl-PL"/>
                <w14:ligatures w14:val="none"/>
              </w:rPr>
              <w:t xml:space="preserve">ze zgłoszeniem </w:t>
            </w:r>
            <w:r w:rsidRPr="00D93429">
              <w:rPr>
                <w:rFonts w:eastAsia="Times New Roman" w:cs="Calibri"/>
                <w:color w:val="000000"/>
                <w:kern w:val="0"/>
                <w:sz w:val="16"/>
                <w:szCs w:val="16"/>
                <w:lang w:eastAsia="pl-PL"/>
                <w14:ligatures w14:val="none"/>
              </w:rPr>
              <w:t xml:space="preserve"> systemu taryfy </w:t>
            </w:r>
            <w:proofErr w:type="spellStart"/>
            <w:r w:rsidRPr="00D93429">
              <w:rPr>
                <w:rFonts w:eastAsia="Times New Roman" w:cs="Calibri"/>
                <w:color w:val="000000"/>
                <w:kern w:val="0"/>
                <w:sz w:val="16"/>
                <w:szCs w:val="16"/>
                <w:lang w:eastAsia="pl-PL"/>
                <w14:ligatures w14:val="none"/>
              </w:rPr>
              <w:t>FiT</w:t>
            </w:r>
            <w:proofErr w:type="spellEnd"/>
            <w:r w:rsidRPr="00D93429">
              <w:rPr>
                <w:rFonts w:eastAsia="Times New Roman" w:cs="Calibri"/>
                <w:color w:val="000000"/>
                <w:kern w:val="0"/>
                <w:sz w:val="16"/>
                <w:szCs w:val="16"/>
                <w:lang w:eastAsia="pl-PL"/>
                <w14:ligatures w14:val="none"/>
              </w:rPr>
              <w:t xml:space="preserve"> i</w:t>
            </w:r>
            <w:r>
              <w:rPr>
                <w:rFonts w:eastAsia="Times New Roman" w:cs="Calibri"/>
                <w:color w:val="000000"/>
                <w:kern w:val="0"/>
                <w:sz w:val="16"/>
                <w:szCs w:val="16"/>
                <w:lang w:eastAsia="pl-PL"/>
                <w14:ligatures w14:val="none"/>
              </w:rPr>
              <w:t> </w:t>
            </w:r>
            <w:proofErr w:type="spellStart"/>
            <w:r w:rsidRPr="00D93429">
              <w:rPr>
                <w:rFonts w:eastAsia="Times New Roman" w:cs="Calibri"/>
                <w:color w:val="000000"/>
                <w:kern w:val="0"/>
                <w:sz w:val="16"/>
                <w:szCs w:val="16"/>
                <w:lang w:eastAsia="pl-PL"/>
                <w14:ligatures w14:val="none"/>
              </w:rPr>
              <w:t>FiP</w:t>
            </w:r>
            <w:proofErr w:type="spellEnd"/>
            <w:r w:rsidRPr="00D93429">
              <w:rPr>
                <w:rFonts w:eastAsia="Times New Roman" w:cs="Calibri"/>
                <w:color w:val="000000"/>
                <w:kern w:val="0"/>
                <w:sz w:val="16"/>
                <w:szCs w:val="16"/>
                <w:lang w:eastAsia="pl-PL"/>
                <w14:ligatures w14:val="none"/>
              </w:rPr>
              <w:t xml:space="preserve"> </w:t>
            </w:r>
            <w:r>
              <w:rPr>
                <w:rFonts w:eastAsia="Times New Roman" w:cs="Calibri"/>
                <w:color w:val="000000"/>
                <w:kern w:val="0"/>
                <w:sz w:val="16"/>
                <w:szCs w:val="16"/>
                <w:lang w:eastAsia="pl-PL"/>
                <w14:ligatures w14:val="none"/>
              </w:rPr>
              <w:t>do KE –</w:t>
            </w:r>
            <w:r w:rsidRPr="00D93429">
              <w:rPr>
                <w:rFonts w:eastAsia="Times New Roman" w:cs="Calibri"/>
                <w:color w:val="000000"/>
                <w:kern w:val="0"/>
                <w:sz w:val="16"/>
                <w:szCs w:val="16"/>
                <w:lang w:eastAsia="pl-PL"/>
                <w14:ligatures w14:val="none"/>
              </w:rPr>
              <w:t xml:space="preserve"> </w:t>
            </w:r>
            <w:r>
              <w:rPr>
                <w:rFonts w:eastAsia="Times New Roman" w:cs="Calibri"/>
                <w:color w:val="000000"/>
                <w:kern w:val="0"/>
                <w:sz w:val="16"/>
                <w:szCs w:val="16"/>
                <w:lang w:eastAsia="pl-PL"/>
                <w14:ligatures w14:val="none"/>
              </w:rPr>
              <w:t xml:space="preserve">652,2 mln zł rocznie </w:t>
            </w:r>
          </w:p>
          <w:p w14:paraId="34C9A03F" w14:textId="36F29185" w:rsidR="004B4E67" w:rsidRPr="00D93429" w:rsidRDefault="00221528" w:rsidP="00221528">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xml:space="preserve">(do 2023 r. było </w:t>
            </w:r>
            <w:r w:rsidRPr="00D93429">
              <w:rPr>
                <w:rFonts w:eastAsia="Times New Roman" w:cs="Calibri"/>
                <w:color w:val="000000"/>
                <w:kern w:val="0"/>
                <w:sz w:val="16"/>
                <w:szCs w:val="16"/>
                <w:lang w:eastAsia="pl-PL"/>
                <w14:ligatures w14:val="none"/>
              </w:rPr>
              <w:t xml:space="preserve">622,2 mln </w:t>
            </w:r>
            <w:r>
              <w:rPr>
                <w:rFonts w:eastAsia="Times New Roman" w:cs="Calibri"/>
                <w:color w:val="000000"/>
                <w:kern w:val="0"/>
                <w:sz w:val="16"/>
                <w:szCs w:val="16"/>
                <w:lang w:eastAsia="pl-PL"/>
                <w14:ligatures w14:val="none"/>
              </w:rPr>
              <w:t>zł rocznie)</w:t>
            </w:r>
          </w:p>
        </w:tc>
        <w:tc>
          <w:tcPr>
            <w:tcW w:w="1559" w:type="dxa"/>
            <w:tcBorders>
              <w:top w:val="single" w:sz="4" w:space="0" w:color="3A7C22" w:themeColor="accent6" w:themeShade="BF"/>
            </w:tcBorders>
            <w:hideMark/>
          </w:tcPr>
          <w:p w14:paraId="36157152" w14:textId="1E093161" w:rsidR="004B4E67" w:rsidRPr="00D93429"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od 2018</w:t>
            </w:r>
            <w:r w:rsidR="00C741A8">
              <w:rPr>
                <w:rFonts w:eastAsia="Times New Roman" w:cs="Calibri"/>
                <w:color w:val="000000"/>
                <w:kern w:val="0"/>
                <w:sz w:val="16"/>
                <w:szCs w:val="16"/>
                <w:lang w:eastAsia="pl-PL"/>
                <w14:ligatures w14:val="none"/>
              </w:rPr>
              <w:t xml:space="preserve"> – </w:t>
            </w:r>
            <w:r w:rsidRPr="00D93429">
              <w:rPr>
                <w:rFonts w:eastAsia="Times New Roman" w:cs="Calibri"/>
                <w:color w:val="000000"/>
                <w:kern w:val="0"/>
                <w:sz w:val="16"/>
                <w:szCs w:val="16"/>
                <w:lang w:eastAsia="pl-PL"/>
                <w14:ligatures w14:val="none"/>
              </w:rPr>
              <w:t>30.06.2047 r.</w:t>
            </w:r>
          </w:p>
        </w:tc>
        <w:tc>
          <w:tcPr>
            <w:tcW w:w="1281" w:type="dxa"/>
            <w:tcBorders>
              <w:top w:val="single" w:sz="4" w:space="0" w:color="3A7C22" w:themeColor="accent6" w:themeShade="BF"/>
            </w:tcBorders>
            <w:hideMark/>
          </w:tcPr>
          <w:p w14:paraId="6FA927DC" w14:textId="6BF4E7AD" w:rsidR="004B4E67" w:rsidRPr="00D93429"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Zarządca Rozliczeń S.A.</w:t>
            </w:r>
            <w:r w:rsidR="00C741A8">
              <w:rPr>
                <w:rFonts w:eastAsia="Times New Roman" w:cs="Calibri"/>
                <w:color w:val="000000"/>
                <w:kern w:val="0"/>
                <w:sz w:val="16"/>
                <w:szCs w:val="16"/>
                <w:lang w:eastAsia="pl-PL"/>
                <w14:ligatures w14:val="none"/>
              </w:rPr>
              <w:t xml:space="preserve"> – </w:t>
            </w:r>
            <w:r w:rsidRPr="00D93429">
              <w:rPr>
                <w:rFonts w:eastAsia="Times New Roman" w:cs="Calibri"/>
                <w:color w:val="000000"/>
                <w:kern w:val="0"/>
                <w:sz w:val="16"/>
                <w:szCs w:val="16"/>
                <w:lang w:eastAsia="pl-PL"/>
                <w14:ligatures w14:val="none"/>
              </w:rPr>
              <w:t>(finansowanie z opłaty OZE)</w:t>
            </w:r>
          </w:p>
        </w:tc>
        <w:tc>
          <w:tcPr>
            <w:tcW w:w="1186" w:type="dxa"/>
            <w:tcBorders>
              <w:top w:val="single" w:sz="4" w:space="0" w:color="3A7C22" w:themeColor="accent6" w:themeShade="BF"/>
            </w:tcBorders>
            <w:hideMark/>
          </w:tcPr>
          <w:p w14:paraId="476B114B" w14:textId="77777777" w:rsidR="004B4E67" w:rsidRPr="00D93429"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Operacyjne</w:t>
            </w:r>
          </w:p>
        </w:tc>
        <w:tc>
          <w:tcPr>
            <w:tcW w:w="1413" w:type="dxa"/>
            <w:tcBorders>
              <w:top w:val="single" w:sz="4" w:space="0" w:color="3A7C22" w:themeColor="accent6" w:themeShade="BF"/>
            </w:tcBorders>
            <w:hideMark/>
          </w:tcPr>
          <w:p w14:paraId="71833326" w14:textId="77777777" w:rsidR="004B4E67" w:rsidRPr="00D93429"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Ministerstwo Klimatu i Środowiska</w:t>
            </w:r>
          </w:p>
        </w:tc>
        <w:tc>
          <w:tcPr>
            <w:tcW w:w="3548" w:type="dxa"/>
            <w:tcBorders>
              <w:top w:val="single" w:sz="4" w:space="0" w:color="3A7C22" w:themeColor="accent6" w:themeShade="BF"/>
              <w:bottom w:val="single" w:sz="4" w:space="0" w:color="auto"/>
            </w:tcBorders>
            <w:hideMark/>
          </w:tcPr>
          <w:p w14:paraId="6B565077" w14:textId="68A15484" w:rsidR="000172C4" w:rsidRDefault="004B4E67" w:rsidP="00CF5E8B">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 xml:space="preserve">Małe instalacje OZE objęte są programem wsparcia stałych taryf gwarantowanych. Przeznaczony jest dla wytwórców energii elektrycznej z:(1) biogazu rolniczego, (2) biogazu </w:t>
            </w:r>
            <w:proofErr w:type="spellStart"/>
            <w:r w:rsidRPr="00D93429">
              <w:rPr>
                <w:rFonts w:eastAsia="Times New Roman" w:cs="Calibri"/>
                <w:color w:val="000000"/>
                <w:kern w:val="0"/>
                <w:sz w:val="16"/>
                <w:szCs w:val="16"/>
                <w:lang w:eastAsia="pl-PL"/>
                <w14:ligatures w14:val="none"/>
              </w:rPr>
              <w:t>składowiskowego</w:t>
            </w:r>
            <w:proofErr w:type="spellEnd"/>
            <w:r w:rsidRPr="00D93429">
              <w:rPr>
                <w:rFonts w:eastAsia="Times New Roman" w:cs="Calibri"/>
                <w:color w:val="000000"/>
                <w:kern w:val="0"/>
                <w:sz w:val="16"/>
                <w:szCs w:val="16"/>
                <w:lang w:eastAsia="pl-PL"/>
                <w14:ligatures w14:val="none"/>
              </w:rPr>
              <w:t xml:space="preserve">, (3) biogazu z oczyszczalni ścieków, (4) innych biogazów niż wymienione w pkt 1-3,(5) hydroenergii.  </w:t>
            </w:r>
            <w:r w:rsidRPr="00D93429">
              <w:rPr>
                <w:rFonts w:eastAsia="Times New Roman" w:cs="Calibri"/>
                <w:color w:val="000000"/>
                <w:kern w:val="0"/>
                <w:sz w:val="16"/>
                <w:szCs w:val="16"/>
                <w:lang w:eastAsia="pl-PL"/>
                <w14:ligatures w14:val="none"/>
              </w:rPr>
              <w:br/>
            </w:r>
            <w:r w:rsidRPr="00D93429">
              <w:rPr>
                <w:rFonts w:eastAsia="Times New Roman" w:cs="Calibri"/>
                <w:color w:val="000000"/>
                <w:kern w:val="0"/>
                <w:sz w:val="16"/>
                <w:szCs w:val="16"/>
                <w:lang w:eastAsia="pl-PL"/>
                <w14:ligatures w14:val="none"/>
              </w:rPr>
              <w:br/>
              <w:t xml:space="preserve">Do systemu mogą przystąpić ww. instalacje OZE, o mocy do 500 kW, które uzyskają </w:t>
            </w:r>
            <w:r w:rsidRPr="00D93429">
              <w:rPr>
                <w:rFonts w:eastAsia="Times New Roman" w:cs="Calibri"/>
                <w:color w:val="000000"/>
                <w:kern w:val="0"/>
                <w:sz w:val="16"/>
                <w:szCs w:val="16"/>
                <w:lang w:eastAsia="pl-PL"/>
                <w14:ligatures w14:val="none"/>
              </w:rPr>
              <w:lastRenderedPageBreak/>
              <w:t xml:space="preserve">zaświadczenie Prezesa URE o możliwości sprzedaży niewykorzystanej energii elektrycznej i tym samym uzyskają uprawnienie do sprzedaży wytworzonej energii elektrycznej sprzedawcy zobowiązanemu po cenach wynoszących 90% ceny referencyjnej (dla instalacji o mocy 500-1 kW) lub 95% ceny referencyjnej (dla instalacji o mocy do 500 kW) obowiązującej na dzień złożenia deklaracji. Wsparcie obowiązuje przez okres 15 lat nie dłużej niż do 30.06.2047 r. </w:t>
            </w:r>
          </w:p>
          <w:p w14:paraId="35CFA702" w14:textId="77777777" w:rsidR="000172C4" w:rsidRDefault="000172C4" w:rsidP="00CF5E8B">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p>
          <w:p w14:paraId="514E2EE4" w14:textId="6959D1B9" w:rsidR="004B4E67" w:rsidRPr="00D93429" w:rsidRDefault="004B4E67" w:rsidP="00CF5E8B">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 xml:space="preserve">Decyzja notyfikacyjne KE nr SA.51852 (2018/X)                                                                                             </w:t>
            </w:r>
          </w:p>
        </w:tc>
      </w:tr>
      <w:tr w:rsidR="004B4E67" w:rsidRPr="00ED52BB" w14:paraId="244CC503" w14:textId="77777777" w:rsidTr="00300186">
        <w:trPr>
          <w:trHeight w:val="908"/>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auto"/>
            </w:tcBorders>
            <w:noWrap/>
          </w:tcPr>
          <w:p w14:paraId="57B1F234" w14:textId="1D261B05" w:rsidR="004B4E67" w:rsidRPr="002B271B" w:rsidRDefault="004B4E67" w:rsidP="002B271B">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auto"/>
            </w:tcBorders>
            <w:hideMark/>
          </w:tcPr>
          <w:p w14:paraId="60A59D44" w14:textId="77777777" w:rsidR="004B4E67" w:rsidRPr="00D93429"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Dopłaty do ceny rynkowej (</w:t>
            </w:r>
            <w:proofErr w:type="spellStart"/>
            <w:r w:rsidRPr="00D93429">
              <w:rPr>
                <w:rFonts w:eastAsia="Times New Roman" w:cs="Calibri"/>
                <w:color w:val="000000"/>
                <w:kern w:val="0"/>
                <w:sz w:val="16"/>
                <w:szCs w:val="16"/>
                <w:lang w:eastAsia="pl-PL"/>
                <w14:ligatures w14:val="none"/>
              </w:rPr>
              <w:t>FiP</w:t>
            </w:r>
            <w:proofErr w:type="spellEnd"/>
            <w:r w:rsidRPr="00D93429">
              <w:rPr>
                <w:rFonts w:eastAsia="Times New Roman" w:cs="Calibri"/>
                <w:color w:val="000000"/>
                <w:kern w:val="0"/>
                <w:sz w:val="16"/>
                <w:szCs w:val="16"/>
                <w:lang w:eastAsia="pl-PL"/>
                <w14:ligatures w14:val="none"/>
              </w:rPr>
              <w:t>)</w:t>
            </w:r>
          </w:p>
        </w:tc>
        <w:tc>
          <w:tcPr>
            <w:tcW w:w="1559" w:type="dxa"/>
            <w:tcBorders>
              <w:top w:val="single" w:sz="4" w:space="0" w:color="auto"/>
            </w:tcBorders>
            <w:hideMark/>
          </w:tcPr>
          <w:p w14:paraId="4C8F1484" w14:textId="77777777" w:rsidR="004B4E67" w:rsidRPr="00D93429"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Elektroenergetyka</w:t>
            </w:r>
          </w:p>
        </w:tc>
        <w:tc>
          <w:tcPr>
            <w:tcW w:w="1701" w:type="dxa"/>
            <w:tcBorders>
              <w:top w:val="single" w:sz="4" w:space="0" w:color="auto"/>
            </w:tcBorders>
            <w:hideMark/>
          </w:tcPr>
          <w:p w14:paraId="610850AB" w14:textId="77777777" w:rsidR="00067541" w:rsidRDefault="00067541" w:rsidP="0006754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 xml:space="preserve">Zgodnie </w:t>
            </w:r>
            <w:r>
              <w:rPr>
                <w:rFonts w:eastAsia="Times New Roman" w:cs="Calibri"/>
                <w:color w:val="000000"/>
                <w:kern w:val="0"/>
                <w:sz w:val="16"/>
                <w:szCs w:val="16"/>
                <w:lang w:eastAsia="pl-PL"/>
                <w14:ligatures w14:val="none"/>
              </w:rPr>
              <w:t xml:space="preserve">ze zgłoszeniem </w:t>
            </w:r>
            <w:r w:rsidRPr="00D93429">
              <w:rPr>
                <w:rFonts w:eastAsia="Times New Roman" w:cs="Calibri"/>
                <w:color w:val="000000"/>
                <w:kern w:val="0"/>
                <w:sz w:val="16"/>
                <w:szCs w:val="16"/>
                <w:lang w:eastAsia="pl-PL"/>
                <w14:ligatures w14:val="none"/>
              </w:rPr>
              <w:t xml:space="preserve"> systemu taryfy </w:t>
            </w:r>
            <w:proofErr w:type="spellStart"/>
            <w:r w:rsidRPr="00D93429">
              <w:rPr>
                <w:rFonts w:eastAsia="Times New Roman" w:cs="Calibri"/>
                <w:color w:val="000000"/>
                <w:kern w:val="0"/>
                <w:sz w:val="16"/>
                <w:szCs w:val="16"/>
                <w:lang w:eastAsia="pl-PL"/>
                <w14:ligatures w14:val="none"/>
              </w:rPr>
              <w:t>FiT</w:t>
            </w:r>
            <w:proofErr w:type="spellEnd"/>
            <w:r w:rsidRPr="00D93429">
              <w:rPr>
                <w:rFonts w:eastAsia="Times New Roman" w:cs="Calibri"/>
                <w:color w:val="000000"/>
                <w:kern w:val="0"/>
                <w:sz w:val="16"/>
                <w:szCs w:val="16"/>
                <w:lang w:eastAsia="pl-PL"/>
                <w14:ligatures w14:val="none"/>
              </w:rPr>
              <w:t xml:space="preserve"> i</w:t>
            </w:r>
            <w:r>
              <w:rPr>
                <w:rFonts w:eastAsia="Times New Roman" w:cs="Calibri"/>
                <w:color w:val="000000"/>
                <w:kern w:val="0"/>
                <w:sz w:val="16"/>
                <w:szCs w:val="16"/>
                <w:lang w:eastAsia="pl-PL"/>
                <w14:ligatures w14:val="none"/>
              </w:rPr>
              <w:t> </w:t>
            </w:r>
            <w:proofErr w:type="spellStart"/>
            <w:r w:rsidRPr="00D93429">
              <w:rPr>
                <w:rFonts w:eastAsia="Times New Roman" w:cs="Calibri"/>
                <w:color w:val="000000"/>
                <w:kern w:val="0"/>
                <w:sz w:val="16"/>
                <w:szCs w:val="16"/>
                <w:lang w:eastAsia="pl-PL"/>
                <w14:ligatures w14:val="none"/>
              </w:rPr>
              <w:t>FiP</w:t>
            </w:r>
            <w:proofErr w:type="spellEnd"/>
            <w:r w:rsidRPr="00D93429">
              <w:rPr>
                <w:rFonts w:eastAsia="Times New Roman" w:cs="Calibri"/>
                <w:color w:val="000000"/>
                <w:kern w:val="0"/>
                <w:sz w:val="16"/>
                <w:szCs w:val="16"/>
                <w:lang w:eastAsia="pl-PL"/>
                <w14:ligatures w14:val="none"/>
              </w:rPr>
              <w:t xml:space="preserve"> </w:t>
            </w:r>
            <w:r>
              <w:rPr>
                <w:rFonts w:eastAsia="Times New Roman" w:cs="Calibri"/>
                <w:color w:val="000000"/>
                <w:kern w:val="0"/>
                <w:sz w:val="16"/>
                <w:szCs w:val="16"/>
                <w:lang w:eastAsia="pl-PL"/>
                <w14:ligatures w14:val="none"/>
              </w:rPr>
              <w:t>do KE –</w:t>
            </w:r>
            <w:r w:rsidRPr="00D93429">
              <w:rPr>
                <w:rFonts w:eastAsia="Times New Roman" w:cs="Calibri"/>
                <w:color w:val="000000"/>
                <w:kern w:val="0"/>
                <w:sz w:val="16"/>
                <w:szCs w:val="16"/>
                <w:lang w:eastAsia="pl-PL"/>
                <w14:ligatures w14:val="none"/>
              </w:rPr>
              <w:t xml:space="preserve"> </w:t>
            </w:r>
            <w:r>
              <w:rPr>
                <w:rFonts w:eastAsia="Times New Roman" w:cs="Calibri"/>
                <w:color w:val="000000"/>
                <w:kern w:val="0"/>
                <w:sz w:val="16"/>
                <w:szCs w:val="16"/>
                <w:lang w:eastAsia="pl-PL"/>
                <w14:ligatures w14:val="none"/>
              </w:rPr>
              <w:t xml:space="preserve">652,2 mln zł rocznie </w:t>
            </w:r>
          </w:p>
          <w:p w14:paraId="2812EB7D" w14:textId="6244AD71" w:rsidR="004B4E67" w:rsidRPr="00D93429" w:rsidRDefault="00067541" w:rsidP="0006754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xml:space="preserve">(do 2023 r. było </w:t>
            </w:r>
            <w:r w:rsidRPr="00D93429">
              <w:rPr>
                <w:rFonts w:eastAsia="Times New Roman" w:cs="Calibri"/>
                <w:color w:val="000000"/>
                <w:kern w:val="0"/>
                <w:sz w:val="16"/>
                <w:szCs w:val="16"/>
                <w:lang w:eastAsia="pl-PL"/>
                <w14:ligatures w14:val="none"/>
              </w:rPr>
              <w:t xml:space="preserve">622,2 mln </w:t>
            </w:r>
            <w:r>
              <w:rPr>
                <w:rFonts w:eastAsia="Times New Roman" w:cs="Calibri"/>
                <w:color w:val="000000"/>
                <w:kern w:val="0"/>
                <w:sz w:val="16"/>
                <w:szCs w:val="16"/>
                <w:lang w:eastAsia="pl-PL"/>
                <w14:ligatures w14:val="none"/>
              </w:rPr>
              <w:t>zł rocznie)</w:t>
            </w:r>
          </w:p>
        </w:tc>
        <w:tc>
          <w:tcPr>
            <w:tcW w:w="1559" w:type="dxa"/>
            <w:tcBorders>
              <w:top w:val="single" w:sz="4" w:space="0" w:color="auto"/>
            </w:tcBorders>
            <w:hideMark/>
          </w:tcPr>
          <w:p w14:paraId="78E0E496" w14:textId="28C26D3B" w:rsidR="004B4E67" w:rsidRPr="00D93429"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od 2018</w:t>
            </w:r>
            <w:r w:rsidR="00C741A8">
              <w:rPr>
                <w:rFonts w:eastAsia="Times New Roman" w:cs="Calibri"/>
                <w:color w:val="000000"/>
                <w:kern w:val="0"/>
                <w:sz w:val="16"/>
                <w:szCs w:val="16"/>
                <w:lang w:eastAsia="pl-PL"/>
                <w14:ligatures w14:val="none"/>
              </w:rPr>
              <w:t xml:space="preserve"> – </w:t>
            </w:r>
            <w:r w:rsidRPr="00D93429">
              <w:rPr>
                <w:rFonts w:eastAsia="Times New Roman" w:cs="Calibri"/>
                <w:color w:val="000000"/>
                <w:kern w:val="0"/>
                <w:sz w:val="16"/>
                <w:szCs w:val="16"/>
                <w:lang w:eastAsia="pl-PL"/>
                <w14:ligatures w14:val="none"/>
              </w:rPr>
              <w:t>30.06.2047 r.</w:t>
            </w:r>
          </w:p>
        </w:tc>
        <w:tc>
          <w:tcPr>
            <w:tcW w:w="1281" w:type="dxa"/>
            <w:tcBorders>
              <w:top w:val="single" w:sz="4" w:space="0" w:color="auto"/>
            </w:tcBorders>
            <w:hideMark/>
          </w:tcPr>
          <w:p w14:paraId="66AE47F3" w14:textId="03D3057C" w:rsidR="004B4E67" w:rsidRPr="00D93429"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Zarządca Rozliczeń S.A.</w:t>
            </w:r>
            <w:r w:rsidR="00C741A8">
              <w:rPr>
                <w:rFonts w:eastAsia="Times New Roman" w:cs="Calibri"/>
                <w:color w:val="000000"/>
                <w:kern w:val="0"/>
                <w:sz w:val="16"/>
                <w:szCs w:val="16"/>
                <w:lang w:eastAsia="pl-PL"/>
                <w14:ligatures w14:val="none"/>
              </w:rPr>
              <w:t xml:space="preserve"> – </w:t>
            </w:r>
            <w:r w:rsidRPr="00D93429">
              <w:rPr>
                <w:rFonts w:eastAsia="Times New Roman" w:cs="Calibri"/>
                <w:color w:val="000000"/>
                <w:kern w:val="0"/>
                <w:sz w:val="16"/>
                <w:szCs w:val="16"/>
                <w:lang w:eastAsia="pl-PL"/>
                <w14:ligatures w14:val="none"/>
              </w:rPr>
              <w:t>(finansowanie z opłaty OZE)</w:t>
            </w:r>
          </w:p>
        </w:tc>
        <w:tc>
          <w:tcPr>
            <w:tcW w:w="1186" w:type="dxa"/>
            <w:tcBorders>
              <w:top w:val="single" w:sz="4" w:space="0" w:color="auto"/>
            </w:tcBorders>
            <w:hideMark/>
          </w:tcPr>
          <w:p w14:paraId="470B200D" w14:textId="77777777" w:rsidR="004B4E67" w:rsidRPr="00D93429"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Operacyjne</w:t>
            </w:r>
          </w:p>
        </w:tc>
        <w:tc>
          <w:tcPr>
            <w:tcW w:w="1413" w:type="dxa"/>
            <w:tcBorders>
              <w:top w:val="single" w:sz="4" w:space="0" w:color="auto"/>
            </w:tcBorders>
            <w:hideMark/>
          </w:tcPr>
          <w:p w14:paraId="10D96659" w14:textId="77777777" w:rsidR="004B4E67" w:rsidRPr="00D93429"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Ministerstwo Klimatu i Środowiska</w:t>
            </w:r>
          </w:p>
        </w:tc>
        <w:tc>
          <w:tcPr>
            <w:tcW w:w="3548" w:type="dxa"/>
            <w:tcBorders>
              <w:top w:val="single" w:sz="4" w:space="0" w:color="auto"/>
            </w:tcBorders>
            <w:hideMark/>
          </w:tcPr>
          <w:p w14:paraId="7F380CB7" w14:textId="77777777" w:rsidR="004B4E67" w:rsidRPr="00D93429" w:rsidRDefault="004B4E67" w:rsidP="00CF5E8B">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 xml:space="preserve">Małe instalacje OZE objęte są systemem dopłat do ceny rynkowej. Przeznaczony jest dla wytwórców energii elektrycznej z:(1) biogazu rolniczego, (2) biogazu </w:t>
            </w:r>
            <w:proofErr w:type="spellStart"/>
            <w:r w:rsidRPr="00D93429">
              <w:rPr>
                <w:rFonts w:eastAsia="Times New Roman" w:cs="Calibri"/>
                <w:color w:val="000000"/>
                <w:kern w:val="0"/>
                <w:sz w:val="16"/>
                <w:szCs w:val="16"/>
                <w:lang w:eastAsia="pl-PL"/>
                <w14:ligatures w14:val="none"/>
              </w:rPr>
              <w:t>składowiskowego</w:t>
            </w:r>
            <w:proofErr w:type="spellEnd"/>
            <w:r w:rsidRPr="00D93429">
              <w:rPr>
                <w:rFonts w:eastAsia="Times New Roman" w:cs="Calibri"/>
                <w:color w:val="000000"/>
                <w:kern w:val="0"/>
                <w:sz w:val="16"/>
                <w:szCs w:val="16"/>
                <w:lang w:eastAsia="pl-PL"/>
                <w14:ligatures w14:val="none"/>
              </w:rPr>
              <w:t xml:space="preserve">, (3) biogazu z oczyszczalni ścieków, (4) innych biogazów niż wymienione w pkt 1-3,(5) hydroenergii.     </w:t>
            </w:r>
            <w:r w:rsidRPr="00D93429">
              <w:rPr>
                <w:rFonts w:eastAsia="Times New Roman" w:cs="Calibri"/>
                <w:color w:val="000000"/>
                <w:kern w:val="0"/>
                <w:sz w:val="16"/>
                <w:szCs w:val="16"/>
                <w:lang w:eastAsia="pl-PL"/>
                <w14:ligatures w14:val="none"/>
              </w:rPr>
              <w:br/>
            </w:r>
            <w:r w:rsidRPr="00D93429">
              <w:rPr>
                <w:rFonts w:eastAsia="Times New Roman" w:cs="Calibri"/>
                <w:color w:val="000000"/>
                <w:kern w:val="0"/>
                <w:sz w:val="16"/>
                <w:szCs w:val="16"/>
                <w:lang w:eastAsia="pl-PL"/>
                <w14:ligatures w14:val="none"/>
              </w:rPr>
              <w:br/>
              <w:t xml:space="preserve">Z systemu dopłaty do ceny rynkowej  skorzystać mogą instalacje o łącznej mocy zainstalowanej elektrycznej powyżej 500 kW, które uzyskają zaświadczenie od Prezesa URE o możliwości sprzedaży niewykorzystanej energii elektrycznej i tym samym uzyskają uprawnienie do sprzedaży wytworzonej energii elektrycznej dowolnemu sprzedawcy. W ramach tego systemu wytwórcy mogą uzyskać prawo do pokrycia 90% ujemnego salda, czyli różnicy między ceną referencyjną a średnimi cenami energii elektrycznej na rynku. Wsparcie obowiązuje przez okres 15 lat nie dłużej niż do 30.06.2047 r.  </w:t>
            </w:r>
            <w:r w:rsidRPr="00D93429">
              <w:rPr>
                <w:rFonts w:eastAsia="Times New Roman" w:cs="Calibri"/>
                <w:color w:val="000000"/>
                <w:kern w:val="0"/>
                <w:sz w:val="16"/>
                <w:szCs w:val="16"/>
                <w:lang w:eastAsia="pl-PL"/>
                <w14:ligatures w14:val="none"/>
              </w:rPr>
              <w:br/>
            </w:r>
            <w:r w:rsidRPr="00D93429">
              <w:rPr>
                <w:rFonts w:eastAsia="Times New Roman" w:cs="Calibri"/>
                <w:color w:val="000000"/>
                <w:kern w:val="0"/>
                <w:sz w:val="16"/>
                <w:szCs w:val="16"/>
                <w:lang w:eastAsia="pl-PL"/>
                <w14:ligatures w14:val="none"/>
              </w:rPr>
              <w:br/>
              <w:t xml:space="preserve">Decyzja notyfikacyjne KE nr SA.51852 (2018/X)                                                                                </w:t>
            </w:r>
          </w:p>
        </w:tc>
      </w:tr>
      <w:tr w:rsidR="00801275" w:rsidRPr="00ED52BB" w14:paraId="2A6B4757" w14:textId="77777777" w:rsidTr="00300186">
        <w:trPr>
          <w:cnfStyle w:val="000000100000" w:firstRow="0" w:lastRow="0" w:firstColumn="0" w:lastColumn="0" w:oddVBand="0" w:evenVBand="0" w:oddHBand="1" w:evenHBand="0" w:firstRowFirstColumn="0" w:firstRowLastColumn="0" w:lastRowFirstColumn="0" w:lastRowLastColumn="0"/>
          <w:trHeight w:val="2544"/>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302ED9BC" w14:textId="59E74357" w:rsidR="004B4E67" w:rsidRPr="002B271B" w:rsidRDefault="004B4E67" w:rsidP="002B271B">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1063CC61" w14:textId="1C4A56A1" w:rsidR="004B4E67" w:rsidRPr="00D93429"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 xml:space="preserve">System </w:t>
            </w:r>
            <w:r w:rsidR="00D069FA">
              <w:rPr>
                <w:rFonts w:eastAsia="Times New Roman" w:cs="Calibri"/>
                <w:color w:val="000000"/>
                <w:kern w:val="0"/>
                <w:sz w:val="16"/>
                <w:szCs w:val="16"/>
                <w:lang w:eastAsia="pl-PL"/>
                <w14:ligatures w14:val="none"/>
              </w:rPr>
              <w:t>ś</w:t>
            </w:r>
            <w:r w:rsidRPr="00D93429">
              <w:rPr>
                <w:rFonts w:eastAsia="Times New Roman" w:cs="Calibri"/>
                <w:color w:val="000000"/>
                <w:kern w:val="0"/>
                <w:sz w:val="16"/>
                <w:szCs w:val="16"/>
                <w:lang w:eastAsia="pl-PL"/>
                <w14:ligatures w14:val="none"/>
              </w:rPr>
              <w:t xml:space="preserve">wiadectw </w:t>
            </w:r>
            <w:r w:rsidR="00D069FA">
              <w:rPr>
                <w:rFonts w:eastAsia="Times New Roman" w:cs="Calibri"/>
                <w:color w:val="000000"/>
                <w:kern w:val="0"/>
                <w:sz w:val="16"/>
                <w:szCs w:val="16"/>
                <w:lang w:eastAsia="pl-PL"/>
                <w14:ligatures w14:val="none"/>
              </w:rPr>
              <w:t>p</w:t>
            </w:r>
            <w:r w:rsidRPr="00D93429">
              <w:rPr>
                <w:rFonts w:eastAsia="Times New Roman" w:cs="Calibri"/>
                <w:color w:val="000000"/>
                <w:kern w:val="0"/>
                <w:sz w:val="16"/>
                <w:szCs w:val="16"/>
                <w:lang w:eastAsia="pl-PL"/>
                <w14:ligatures w14:val="none"/>
              </w:rPr>
              <w:t>ochodzenia</w:t>
            </w:r>
          </w:p>
        </w:tc>
        <w:tc>
          <w:tcPr>
            <w:tcW w:w="1559" w:type="dxa"/>
            <w:tcBorders>
              <w:top w:val="single" w:sz="4" w:space="0" w:color="3A7C22" w:themeColor="accent6" w:themeShade="BF"/>
            </w:tcBorders>
            <w:hideMark/>
          </w:tcPr>
          <w:p w14:paraId="5FA458DD" w14:textId="77777777" w:rsidR="004B4E67" w:rsidRPr="00D93429"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tcBorders>
            <w:hideMark/>
          </w:tcPr>
          <w:p w14:paraId="3EF1F5E5" w14:textId="679F6985" w:rsidR="004B4E67" w:rsidRPr="00D93429"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Trudna do oszacowania ze względu na swoją konstrukcję (w oparciu o cenę wyznaczaną na zasadzie popytu i podaży). Od roku 2024 do 2031 przewiduje się od 1,5 mld</w:t>
            </w:r>
            <w:r w:rsidR="005C5D38">
              <w:rPr>
                <w:rFonts w:eastAsia="Times New Roman" w:cs="Calibri"/>
                <w:color w:val="000000"/>
                <w:kern w:val="0"/>
                <w:sz w:val="16"/>
                <w:szCs w:val="16"/>
                <w:lang w:eastAsia="pl-PL"/>
                <w14:ligatures w14:val="none"/>
              </w:rPr>
              <w:t xml:space="preserve"> zł</w:t>
            </w:r>
            <w:r w:rsidRPr="00D93429">
              <w:rPr>
                <w:rFonts w:eastAsia="Times New Roman" w:cs="Calibri"/>
                <w:color w:val="000000"/>
                <w:kern w:val="0"/>
                <w:sz w:val="16"/>
                <w:szCs w:val="16"/>
                <w:lang w:eastAsia="pl-PL"/>
                <w14:ligatures w14:val="none"/>
              </w:rPr>
              <w:t xml:space="preserve"> do ok</w:t>
            </w:r>
            <w:r w:rsidR="005C5D38">
              <w:rPr>
                <w:rFonts w:eastAsia="Times New Roman" w:cs="Calibri"/>
                <w:color w:val="000000"/>
                <w:kern w:val="0"/>
                <w:sz w:val="16"/>
                <w:szCs w:val="16"/>
                <w:lang w:eastAsia="pl-PL"/>
                <w14:ligatures w14:val="none"/>
              </w:rPr>
              <w:t>.</w:t>
            </w:r>
            <w:r w:rsidRPr="00D93429">
              <w:rPr>
                <w:rFonts w:eastAsia="Times New Roman" w:cs="Calibri"/>
                <w:color w:val="000000"/>
                <w:kern w:val="0"/>
                <w:sz w:val="16"/>
                <w:szCs w:val="16"/>
                <w:lang w:eastAsia="pl-PL"/>
                <w14:ligatures w14:val="none"/>
              </w:rPr>
              <w:t xml:space="preserve"> 20,5 mld zł w zależności od ceny i popytu.</w:t>
            </w:r>
          </w:p>
        </w:tc>
        <w:tc>
          <w:tcPr>
            <w:tcW w:w="1559" w:type="dxa"/>
            <w:tcBorders>
              <w:top w:val="single" w:sz="4" w:space="0" w:color="3A7C22" w:themeColor="accent6" w:themeShade="BF"/>
            </w:tcBorders>
            <w:hideMark/>
          </w:tcPr>
          <w:p w14:paraId="63732356" w14:textId="3C30592F" w:rsidR="004B4E67" w:rsidRPr="00D93429"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Funkcjonuje od 1</w:t>
            </w:r>
            <w:r w:rsidR="0083554F">
              <w:rPr>
                <w:rFonts w:eastAsia="Times New Roman" w:cs="Calibri"/>
                <w:color w:val="000000"/>
                <w:kern w:val="0"/>
                <w:sz w:val="16"/>
                <w:szCs w:val="16"/>
                <w:lang w:eastAsia="pl-PL"/>
                <w14:ligatures w14:val="none"/>
              </w:rPr>
              <w:t> </w:t>
            </w:r>
            <w:r w:rsidRPr="00D93429">
              <w:rPr>
                <w:rFonts w:eastAsia="Times New Roman" w:cs="Calibri"/>
                <w:color w:val="000000"/>
                <w:kern w:val="0"/>
                <w:sz w:val="16"/>
                <w:szCs w:val="16"/>
                <w:lang w:eastAsia="pl-PL"/>
                <w14:ligatures w14:val="none"/>
              </w:rPr>
              <w:t>października 2005, ostatnie instalacje weszły w 2016 i okres wsparcia dla nich zakończy się w 2031</w:t>
            </w:r>
            <w:r w:rsidR="004E603F">
              <w:rPr>
                <w:rFonts w:eastAsia="Times New Roman" w:cs="Calibri"/>
                <w:color w:val="000000"/>
                <w:kern w:val="0"/>
                <w:sz w:val="16"/>
                <w:szCs w:val="16"/>
                <w:lang w:eastAsia="pl-PL"/>
                <w14:ligatures w14:val="none"/>
              </w:rPr>
              <w:t xml:space="preserve"> (ustawa wskazuje, że </w:t>
            </w:r>
            <w:r w:rsidR="004E603F" w:rsidRPr="004E603F">
              <w:rPr>
                <w:rFonts w:eastAsia="Times New Roman" w:cs="Calibri"/>
                <w:color w:val="000000"/>
                <w:kern w:val="0"/>
                <w:sz w:val="16"/>
                <w:szCs w:val="16"/>
                <w:lang w:eastAsia="pl-PL"/>
                <w14:ligatures w14:val="none"/>
              </w:rPr>
              <w:t>nie dłużej niż do dnia 31 grudnia 2035</w:t>
            </w:r>
            <w:r w:rsidR="004E603F">
              <w:rPr>
                <w:rFonts w:eastAsia="Times New Roman" w:cs="Calibri"/>
                <w:color w:val="000000"/>
                <w:kern w:val="0"/>
                <w:sz w:val="16"/>
                <w:szCs w:val="16"/>
                <w:lang w:eastAsia="pl-PL"/>
                <w14:ligatures w14:val="none"/>
              </w:rPr>
              <w:t>)</w:t>
            </w:r>
            <w:r w:rsidR="00EB4C4F">
              <w:rPr>
                <w:rFonts w:eastAsia="Times New Roman" w:cs="Calibri"/>
                <w:color w:val="000000"/>
                <w:kern w:val="0"/>
                <w:sz w:val="16"/>
                <w:szCs w:val="16"/>
                <w:lang w:eastAsia="pl-PL"/>
                <w14:ligatures w14:val="none"/>
              </w:rPr>
              <w:t>.</w:t>
            </w:r>
          </w:p>
        </w:tc>
        <w:tc>
          <w:tcPr>
            <w:tcW w:w="1281" w:type="dxa"/>
            <w:tcBorders>
              <w:top w:val="single" w:sz="4" w:space="0" w:color="3A7C22" w:themeColor="accent6" w:themeShade="BF"/>
            </w:tcBorders>
            <w:hideMark/>
          </w:tcPr>
          <w:p w14:paraId="531F8F94" w14:textId="157E5088" w:rsidR="004B4E67" w:rsidRPr="00D93429"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 xml:space="preserve">System całkowicie niezależny od mechanizmów dofinansowań. Opiera się na zasadzie popytu oraz podaży tzw. zielonych lub błękitnych certyfikatów. Względem gwarancji pochodzenia cechę różnicującą jest , że popyt określa Minister Klimatu i Środowiska w drodze </w:t>
            </w:r>
            <w:proofErr w:type="spellStart"/>
            <w:r w:rsidRPr="00D93429">
              <w:rPr>
                <w:rFonts w:eastAsia="Times New Roman" w:cs="Calibri"/>
                <w:color w:val="000000"/>
                <w:kern w:val="0"/>
                <w:sz w:val="16"/>
                <w:szCs w:val="16"/>
                <w:lang w:eastAsia="pl-PL"/>
                <w14:ligatures w14:val="none"/>
              </w:rPr>
              <w:t>rozporządze</w:t>
            </w:r>
            <w:r w:rsidR="005D7930">
              <w:rPr>
                <w:rFonts w:eastAsia="Times New Roman" w:cs="Calibri"/>
                <w:color w:val="000000"/>
                <w:kern w:val="0"/>
                <w:sz w:val="16"/>
                <w:szCs w:val="16"/>
                <w:lang w:eastAsia="pl-PL"/>
                <w14:ligatures w14:val="none"/>
              </w:rPr>
              <w:t>-</w:t>
            </w:r>
            <w:r w:rsidRPr="00D93429">
              <w:rPr>
                <w:rFonts w:eastAsia="Times New Roman" w:cs="Calibri"/>
                <w:color w:val="000000"/>
                <w:kern w:val="0"/>
                <w:sz w:val="16"/>
                <w:szCs w:val="16"/>
                <w:lang w:eastAsia="pl-PL"/>
                <w14:ligatures w14:val="none"/>
              </w:rPr>
              <w:t>nia</w:t>
            </w:r>
            <w:proofErr w:type="spellEnd"/>
            <w:r w:rsidRPr="00D93429">
              <w:rPr>
                <w:rFonts w:eastAsia="Times New Roman" w:cs="Calibri"/>
                <w:color w:val="000000"/>
                <w:kern w:val="0"/>
                <w:sz w:val="16"/>
                <w:szCs w:val="16"/>
                <w:lang w:eastAsia="pl-PL"/>
                <w14:ligatures w14:val="none"/>
              </w:rPr>
              <w:t xml:space="preserve"> , a podaż jest ograniczona i przewidywalna, gdyż ten system wsparcia nie jest  dostępnych dla nowych instalacji.</w:t>
            </w:r>
          </w:p>
        </w:tc>
        <w:tc>
          <w:tcPr>
            <w:tcW w:w="1186" w:type="dxa"/>
            <w:tcBorders>
              <w:top w:val="single" w:sz="4" w:space="0" w:color="3A7C22" w:themeColor="accent6" w:themeShade="BF"/>
            </w:tcBorders>
            <w:hideMark/>
          </w:tcPr>
          <w:p w14:paraId="7CD40BD6" w14:textId="77777777" w:rsidR="004B4E67" w:rsidRPr="00D93429"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Operacyjne</w:t>
            </w:r>
          </w:p>
        </w:tc>
        <w:tc>
          <w:tcPr>
            <w:tcW w:w="1413" w:type="dxa"/>
            <w:tcBorders>
              <w:top w:val="single" w:sz="4" w:space="0" w:color="3A7C22" w:themeColor="accent6" w:themeShade="BF"/>
            </w:tcBorders>
            <w:hideMark/>
          </w:tcPr>
          <w:p w14:paraId="6DD7003C" w14:textId="77777777" w:rsidR="004B4E67" w:rsidRPr="00D93429"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 xml:space="preserve">Ministerstwo Klimatu i Środowiska </w:t>
            </w:r>
          </w:p>
        </w:tc>
        <w:tc>
          <w:tcPr>
            <w:tcW w:w="3548" w:type="dxa"/>
            <w:tcBorders>
              <w:top w:val="single" w:sz="4" w:space="0" w:color="3A7C22" w:themeColor="accent6" w:themeShade="BF"/>
            </w:tcBorders>
            <w:hideMark/>
          </w:tcPr>
          <w:p w14:paraId="6C30E26C" w14:textId="4BE9E048" w:rsidR="004B4E67" w:rsidRPr="00D93429" w:rsidRDefault="004B4E67" w:rsidP="00CF5E8B">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Podmioty uczestniczące w tym systemie otrzymują świadectwa pochodzenia za wytworzoną energię elektryczną z OZE. Prawa majątkowe wynikające z otrzymanych świadectw pochodzenia, tzw. zielone lub błękitne certyfikaty, mogą zostać sprzedane za pośrednictwem Towarowej Giełdy Energii i podlegają tam dalszemu obrotowi. Minister Klimatu i Środowiska jest upoważniony do zarządzania rynkiem świadectw pochodzenia poprzez ustanowienie wielkości obowiązku, o którym mowa w art. 52 ust. 1 ustawy o OZE, czyli wolumenu energii wynikającej ze świadectw pochodzenia, które przedsiębiorstwo energetyczne sprzedające energię odbiorcom końcowym zobligowane jest pozyskać i przedstawić do umorzenia Prezesowi Urzędu Regulacji Energetyki. Obowiązek ten wyrażany jest w udziale procentowym wolumenu wynikającego z umorzonych świadectw w całkowitej sprzedaży energii tego przedsiębiorstwa do odbiorców końcowych, przy uwzględnieniu wyjątków określonych w ustawie o OZE. Ustanowienie odpowiedniej wysokości ww. obowiązku powinno z jednej strony przyczynić się do minimalizacji obciążenia odbiorców końcowych kosztami wynikającymi z funkcjonowania systemu świadectw pochodzenia, a z drugiej strony zapewnić rentowność projektów partycypujących w tym systemie wsparcia poprzez zapewnienie ceny praw majątkowych wynikających ze świadectw pochodzenia na odpowiednim poziomie.</w:t>
            </w:r>
          </w:p>
        </w:tc>
      </w:tr>
      <w:tr w:rsidR="004B4E67" w:rsidRPr="00ED52BB" w14:paraId="343CE3BE" w14:textId="77777777" w:rsidTr="00300186">
        <w:trPr>
          <w:trHeight w:val="985"/>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709CA30E" w14:textId="180F471C" w:rsidR="004B4E67" w:rsidRPr="002B271B" w:rsidRDefault="004B4E67" w:rsidP="002B271B">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442830BE" w14:textId="77777777" w:rsidR="004B4E67" w:rsidRPr="00D93429"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 xml:space="preserve">System gwarancji pochodzenia </w:t>
            </w:r>
          </w:p>
        </w:tc>
        <w:tc>
          <w:tcPr>
            <w:tcW w:w="1559" w:type="dxa"/>
            <w:tcBorders>
              <w:top w:val="single" w:sz="4" w:space="0" w:color="3A7C22" w:themeColor="accent6" w:themeShade="BF"/>
            </w:tcBorders>
            <w:hideMark/>
          </w:tcPr>
          <w:p w14:paraId="54E2CF26" w14:textId="77777777" w:rsidR="004B4E67" w:rsidRPr="00D93429"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tcBorders>
            <w:hideMark/>
          </w:tcPr>
          <w:p w14:paraId="1C31D4C0" w14:textId="77777777" w:rsidR="004B4E67" w:rsidRPr="00D93429"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 xml:space="preserve">Trudna do oszacowania ze względu na swoją konstrukcję (w oparciu o cenę wyznaczaną na zasadzie popytu i podaży). </w:t>
            </w:r>
          </w:p>
        </w:tc>
        <w:tc>
          <w:tcPr>
            <w:tcW w:w="1559" w:type="dxa"/>
            <w:tcBorders>
              <w:top w:val="single" w:sz="4" w:space="0" w:color="3A7C22" w:themeColor="accent6" w:themeShade="BF"/>
            </w:tcBorders>
            <w:hideMark/>
          </w:tcPr>
          <w:p w14:paraId="3EBB8B76" w14:textId="1DA57CD9" w:rsidR="004B4E67" w:rsidRPr="00D93429"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od 2013</w:t>
            </w:r>
            <w:r w:rsidR="00C741A8">
              <w:rPr>
                <w:rFonts w:eastAsia="Times New Roman" w:cs="Calibri"/>
                <w:color w:val="000000"/>
                <w:kern w:val="0"/>
                <w:sz w:val="16"/>
                <w:szCs w:val="16"/>
                <w:lang w:eastAsia="pl-PL"/>
                <w14:ligatures w14:val="none"/>
              </w:rPr>
              <w:t xml:space="preserve"> – </w:t>
            </w:r>
            <w:r w:rsidRPr="00D93429">
              <w:rPr>
                <w:rFonts w:eastAsia="Times New Roman" w:cs="Calibri"/>
                <w:color w:val="000000"/>
                <w:kern w:val="0"/>
                <w:sz w:val="16"/>
                <w:szCs w:val="16"/>
                <w:lang w:eastAsia="pl-PL"/>
                <w14:ligatures w14:val="none"/>
              </w:rPr>
              <w:t>brak perspektywy czasowej</w:t>
            </w:r>
          </w:p>
        </w:tc>
        <w:tc>
          <w:tcPr>
            <w:tcW w:w="1281" w:type="dxa"/>
            <w:tcBorders>
              <w:top w:val="single" w:sz="4" w:space="0" w:color="3A7C22" w:themeColor="accent6" w:themeShade="BF"/>
            </w:tcBorders>
            <w:hideMark/>
          </w:tcPr>
          <w:p w14:paraId="3BE2132C" w14:textId="77777777" w:rsidR="004B4E67" w:rsidRPr="00D93429"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 xml:space="preserve">System całkowicie niezależny od mechanizmów dofinansowań. Opiera się na zasadzie popytu oraz podaży gwarancji pochodzenia w </w:t>
            </w:r>
            <w:r w:rsidRPr="00D93429">
              <w:rPr>
                <w:rFonts w:eastAsia="Times New Roman" w:cs="Calibri"/>
                <w:color w:val="000000"/>
                <w:kern w:val="0"/>
                <w:sz w:val="16"/>
                <w:szCs w:val="16"/>
                <w:lang w:eastAsia="pl-PL"/>
                <w14:ligatures w14:val="none"/>
              </w:rPr>
              <w:lastRenderedPageBreak/>
              <w:t xml:space="preserve">rejestrze gwarancji pochodzenia, który prowadzony jest przez Towarową Giełdę Energii </w:t>
            </w:r>
          </w:p>
        </w:tc>
        <w:tc>
          <w:tcPr>
            <w:tcW w:w="1186" w:type="dxa"/>
            <w:tcBorders>
              <w:top w:val="single" w:sz="4" w:space="0" w:color="3A7C22" w:themeColor="accent6" w:themeShade="BF"/>
            </w:tcBorders>
            <w:hideMark/>
          </w:tcPr>
          <w:p w14:paraId="6B0648A3" w14:textId="77777777" w:rsidR="004B4E67" w:rsidRPr="00D93429"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lastRenderedPageBreak/>
              <w:t>Operacyjne</w:t>
            </w:r>
          </w:p>
        </w:tc>
        <w:tc>
          <w:tcPr>
            <w:tcW w:w="1413" w:type="dxa"/>
            <w:tcBorders>
              <w:top w:val="single" w:sz="4" w:space="0" w:color="3A7C22" w:themeColor="accent6" w:themeShade="BF"/>
            </w:tcBorders>
            <w:hideMark/>
          </w:tcPr>
          <w:p w14:paraId="6B1D8442" w14:textId="77777777" w:rsidR="004B4E67" w:rsidRPr="00D93429"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Ministerstwo Klimatu i Środowiska</w:t>
            </w:r>
          </w:p>
        </w:tc>
        <w:tc>
          <w:tcPr>
            <w:tcW w:w="3548" w:type="dxa"/>
            <w:tcBorders>
              <w:top w:val="single" w:sz="4" w:space="0" w:color="3A7C22" w:themeColor="accent6" w:themeShade="BF"/>
            </w:tcBorders>
            <w:hideMark/>
          </w:tcPr>
          <w:p w14:paraId="6667B94E" w14:textId="79B5A4BE" w:rsidR="004B4E67" w:rsidRPr="00D93429" w:rsidRDefault="004B4E67" w:rsidP="00CF5E8B">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D93429">
              <w:rPr>
                <w:rFonts w:eastAsia="Times New Roman" w:cs="Calibri"/>
                <w:color w:val="000000"/>
                <w:kern w:val="0"/>
                <w:sz w:val="16"/>
                <w:szCs w:val="16"/>
                <w:lang w:eastAsia="pl-PL"/>
                <w14:ligatures w14:val="none"/>
              </w:rPr>
              <w:t xml:space="preserve">Gwarancja pochodzenia jest dokumentem poświadczającym odbiorcy końcowemu, że określona w tym dokumencie ilość energii elektrycznej wprowadzonej do sieci dystrybucyjnej lub sieci przesyłowej została wytworzona z OZE w instalacjach odnawialnego źródła energii. Gwarancja pochodzenia określa czy dotyczy ona energii elektrycznej, wodoru odnawialnego, </w:t>
            </w:r>
            <w:proofErr w:type="spellStart"/>
            <w:r w:rsidRPr="00D93429">
              <w:rPr>
                <w:rFonts w:eastAsia="Times New Roman" w:cs="Calibri"/>
                <w:color w:val="000000"/>
                <w:kern w:val="0"/>
                <w:sz w:val="16"/>
                <w:szCs w:val="16"/>
                <w:lang w:eastAsia="pl-PL"/>
                <w14:ligatures w14:val="none"/>
              </w:rPr>
              <w:t>biometanu</w:t>
            </w:r>
            <w:proofErr w:type="spellEnd"/>
            <w:r w:rsidRPr="00D93429">
              <w:rPr>
                <w:rFonts w:eastAsia="Times New Roman" w:cs="Calibri"/>
                <w:color w:val="000000"/>
                <w:kern w:val="0"/>
                <w:sz w:val="16"/>
                <w:szCs w:val="16"/>
                <w:lang w:eastAsia="pl-PL"/>
                <w14:ligatures w14:val="none"/>
              </w:rPr>
              <w:t xml:space="preserve">, biogazu, biogazu rolniczego lub ciepła albo chłodu wytworzonych w instalacji </w:t>
            </w:r>
            <w:r w:rsidRPr="00D93429">
              <w:rPr>
                <w:rFonts w:eastAsia="Times New Roman" w:cs="Calibri"/>
                <w:color w:val="000000"/>
                <w:kern w:val="0"/>
                <w:sz w:val="16"/>
                <w:szCs w:val="16"/>
                <w:lang w:eastAsia="pl-PL"/>
                <w14:ligatures w14:val="none"/>
              </w:rPr>
              <w:lastRenderedPageBreak/>
              <w:t>odnawialnego źródła energii.</w:t>
            </w:r>
            <w:r w:rsidRPr="00D93429">
              <w:rPr>
                <w:rFonts w:eastAsia="Times New Roman" w:cs="Calibri"/>
                <w:color w:val="000000"/>
                <w:kern w:val="0"/>
                <w:sz w:val="16"/>
                <w:szCs w:val="16"/>
                <w:lang w:eastAsia="pl-PL"/>
                <w14:ligatures w14:val="none"/>
              </w:rPr>
              <w:br/>
              <w:t>Wytwórcy mają możliwość składania wniosku o wydanie gwarancji pochodzenia za poszczególne okresy.</w:t>
            </w:r>
            <w:r>
              <w:rPr>
                <w:rFonts w:eastAsia="Times New Roman" w:cs="Calibri"/>
                <w:color w:val="000000"/>
                <w:kern w:val="0"/>
                <w:sz w:val="16"/>
                <w:szCs w:val="16"/>
                <w:lang w:eastAsia="pl-PL"/>
                <w14:ligatures w14:val="none"/>
              </w:rPr>
              <w:t xml:space="preserve"> </w:t>
            </w:r>
            <w:r w:rsidRPr="00D93429">
              <w:rPr>
                <w:rFonts w:eastAsia="Times New Roman" w:cs="Calibri"/>
                <w:color w:val="000000"/>
                <w:kern w:val="0"/>
                <w:sz w:val="16"/>
                <w:szCs w:val="16"/>
                <w:lang w:eastAsia="pl-PL"/>
                <w14:ligatures w14:val="none"/>
              </w:rPr>
              <w:t>Dokumenty te wystawiane są przez Prezesa Urzędu Regulacji Energetyki, a następnie wczytywane do systemu informatycznego TGE.</w:t>
            </w:r>
            <w:r w:rsidRPr="00D93429">
              <w:rPr>
                <w:rFonts w:eastAsia="Times New Roman" w:cs="Calibri"/>
                <w:color w:val="000000"/>
                <w:kern w:val="0"/>
                <w:sz w:val="16"/>
                <w:szCs w:val="16"/>
                <w:lang w:eastAsia="pl-PL"/>
                <w14:ligatures w14:val="none"/>
              </w:rPr>
              <w:br/>
              <w:t xml:space="preserve"> </w:t>
            </w:r>
            <w:r w:rsidRPr="00D93429">
              <w:rPr>
                <w:rFonts w:eastAsia="Times New Roman" w:cs="Calibri"/>
                <w:color w:val="000000"/>
                <w:kern w:val="0"/>
                <w:sz w:val="16"/>
                <w:szCs w:val="16"/>
                <w:lang w:eastAsia="pl-PL"/>
                <w14:ligatures w14:val="none"/>
              </w:rPr>
              <w:br/>
              <w:t>Każda gwarancja posiada indywidualny numer oraz datę ważności.</w:t>
            </w:r>
            <w:r>
              <w:rPr>
                <w:rFonts w:eastAsia="Times New Roman" w:cs="Calibri"/>
                <w:color w:val="000000"/>
                <w:kern w:val="0"/>
                <w:sz w:val="16"/>
                <w:szCs w:val="16"/>
                <w:lang w:eastAsia="pl-PL"/>
                <w14:ligatures w14:val="none"/>
              </w:rPr>
              <w:t xml:space="preserve"> </w:t>
            </w:r>
            <w:r w:rsidRPr="00D93429">
              <w:rPr>
                <w:rFonts w:eastAsia="Times New Roman" w:cs="Calibri"/>
                <w:color w:val="000000"/>
                <w:kern w:val="0"/>
                <w:sz w:val="16"/>
                <w:szCs w:val="16"/>
                <w:lang w:eastAsia="pl-PL"/>
                <w14:ligatures w14:val="none"/>
              </w:rPr>
              <w:t>Gwarancja pochodzenia zostaje umorzona w okresie 18 miesięcy od dnia zakończenia wytwarzania</w:t>
            </w:r>
            <w:r w:rsidR="00E55CB0">
              <w:rPr>
                <w:rFonts w:eastAsia="Times New Roman" w:cs="Calibri"/>
                <w:color w:val="000000"/>
                <w:kern w:val="0"/>
                <w:sz w:val="16"/>
                <w:szCs w:val="16"/>
                <w:lang w:eastAsia="pl-PL"/>
                <w14:ligatures w14:val="none"/>
              </w:rPr>
              <w:t>.</w:t>
            </w:r>
            <w:r w:rsidRPr="00D93429">
              <w:rPr>
                <w:rFonts w:eastAsia="Times New Roman" w:cs="Calibri"/>
                <w:color w:val="000000"/>
                <w:kern w:val="0"/>
                <w:sz w:val="16"/>
                <w:szCs w:val="16"/>
                <w:lang w:eastAsia="pl-PL"/>
                <w14:ligatures w14:val="none"/>
              </w:rPr>
              <w:br/>
            </w:r>
            <w:r w:rsidRPr="00D93429">
              <w:rPr>
                <w:rFonts w:eastAsia="Times New Roman" w:cs="Calibri"/>
                <w:color w:val="000000"/>
                <w:kern w:val="0"/>
                <w:sz w:val="16"/>
                <w:szCs w:val="16"/>
                <w:lang w:eastAsia="pl-PL"/>
                <w14:ligatures w14:val="none"/>
              </w:rPr>
              <w:br/>
              <w:t xml:space="preserve">Gwarancje pochodzenia są instrumentem obrotu we wszystkich Krajach Unii europejskiej oraz innych krajach Europy i świata. </w:t>
            </w:r>
            <w:r w:rsidRPr="00D93429">
              <w:rPr>
                <w:rFonts w:eastAsia="Times New Roman" w:cs="Calibri"/>
                <w:color w:val="000000"/>
                <w:kern w:val="0"/>
                <w:sz w:val="16"/>
                <w:szCs w:val="16"/>
                <w:lang w:eastAsia="pl-PL"/>
                <w14:ligatures w14:val="none"/>
              </w:rPr>
              <w:br/>
            </w:r>
            <w:r w:rsidRPr="00D93429">
              <w:rPr>
                <w:rFonts w:eastAsia="Times New Roman" w:cs="Calibri"/>
                <w:color w:val="000000"/>
                <w:kern w:val="0"/>
                <w:sz w:val="16"/>
                <w:szCs w:val="16"/>
                <w:lang w:eastAsia="pl-PL"/>
                <w14:ligatures w14:val="none"/>
              </w:rPr>
              <w:br/>
              <w:t xml:space="preserve">Sprzedaż gwarancji pochodzenia w rejestrze gwarancji pochodzenia stanowi z jednej strony źródło przychodu dla wytwórcy, a z drugiej strony pozwala na budowę pozytywnego wizerunku firmy, która wykazując zakupione i umorzone gwarancje pochodzenia może pochwalić się, że przedsiębiorstwo korzysta z energii wyprodukowanej z OZE. </w:t>
            </w:r>
            <w:r w:rsidRPr="00D93429">
              <w:rPr>
                <w:rFonts w:eastAsia="Times New Roman" w:cs="Calibri"/>
                <w:color w:val="000000"/>
                <w:kern w:val="0"/>
                <w:sz w:val="16"/>
                <w:szCs w:val="16"/>
                <w:lang w:eastAsia="pl-PL"/>
                <w14:ligatures w14:val="none"/>
              </w:rPr>
              <w:br/>
              <w:t xml:space="preserve"> </w:t>
            </w:r>
            <w:r w:rsidRPr="00D93429">
              <w:rPr>
                <w:rFonts w:eastAsia="Times New Roman" w:cs="Calibri"/>
                <w:color w:val="000000"/>
                <w:kern w:val="0"/>
                <w:sz w:val="16"/>
                <w:szCs w:val="16"/>
                <w:lang w:eastAsia="pl-PL"/>
                <w14:ligatures w14:val="none"/>
              </w:rPr>
              <w:br/>
              <w:t>Instrument finansowany przez odbiorcę końcowego jako niewykazywana część hurtowej ceny energii.</w:t>
            </w:r>
          </w:p>
        </w:tc>
      </w:tr>
      <w:tr w:rsidR="00801275" w:rsidRPr="00ED52BB" w14:paraId="5A9F164A" w14:textId="77777777" w:rsidTr="00300186">
        <w:trPr>
          <w:cnfStyle w:val="000000100000" w:firstRow="0" w:lastRow="0" w:firstColumn="0" w:lastColumn="0" w:oddVBand="0" w:evenVBand="0" w:oddHBand="1" w:evenHBand="0" w:firstRowFirstColumn="0" w:firstRowLastColumn="0" w:lastRowFirstColumn="0" w:lastRowLastColumn="0"/>
          <w:trHeight w:val="2891"/>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1EF9B3E9" w14:textId="1D27C33B" w:rsidR="004B4E67" w:rsidRPr="002B271B" w:rsidRDefault="004B4E67" w:rsidP="002B271B">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6C77BAD9"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System wsparcia umożliwiający modernizację instalacji OZE</w:t>
            </w:r>
          </w:p>
        </w:tc>
        <w:tc>
          <w:tcPr>
            <w:tcW w:w="1559" w:type="dxa"/>
            <w:tcBorders>
              <w:top w:val="single" w:sz="4" w:space="0" w:color="3A7C22" w:themeColor="accent6" w:themeShade="BF"/>
            </w:tcBorders>
            <w:hideMark/>
          </w:tcPr>
          <w:p w14:paraId="4848026E"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tcBorders>
            <w:hideMark/>
          </w:tcPr>
          <w:p w14:paraId="0D920982" w14:textId="1710F974"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Na bazie założeń zawartych w ustawie z dnia 17 sierpnia 2023 r. o zmianie ustawy o odnawialnych źródłach energii oraz niektórych innych ustaw (Dz.U. 2023 poz. 1762) koszt obsługi tego mechanizmu wsparcia wyniesie do 2045 r. 9</w:t>
            </w:r>
            <w:r w:rsidR="005C5D38">
              <w:rPr>
                <w:rFonts w:eastAsia="Times New Roman" w:cs="Calibri"/>
                <w:color w:val="000000"/>
                <w:kern w:val="0"/>
                <w:sz w:val="16"/>
                <w:szCs w:val="16"/>
                <w:lang w:eastAsia="pl-PL"/>
                <w14:ligatures w14:val="none"/>
              </w:rPr>
              <w:t>,</w:t>
            </w:r>
            <w:r w:rsidRPr="003416D6">
              <w:rPr>
                <w:rFonts w:eastAsia="Times New Roman" w:cs="Calibri"/>
                <w:color w:val="000000"/>
                <w:kern w:val="0"/>
                <w:sz w:val="16"/>
                <w:szCs w:val="16"/>
                <w:lang w:eastAsia="pl-PL"/>
                <w14:ligatures w14:val="none"/>
              </w:rPr>
              <w:t xml:space="preserve">654 </w:t>
            </w:r>
            <w:r w:rsidR="005C5D38">
              <w:rPr>
                <w:rFonts w:eastAsia="Times New Roman" w:cs="Calibri"/>
                <w:color w:val="000000"/>
                <w:kern w:val="0"/>
                <w:sz w:val="16"/>
                <w:szCs w:val="16"/>
                <w:lang w:eastAsia="pl-PL"/>
                <w14:ligatures w14:val="none"/>
              </w:rPr>
              <w:t>mld</w:t>
            </w:r>
            <w:r w:rsidRPr="003416D6">
              <w:rPr>
                <w:rFonts w:eastAsia="Times New Roman" w:cs="Calibri"/>
                <w:color w:val="000000"/>
                <w:kern w:val="0"/>
                <w:sz w:val="16"/>
                <w:szCs w:val="16"/>
                <w:lang w:eastAsia="pl-PL"/>
                <w14:ligatures w14:val="none"/>
              </w:rPr>
              <w:t xml:space="preserve"> zł. </w:t>
            </w:r>
          </w:p>
        </w:tc>
        <w:tc>
          <w:tcPr>
            <w:tcW w:w="1559" w:type="dxa"/>
            <w:tcBorders>
              <w:top w:val="single" w:sz="4" w:space="0" w:color="3A7C22" w:themeColor="accent6" w:themeShade="BF"/>
            </w:tcBorders>
            <w:hideMark/>
          </w:tcPr>
          <w:p w14:paraId="36838802" w14:textId="7A6E7549"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od 1 lipca 2025 do 31 grudnia 2045 </w:t>
            </w:r>
          </w:p>
        </w:tc>
        <w:tc>
          <w:tcPr>
            <w:tcW w:w="1281" w:type="dxa"/>
            <w:tcBorders>
              <w:top w:val="single" w:sz="4" w:space="0" w:color="3A7C22" w:themeColor="accent6" w:themeShade="BF"/>
            </w:tcBorders>
            <w:hideMark/>
          </w:tcPr>
          <w:p w14:paraId="6F058F03" w14:textId="2CF946B4"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Zarządca Rozliczeń S.A.</w:t>
            </w:r>
            <w:r w:rsidR="00C741A8">
              <w:rPr>
                <w:rFonts w:eastAsia="Times New Roman" w:cs="Calibri"/>
                <w:color w:val="000000"/>
                <w:kern w:val="0"/>
                <w:sz w:val="16"/>
                <w:szCs w:val="16"/>
                <w:lang w:eastAsia="pl-PL"/>
                <w14:ligatures w14:val="none"/>
              </w:rPr>
              <w:t xml:space="preserve"> – </w:t>
            </w:r>
            <w:r w:rsidRPr="003416D6">
              <w:rPr>
                <w:rFonts w:eastAsia="Times New Roman" w:cs="Calibri"/>
                <w:color w:val="000000"/>
                <w:kern w:val="0"/>
                <w:sz w:val="16"/>
                <w:szCs w:val="16"/>
                <w:lang w:eastAsia="pl-PL"/>
                <w14:ligatures w14:val="none"/>
              </w:rPr>
              <w:t>(finansowanie z opłaty OZE)</w:t>
            </w:r>
          </w:p>
        </w:tc>
        <w:tc>
          <w:tcPr>
            <w:tcW w:w="1186" w:type="dxa"/>
            <w:tcBorders>
              <w:top w:val="single" w:sz="4" w:space="0" w:color="3A7C22" w:themeColor="accent6" w:themeShade="BF"/>
            </w:tcBorders>
            <w:hideMark/>
          </w:tcPr>
          <w:p w14:paraId="434C6192"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Operacyjne</w:t>
            </w:r>
          </w:p>
        </w:tc>
        <w:tc>
          <w:tcPr>
            <w:tcW w:w="1413" w:type="dxa"/>
            <w:tcBorders>
              <w:top w:val="single" w:sz="4" w:space="0" w:color="3A7C22" w:themeColor="accent6" w:themeShade="BF"/>
            </w:tcBorders>
            <w:hideMark/>
          </w:tcPr>
          <w:p w14:paraId="64480510"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Ministerstwo Klimatu i Środowiska </w:t>
            </w:r>
          </w:p>
        </w:tc>
        <w:tc>
          <w:tcPr>
            <w:tcW w:w="3548" w:type="dxa"/>
            <w:tcBorders>
              <w:top w:val="single" w:sz="4" w:space="0" w:color="3A7C22" w:themeColor="accent6" w:themeShade="BF"/>
            </w:tcBorders>
            <w:hideMark/>
          </w:tcPr>
          <w:p w14:paraId="39F72DA6" w14:textId="6AFAF626" w:rsidR="004B4E67" w:rsidRPr="003416D6" w:rsidRDefault="004B4E67" w:rsidP="00CF5E8B">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System wsparcia modernizacji ma zastosowanie do instalacji OZE, których wiek przekracza 15 lat. Dla uproszczenia identyfikacji uprawnionych instalacji wsparcie jest adresowane do instalacji OZE po zakończeniu pierwotnego 15-letniego okresu wsparcia (w systemie świadectw pochodzenia lub aukcyjnym lub </w:t>
            </w:r>
            <w:proofErr w:type="spellStart"/>
            <w:r w:rsidRPr="003416D6">
              <w:rPr>
                <w:rFonts w:eastAsia="Times New Roman" w:cs="Calibri"/>
                <w:color w:val="000000"/>
                <w:kern w:val="0"/>
                <w:sz w:val="16"/>
                <w:szCs w:val="16"/>
                <w:lang w:eastAsia="pl-PL"/>
                <w14:ligatures w14:val="none"/>
              </w:rPr>
              <w:t>FiT</w:t>
            </w:r>
            <w:proofErr w:type="spellEnd"/>
            <w:r w:rsidRPr="003416D6">
              <w:rPr>
                <w:rFonts w:eastAsia="Times New Roman" w:cs="Calibri"/>
                <w:color w:val="000000"/>
                <w:kern w:val="0"/>
                <w:sz w:val="16"/>
                <w:szCs w:val="16"/>
                <w:lang w:eastAsia="pl-PL"/>
                <w14:ligatures w14:val="none"/>
              </w:rPr>
              <w:t>/</w:t>
            </w:r>
            <w:proofErr w:type="spellStart"/>
            <w:r w:rsidRPr="003416D6">
              <w:rPr>
                <w:rFonts w:eastAsia="Times New Roman" w:cs="Calibri"/>
                <w:color w:val="000000"/>
                <w:kern w:val="0"/>
                <w:sz w:val="16"/>
                <w:szCs w:val="16"/>
                <w:lang w:eastAsia="pl-PL"/>
                <w14:ligatures w14:val="none"/>
              </w:rPr>
              <w:t>FiP</w:t>
            </w:r>
            <w:proofErr w:type="spellEnd"/>
            <w:r w:rsidRPr="003416D6">
              <w:rPr>
                <w:rFonts w:eastAsia="Times New Roman" w:cs="Calibri"/>
                <w:color w:val="000000"/>
                <w:kern w:val="0"/>
                <w:sz w:val="16"/>
                <w:szCs w:val="16"/>
                <w:lang w:eastAsia="pl-PL"/>
                <w14:ligatures w14:val="none"/>
              </w:rPr>
              <w:t xml:space="preserve">). </w:t>
            </w:r>
            <w:r w:rsidRPr="003416D6">
              <w:rPr>
                <w:rFonts w:eastAsia="Times New Roman" w:cs="Calibri"/>
                <w:color w:val="000000"/>
                <w:kern w:val="0"/>
                <w:sz w:val="16"/>
                <w:szCs w:val="16"/>
                <w:lang w:eastAsia="pl-PL"/>
                <w14:ligatures w14:val="none"/>
              </w:rPr>
              <w:br/>
              <w:t>Wsparcie dotyczy kosztów modernizacji nie mniejszych niż 25% nakładów na nową referencyjną instalację OZE, w celu wyeliminowania wspierania napraw i usprawnień o mniejszej wartości, które powinny być finansowane z przychodów z działalności instalacji, bądź wsparcia operacyjnego.</w:t>
            </w:r>
            <w:r w:rsidRPr="003416D6">
              <w:rPr>
                <w:rFonts w:eastAsia="Times New Roman" w:cs="Calibri"/>
                <w:color w:val="000000"/>
                <w:kern w:val="0"/>
                <w:sz w:val="16"/>
                <w:szCs w:val="16"/>
                <w:lang w:eastAsia="pl-PL"/>
                <w14:ligatures w14:val="none"/>
              </w:rPr>
              <w:br/>
              <w:t xml:space="preserve">Zakłada się, że wsparcie udzielone instalacjom </w:t>
            </w:r>
            <w:r w:rsidRPr="003416D6">
              <w:rPr>
                <w:rFonts w:eastAsia="Times New Roman" w:cs="Calibri"/>
                <w:color w:val="000000"/>
                <w:kern w:val="0"/>
                <w:sz w:val="16"/>
                <w:szCs w:val="16"/>
                <w:lang w:eastAsia="pl-PL"/>
                <w14:ligatures w14:val="none"/>
              </w:rPr>
              <w:lastRenderedPageBreak/>
              <w:t>zmodernizowanym wyniesie maksymalnie 15 lat.</w:t>
            </w:r>
            <w:r w:rsidRPr="003416D6">
              <w:rPr>
                <w:rFonts w:eastAsia="Times New Roman" w:cs="Calibri"/>
                <w:color w:val="000000"/>
                <w:kern w:val="0"/>
                <w:sz w:val="16"/>
                <w:szCs w:val="16"/>
                <w:lang w:eastAsia="pl-PL"/>
                <w14:ligatures w14:val="none"/>
              </w:rPr>
              <w:br/>
              <w:t>System przeznaczony jest dla instalacji OZE wykorzystujących biogaz w różnej formie, hydroenergię, biomasę w dedykowanych instalacjach spalania biomasy oraz układach hybrydowych, dedykowanych instalacjach spalania wielopaliwowego oraz w instalacjach termicznego przekształcania odpadów w przypadku instalacji o mocy większej niż 1 MW. W zależności od mocy zainstalowanej wsparcie będzie udzielane w formie:</w:t>
            </w:r>
            <w:r w:rsidRPr="003416D6">
              <w:rPr>
                <w:rFonts w:eastAsia="Times New Roman" w:cs="Calibri"/>
                <w:color w:val="000000"/>
                <w:kern w:val="0"/>
                <w:sz w:val="16"/>
                <w:szCs w:val="16"/>
                <w:lang w:eastAsia="pl-PL"/>
                <w14:ligatures w14:val="none"/>
              </w:rPr>
              <w:br/>
              <w:t>a) taryfy gwarantowanej w ramach istniejącego systemu FIT (o mocy mniejszej niż 500 kW),</w:t>
            </w:r>
            <w:r w:rsidRPr="003416D6">
              <w:rPr>
                <w:rFonts w:eastAsia="Times New Roman" w:cs="Calibri"/>
                <w:color w:val="000000"/>
                <w:kern w:val="0"/>
                <w:sz w:val="16"/>
                <w:szCs w:val="16"/>
                <w:lang w:eastAsia="pl-PL"/>
                <w14:ligatures w14:val="none"/>
              </w:rPr>
              <w:br/>
              <w:t>b) dopłat do rynkowej ceny energii elektrycznej, w ramach istniejącego systemu FIP (o mocy nie mniejszej niż 500 kW i nie większej niż 1 MW),</w:t>
            </w:r>
            <w:r w:rsidRPr="003416D6">
              <w:rPr>
                <w:rFonts w:eastAsia="Times New Roman" w:cs="Calibri"/>
                <w:color w:val="000000"/>
                <w:kern w:val="0"/>
                <w:sz w:val="16"/>
                <w:szCs w:val="16"/>
                <w:lang w:eastAsia="pl-PL"/>
                <w14:ligatures w14:val="none"/>
              </w:rPr>
              <w:br/>
              <w:t>c) systemu aukcyjnego (dla większych instalacji OZE).</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Instrument finansowany z opłaty OZE będącej składową rachunku za energię elektryczną.</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 xml:space="preserve">System wymagający notyfikacji Komisji </w:t>
            </w:r>
            <w:r w:rsidR="008707C0">
              <w:rPr>
                <w:rFonts w:eastAsia="Times New Roman" w:cs="Calibri"/>
                <w:color w:val="000000"/>
                <w:kern w:val="0"/>
                <w:sz w:val="16"/>
                <w:szCs w:val="16"/>
                <w:lang w:eastAsia="pl-PL"/>
                <w14:ligatures w14:val="none"/>
              </w:rPr>
              <w:t>E</w:t>
            </w:r>
            <w:r w:rsidRPr="003416D6">
              <w:rPr>
                <w:rFonts w:eastAsia="Times New Roman" w:cs="Calibri"/>
                <w:color w:val="000000"/>
                <w:kern w:val="0"/>
                <w:sz w:val="16"/>
                <w:szCs w:val="16"/>
                <w:lang w:eastAsia="pl-PL"/>
                <w14:ligatures w14:val="none"/>
              </w:rPr>
              <w:t>uropejskiej i przez to  zawieszony do czasu uzyskania jej pozytywnej decyzji.</w:t>
            </w:r>
          </w:p>
        </w:tc>
      </w:tr>
      <w:tr w:rsidR="004B4E67" w:rsidRPr="00ED52BB" w14:paraId="0ED9212E" w14:textId="77777777" w:rsidTr="00300186">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2426FEAF" w14:textId="197981E8" w:rsidR="004B4E67" w:rsidRPr="002B271B" w:rsidRDefault="004B4E67" w:rsidP="002B271B">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07054556" w14:textId="77777777" w:rsidR="004B4E67" w:rsidRPr="003416D6"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Systemy wsparcia operacyjnego umożliwiającego pokrycie uzasadnionych kosztów operacyjnych dla instalacji OZE po zakończeniu dotychczasowego okresu wsparcia</w:t>
            </w:r>
          </w:p>
        </w:tc>
        <w:tc>
          <w:tcPr>
            <w:tcW w:w="1559" w:type="dxa"/>
            <w:tcBorders>
              <w:top w:val="single" w:sz="4" w:space="0" w:color="3A7C22" w:themeColor="accent6" w:themeShade="BF"/>
              <w:bottom w:val="single" w:sz="4" w:space="0" w:color="3A7C22" w:themeColor="accent6" w:themeShade="BF"/>
            </w:tcBorders>
            <w:hideMark/>
          </w:tcPr>
          <w:p w14:paraId="7041ABD6" w14:textId="77777777" w:rsidR="004B4E67" w:rsidRPr="003416D6"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bottom w:val="single" w:sz="4" w:space="0" w:color="3A7C22" w:themeColor="accent6" w:themeShade="BF"/>
            </w:tcBorders>
            <w:hideMark/>
          </w:tcPr>
          <w:p w14:paraId="226A2868" w14:textId="2F1C47C9" w:rsidR="004B4E67" w:rsidRPr="003416D6"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Na bazie założeń zawartych w ustawie z dnia 17 sierpnia 2023 r. o zmianie ustawy o odnawialnych źródłach energii oraz niektórych innych ustaw (Dz.U. 2023 poz. 1762) koszt obsługi tego mechanizmu wsparcia wyniesie do 2040 r. 1</w:t>
            </w:r>
            <w:r w:rsidR="005C5D38">
              <w:rPr>
                <w:rFonts w:eastAsia="Times New Roman" w:cs="Calibri"/>
                <w:color w:val="000000"/>
                <w:kern w:val="0"/>
                <w:sz w:val="16"/>
                <w:szCs w:val="16"/>
                <w:lang w:eastAsia="pl-PL"/>
                <w14:ligatures w14:val="none"/>
              </w:rPr>
              <w:t>,</w:t>
            </w:r>
            <w:r w:rsidRPr="003416D6">
              <w:rPr>
                <w:rFonts w:eastAsia="Times New Roman" w:cs="Calibri"/>
                <w:color w:val="000000"/>
                <w:kern w:val="0"/>
                <w:sz w:val="16"/>
                <w:szCs w:val="16"/>
                <w:lang w:eastAsia="pl-PL"/>
                <w14:ligatures w14:val="none"/>
              </w:rPr>
              <w:t>61</w:t>
            </w:r>
            <w:r w:rsidR="005C5D38">
              <w:rPr>
                <w:rFonts w:eastAsia="Times New Roman" w:cs="Calibri"/>
                <w:color w:val="000000"/>
                <w:kern w:val="0"/>
                <w:sz w:val="16"/>
                <w:szCs w:val="16"/>
                <w:lang w:eastAsia="pl-PL"/>
                <w14:ligatures w14:val="none"/>
              </w:rPr>
              <w:t>8</w:t>
            </w:r>
            <w:r w:rsidRPr="003416D6">
              <w:rPr>
                <w:rFonts w:eastAsia="Times New Roman" w:cs="Calibri"/>
                <w:color w:val="000000"/>
                <w:kern w:val="0"/>
                <w:sz w:val="16"/>
                <w:szCs w:val="16"/>
                <w:lang w:eastAsia="pl-PL"/>
                <w14:ligatures w14:val="none"/>
              </w:rPr>
              <w:t xml:space="preserve"> </w:t>
            </w:r>
            <w:r w:rsidR="005C5D38">
              <w:rPr>
                <w:rFonts w:eastAsia="Times New Roman" w:cs="Calibri"/>
                <w:color w:val="000000"/>
                <w:kern w:val="0"/>
                <w:sz w:val="16"/>
                <w:szCs w:val="16"/>
                <w:lang w:eastAsia="pl-PL"/>
                <w14:ligatures w14:val="none"/>
              </w:rPr>
              <w:t xml:space="preserve">mld </w:t>
            </w:r>
            <w:r w:rsidRPr="003416D6">
              <w:rPr>
                <w:rFonts w:eastAsia="Times New Roman" w:cs="Calibri"/>
                <w:color w:val="000000"/>
                <w:kern w:val="0"/>
                <w:sz w:val="16"/>
                <w:szCs w:val="16"/>
                <w:lang w:eastAsia="pl-PL"/>
                <w14:ligatures w14:val="none"/>
              </w:rPr>
              <w:t>zł</w:t>
            </w:r>
          </w:p>
        </w:tc>
        <w:tc>
          <w:tcPr>
            <w:tcW w:w="1559" w:type="dxa"/>
            <w:tcBorders>
              <w:top w:val="single" w:sz="4" w:space="0" w:color="3A7C22" w:themeColor="accent6" w:themeShade="BF"/>
              <w:bottom w:val="single" w:sz="4" w:space="0" w:color="3A7C22" w:themeColor="accent6" w:themeShade="BF"/>
            </w:tcBorders>
            <w:hideMark/>
          </w:tcPr>
          <w:p w14:paraId="5D9CD467" w14:textId="77777777" w:rsidR="004B4E67" w:rsidRPr="003416D6"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od 1 lipca 2025 do 31 grudnia 2034</w:t>
            </w:r>
          </w:p>
        </w:tc>
        <w:tc>
          <w:tcPr>
            <w:tcW w:w="1281" w:type="dxa"/>
            <w:tcBorders>
              <w:top w:val="single" w:sz="4" w:space="0" w:color="3A7C22" w:themeColor="accent6" w:themeShade="BF"/>
              <w:bottom w:val="single" w:sz="4" w:space="0" w:color="3A7C22" w:themeColor="accent6" w:themeShade="BF"/>
            </w:tcBorders>
            <w:hideMark/>
          </w:tcPr>
          <w:p w14:paraId="648D5D37" w14:textId="70E12D29" w:rsidR="004B4E67" w:rsidRPr="003416D6"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Zarządca Rozliczeń S.A.</w:t>
            </w:r>
            <w:r w:rsidR="00C741A8">
              <w:rPr>
                <w:rFonts w:eastAsia="Times New Roman" w:cs="Calibri"/>
                <w:color w:val="000000"/>
                <w:kern w:val="0"/>
                <w:sz w:val="16"/>
                <w:szCs w:val="16"/>
                <w:lang w:eastAsia="pl-PL"/>
                <w14:ligatures w14:val="none"/>
              </w:rPr>
              <w:t xml:space="preserve"> – </w:t>
            </w:r>
            <w:r w:rsidRPr="003416D6">
              <w:rPr>
                <w:rFonts w:eastAsia="Times New Roman" w:cs="Calibri"/>
                <w:color w:val="000000"/>
                <w:kern w:val="0"/>
                <w:sz w:val="16"/>
                <w:szCs w:val="16"/>
                <w:lang w:eastAsia="pl-PL"/>
                <w14:ligatures w14:val="none"/>
              </w:rPr>
              <w:t>(finansowanie z opłaty OZE)</w:t>
            </w:r>
          </w:p>
        </w:tc>
        <w:tc>
          <w:tcPr>
            <w:tcW w:w="1186" w:type="dxa"/>
            <w:tcBorders>
              <w:top w:val="single" w:sz="4" w:space="0" w:color="3A7C22" w:themeColor="accent6" w:themeShade="BF"/>
              <w:bottom w:val="single" w:sz="4" w:space="0" w:color="3A7C22" w:themeColor="accent6" w:themeShade="BF"/>
            </w:tcBorders>
            <w:hideMark/>
          </w:tcPr>
          <w:p w14:paraId="1E3DF31B" w14:textId="77777777" w:rsidR="004B4E67" w:rsidRPr="003416D6"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Operacyjne</w:t>
            </w:r>
          </w:p>
        </w:tc>
        <w:tc>
          <w:tcPr>
            <w:tcW w:w="1413" w:type="dxa"/>
            <w:tcBorders>
              <w:top w:val="single" w:sz="4" w:space="0" w:color="3A7C22" w:themeColor="accent6" w:themeShade="BF"/>
              <w:bottom w:val="single" w:sz="4" w:space="0" w:color="3A7C22" w:themeColor="accent6" w:themeShade="BF"/>
            </w:tcBorders>
            <w:hideMark/>
          </w:tcPr>
          <w:p w14:paraId="49A40A68" w14:textId="77777777" w:rsidR="004B4E67" w:rsidRPr="003416D6"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Ministerstwo Klimatu i Środowiska </w:t>
            </w:r>
          </w:p>
        </w:tc>
        <w:tc>
          <w:tcPr>
            <w:tcW w:w="3548" w:type="dxa"/>
            <w:tcBorders>
              <w:top w:val="single" w:sz="4" w:space="0" w:color="3A7C22" w:themeColor="accent6" w:themeShade="BF"/>
              <w:bottom w:val="single" w:sz="4" w:space="0" w:color="3A7C22" w:themeColor="accent6" w:themeShade="BF"/>
            </w:tcBorders>
            <w:hideMark/>
          </w:tcPr>
          <w:p w14:paraId="35300914" w14:textId="6CA98C61" w:rsidR="004B4E67" w:rsidRPr="003416D6" w:rsidRDefault="004B4E67" w:rsidP="00CF5E8B">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System wsparcia operacyjnego jest przeznaczony dla wytwórców energii z instalacji będących w stanie technicznym umożliwiającym ich dalszą eksploatację przez kolejne 10 lat. Jednocześnie zakłada się, że wytwórcy energii z tych instalacji ponoszą koszty operacyjne przewyższające przychody ze sprzedaży energii po cenie rynkowej. Jest to nowy system wsparcia, dedykowany dla elektrowni wodnych (o mocy zainstalowanej do 5 MW), </w:t>
            </w:r>
            <w:proofErr w:type="spellStart"/>
            <w:r w:rsidRPr="003416D6">
              <w:rPr>
                <w:rFonts w:eastAsia="Times New Roman" w:cs="Calibri"/>
                <w:color w:val="000000"/>
                <w:kern w:val="0"/>
                <w:sz w:val="16"/>
                <w:szCs w:val="16"/>
                <w:lang w:eastAsia="pl-PL"/>
                <w14:ligatures w14:val="none"/>
              </w:rPr>
              <w:t>biomasowych</w:t>
            </w:r>
            <w:proofErr w:type="spellEnd"/>
            <w:r w:rsidRPr="003416D6">
              <w:rPr>
                <w:rFonts w:eastAsia="Times New Roman" w:cs="Calibri"/>
                <w:color w:val="000000"/>
                <w:kern w:val="0"/>
                <w:sz w:val="16"/>
                <w:szCs w:val="16"/>
                <w:lang w:eastAsia="pl-PL"/>
                <w14:ligatures w14:val="none"/>
              </w:rPr>
              <w:t xml:space="preserve"> (obejmujących dedykowane instalacjach spalania biomasy, układy hybrydowe i dedykowane instalacje spalania wielopaliwowego), biogazowych oraz wykorzystujących odpady (instalacje termicznego przekształcania odpadów w wysokosprawnej kogeneracji) w przedziałach </w:t>
            </w:r>
            <w:proofErr w:type="spellStart"/>
            <w:r w:rsidRPr="003416D6">
              <w:rPr>
                <w:rFonts w:eastAsia="Times New Roman" w:cs="Calibri"/>
                <w:color w:val="000000"/>
                <w:kern w:val="0"/>
                <w:sz w:val="16"/>
                <w:szCs w:val="16"/>
                <w:lang w:eastAsia="pl-PL"/>
                <w14:ligatures w14:val="none"/>
              </w:rPr>
              <w:t>mocowych</w:t>
            </w:r>
            <w:proofErr w:type="spellEnd"/>
            <w:r w:rsidRPr="003416D6">
              <w:rPr>
                <w:rFonts w:eastAsia="Times New Roman" w:cs="Calibri"/>
                <w:color w:val="000000"/>
                <w:kern w:val="0"/>
                <w:sz w:val="16"/>
                <w:szCs w:val="16"/>
                <w:lang w:eastAsia="pl-PL"/>
                <w14:ligatures w14:val="none"/>
              </w:rPr>
              <w:t xml:space="preserve"> uzasadniających dodatkowe różnicowanie poziomu wsparcia.</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lastRenderedPageBreak/>
              <w:br/>
              <w:t>Dla instalacji o mocy zainstalowanej elektrycznej większej niż 1 MW przewiduje się konkurencyjny system wsparcia oparty o aukcje.</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 xml:space="preserve">Dla instalacji o mocy zainstalowanej elektrycznej nie większej niż 1 MW ma obowiązywać system dopłat do ceny rynkowej (podobny do funkcjonującego obecnie mechanizmu </w:t>
            </w:r>
            <w:proofErr w:type="spellStart"/>
            <w:r w:rsidRPr="003416D6">
              <w:rPr>
                <w:rFonts w:eastAsia="Times New Roman" w:cs="Calibri"/>
                <w:color w:val="000000"/>
                <w:kern w:val="0"/>
                <w:sz w:val="16"/>
                <w:szCs w:val="16"/>
                <w:lang w:eastAsia="pl-PL"/>
                <w14:ligatures w14:val="none"/>
              </w:rPr>
              <w:t>feed</w:t>
            </w:r>
            <w:proofErr w:type="spellEnd"/>
            <w:r w:rsidRPr="003416D6">
              <w:rPr>
                <w:rFonts w:eastAsia="Times New Roman" w:cs="Calibri"/>
                <w:color w:val="000000"/>
                <w:kern w:val="0"/>
                <w:sz w:val="16"/>
                <w:szCs w:val="16"/>
                <w:lang w:eastAsia="pl-PL"/>
                <w14:ligatures w14:val="none"/>
              </w:rPr>
              <w:t>-in-</w:t>
            </w:r>
            <w:proofErr w:type="spellStart"/>
            <w:r w:rsidRPr="003416D6">
              <w:rPr>
                <w:rFonts w:eastAsia="Times New Roman" w:cs="Calibri"/>
                <w:color w:val="000000"/>
                <w:kern w:val="0"/>
                <w:sz w:val="16"/>
                <w:szCs w:val="16"/>
                <w:lang w:eastAsia="pl-PL"/>
                <w14:ligatures w14:val="none"/>
              </w:rPr>
              <w:t>premium</w:t>
            </w:r>
            <w:proofErr w:type="spellEnd"/>
            <w:r w:rsidRPr="003416D6">
              <w:rPr>
                <w:rFonts w:eastAsia="Times New Roman" w:cs="Calibri"/>
                <w:color w:val="000000"/>
                <w:kern w:val="0"/>
                <w:sz w:val="16"/>
                <w:szCs w:val="16"/>
                <w:lang w:eastAsia="pl-PL"/>
                <w14:ligatures w14:val="none"/>
              </w:rPr>
              <w:t xml:space="preserve"> – </w:t>
            </w:r>
            <w:proofErr w:type="spellStart"/>
            <w:r w:rsidRPr="003416D6">
              <w:rPr>
                <w:rFonts w:eastAsia="Times New Roman" w:cs="Calibri"/>
                <w:color w:val="000000"/>
                <w:kern w:val="0"/>
                <w:sz w:val="16"/>
                <w:szCs w:val="16"/>
                <w:lang w:eastAsia="pl-PL"/>
                <w14:ligatures w14:val="none"/>
              </w:rPr>
              <w:t>FiP</w:t>
            </w:r>
            <w:proofErr w:type="spellEnd"/>
            <w:r w:rsidRPr="003416D6">
              <w:rPr>
                <w:rFonts w:eastAsia="Times New Roman" w:cs="Calibri"/>
                <w:color w:val="000000"/>
                <w:kern w:val="0"/>
                <w:sz w:val="16"/>
                <w:szCs w:val="16"/>
                <w:lang w:eastAsia="pl-PL"/>
                <w14:ligatures w14:val="none"/>
              </w:rPr>
              <w:t>) przy sprzedaży niewykorzystanej a wprowadzonej do sieci energii wybranemu podmiotowi.</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Wsparcie jest przewidziane na maksymalnie 10 lat.</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Dla przepisów wprowadzających ten system wsparcia przewidziano vacatio legis do dnia 1 lipca 2025 r.</w:t>
            </w:r>
            <w:r w:rsidR="009A6C2A">
              <w:rPr>
                <w:rFonts w:eastAsia="Times New Roman" w:cs="Calibri"/>
                <w:color w:val="000000"/>
                <w:kern w:val="0"/>
                <w:sz w:val="16"/>
                <w:szCs w:val="16"/>
                <w:lang w:eastAsia="pl-PL"/>
                <w14:ligatures w14:val="none"/>
              </w:rPr>
              <w:t xml:space="preserve"> </w:t>
            </w:r>
            <w:r w:rsidR="009A6C2A" w:rsidRPr="003416D6">
              <w:rPr>
                <w:rFonts w:eastAsia="Times New Roman" w:cs="Calibri"/>
                <w:color w:val="000000"/>
                <w:kern w:val="0"/>
                <w:sz w:val="16"/>
                <w:szCs w:val="16"/>
                <w:lang w:eastAsia="pl-PL"/>
                <w14:ligatures w14:val="none"/>
              </w:rPr>
              <w:t xml:space="preserve">System wymagający notyfikacji Komisji </w:t>
            </w:r>
            <w:r w:rsidR="008707C0">
              <w:rPr>
                <w:rFonts w:eastAsia="Times New Roman" w:cs="Calibri"/>
                <w:color w:val="000000"/>
                <w:kern w:val="0"/>
                <w:sz w:val="16"/>
                <w:szCs w:val="16"/>
                <w:lang w:eastAsia="pl-PL"/>
                <w14:ligatures w14:val="none"/>
              </w:rPr>
              <w:t>E</w:t>
            </w:r>
            <w:r w:rsidR="009A6C2A" w:rsidRPr="003416D6">
              <w:rPr>
                <w:rFonts w:eastAsia="Times New Roman" w:cs="Calibri"/>
                <w:color w:val="000000"/>
                <w:kern w:val="0"/>
                <w:sz w:val="16"/>
                <w:szCs w:val="16"/>
                <w:lang w:eastAsia="pl-PL"/>
                <w14:ligatures w14:val="none"/>
              </w:rPr>
              <w:t>uropejskiej i przez to zawieszony do czasu uzyskania jej pozytywnej decyzji.</w:t>
            </w:r>
          </w:p>
        </w:tc>
      </w:tr>
      <w:tr w:rsidR="00801275" w:rsidRPr="00ED52BB" w14:paraId="6F1E7490" w14:textId="77777777" w:rsidTr="00300186">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3ADA9E2E" w14:textId="65796218" w:rsidR="004B4E67" w:rsidRPr="002B271B" w:rsidRDefault="004B4E67" w:rsidP="002B271B">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6FF31496"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System wsparcia dla </w:t>
            </w:r>
            <w:proofErr w:type="spellStart"/>
            <w:r w:rsidRPr="003416D6">
              <w:rPr>
                <w:rFonts w:eastAsia="Times New Roman" w:cs="Calibri"/>
                <w:color w:val="000000"/>
                <w:kern w:val="0"/>
                <w:sz w:val="16"/>
                <w:szCs w:val="16"/>
                <w:lang w:eastAsia="pl-PL"/>
                <w14:ligatures w14:val="none"/>
              </w:rPr>
              <w:t>biometanu</w:t>
            </w:r>
            <w:proofErr w:type="spellEnd"/>
            <w:r w:rsidRPr="003416D6">
              <w:rPr>
                <w:rFonts w:eastAsia="Times New Roman" w:cs="Calibri"/>
                <w:color w:val="000000"/>
                <w:kern w:val="0"/>
                <w:sz w:val="16"/>
                <w:szCs w:val="16"/>
                <w:lang w:eastAsia="pl-PL"/>
                <w14:ligatures w14:val="none"/>
              </w:rPr>
              <w:t xml:space="preserve"> (</w:t>
            </w:r>
            <w:proofErr w:type="spellStart"/>
            <w:r w:rsidRPr="003416D6">
              <w:rPr>
                <w:rFonts w:eastAsia="Times New Roman" w:cs="Calibri"/>
                <w:color w:val="000000"/>
                <w:kern w:val="0"/>
                <w:sz w:val="16"/>
                <w:szCs w:val="16"/>
                <w:lang w:eastAsia="pl-PL"/>
                <w14:ligatures w14:val="none"/>
              </w:rPr>
              <w:t>Feed</w:t>
            </w:r>
            <w:proofErr w:type="spellEnd"/>
            <w:r w:rsidRPr="003416D6">
              <w:rPr>
                <w:rFonts w:eastAsia="Times New Roman" w:cs="Calibri"/>
                <w:color w:val="000000"/>
                <w:kern w:val="0"/>
                <w:sz w:val="16"/>
                <w:szCs w:val="16"/>
                <w:lang w:eastAsia="pl-PL"/>
                <w14:ligatures w14:val="none"/>
              </w:rPr>
              <w:t>-In-Premium)</w:t>
            </w:r>
          </w:p>
        </w:tc>
        <w:tc>
          <w:tcPr>
            <w:tcW w:w="1559" w:type="dxa"/>
            <w:tcBorders>
              <w:top w:val="single" w:sz="4" w:space="0" w:color="3A7C22" w:themeColor="accent6" w:themeShade="BF"/>
            </w:tcBorders>
            <w:hideMark/>
          </w:tcPr>
          <w:p w14:paraId="5B69C271"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tcBorders>
            <w:hideMark/>
          </w:tcPr>
          <w:p w14:paraId="03553DF3" w14:textId="6AFAA489" w:rsidR="004B4E67" w:rsidRPr="003416D6" w:rsidRDefault="002F79DF"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2F79DF">
              <w:rPr>
                <w:rFonts w:eastAsia="Times New Roman" w:cs="Calibri"/>
                <w:color w:val="000000"/>
                <w:kern w:val="0"/>
                <w:sz w:val="16"/>
                <w:szCs w:val="16"/>
                <w:lang w:eastAsia="pl-PL"/>
                <w14:ligatures w14:val="none"/>
              </w:rPr>
              <w:t>672 mln PLN rocznie</w:t>
            </w:r>
          </w:p>
        </w:tc>
        <w:tc>
          <w:tcPr>
            <w:tcW w:w="1559" w:type="dxa"/>
            <w:tcBorders>
              <w:top w:val="single" w:sz="4" w:space="0" w:color="3A7C22" w:themeColor="accent6" w:themeShade="BF"/>
            </w:tcBorders>
            <w:hideMark/>
          </w:tcPr>
          <w:p w14:paraId="78363F08" w14:textId="31CFFA24" w:rsidR="004B4E67" w:rsidRPr="003416D6" w:rsidRDefault="001218A4"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o</w:t>
            </w:r>
            <w:r w:rsidRPr="001218A4">
              <w:rPr>
                <w:rFonts w:eastAsia="Times New Roman" w:cs="Calibri"/>
                <w:color w:val="000000"/>
                <w:kern w:val="0"/>
                <w:sz w:val="16"/>
                <w:szCs w:val="16"/>
                <w:lang w:eastAsia="pl-PL"/>
                <w14:ligatures w14:val="none"/>
              </w:rPr>
              <w:t>d 1 października 2023 do 30</w:t>
            </w:r>
            <w:r>
              <w:rPr>
                <w:rFonts w:eastAsia="Times New Roman" w:cs="Calibri"/>
                <w:color w:val="000000"/>
                <w:kern w:val="0"/>
                <w:sz w:val="16"/>
                <w:szCs w:val="16"/>
                <w:lang w:eastAsia="pl-PL"/>
                <w14:ligatures w14:val="none"/>
              </w:rPr>
              <w:t> </w:t>
            </w:r>
            <w:r w:rsidRPr="001218A4">
              <w:rPr>
                <w:rFonts w:eastAsia="Times New Roman" w:cs="Calibri"/>
                <w:color w:val="000000"/>
                <w:kern w:val="0"/>
                <w:sz w:val="16"/>
                <w:szCs w:val="16"/>
                <w:lang w:eastAsia="pl-PL"/>
                <w14:ligatures w14:val="none"/>
              </w:rPr>
              <w:t>czerwca 2048</w:t>
            </w:r>
          </w:p>
        </w:tc>
        <w:tc>
          <w:tcPr>
            <w:tcW w:w="1281" w:type="dxa"/>
            <w:tcBorders>
              <w:top w:val="single" w:sz="4" w:space="0" w:color="3A7C22" w:themeColor="accent6" w:themeShade="BF"/>
            </w:tcBorders>
            <w:hideMark/>
          </w:tcPr>
          <w:p w14:paraId="541D191B"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Opłata OZE</w:t>
            </w:r>
          </w:p>
        </w:tc>
        <w:tc>
          <w:tcPr>
            <w:tcW w:w="1186" w:type="dxa"/>
            <w:tcBorders>
              <w:top w:val="single" w:sz="4" w:space="0" w:color="3A7C22" w:themeColor="accent6" w:themeShade="BF"/>
            </w:tcBorders>
            <w:hideMark/>
          </w:tcPr>
          <w:p w14:paraId="7B5913AC"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Operacyjne</w:t>
            </w:r>
          </w:p>
        </w:tc>
        <w:tc>
          <w:tcPr>
            <w:tcW w:w="1413" w:type="dxa"/>
            <w:tcBorders>
              <w:top w:val="single" w:sz="4" w:space="0" w:color="3A7C22" w:themeColor="accent6" w:themeShade="BF"/>
            </w:tcBorders>
            <w:hideMark/>
          </w:tcPr>
          <w:p w14:paraId="235498C9"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Ministerstwo Klimatu i Środowiska</w:t>
            </w:r>
          </w:p>
        </w:tc>
        <w:tc>
          <w:tcPr>
            <w:tcW w:w="3548" w:type="dxa"/>
            <w:tcBorders>
              <w:top w:val="single" w:sz="4" w:space="0" w:color="3A7C22" w:themeColor="accent6" w:themeShade="BF"/>
            </w:tcBorders>
            <w:hideMark/>
          </w:tcPr>
          <w:p w14:paraId="3623CD04" w14:textId="1874D85E" w:rsidR="003D38A3" w:rsidRDefault="003D38A3" w:rsidP="003D38A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C</w:t>
            </w:r>
            <w:r w:rsidRPr="003D38A3">
              <w:rPr>
                <w:rFonts w:eastAsia="Times New Roman" w:cs="Calibri"/>
                <w:color w:val="000000"/>
                <w:kern w:val="0"/>
                <w:sz w:val="16"/>
                <w:szCs w:val="16"/>
                <w:lang w:eastAsia="pl-PL"/>
                <w14:ligatures w14:val="none"/>
              </w:rPr>
              <w:t>hoć program pomocowy został zgłoszony KE na okres do 30 czerwca 2027 r. (zgodnie z wymogami rozporządzenia KE 651/2014), to wypłata pomocy trwa przez 20 lat, nie dłużej niż do dnia 30 czerwca 2048 r. (zob. art. Art. 83p ustawy o odnawialnych źródłach energii);</w:t>
            </w:r>
          </w:p>
          <w:p w14:paraId="4830B222" w14:textId="77777777" w:rsidR="002449DA" w:rsidRPr="003D38A3" w:rsidRDefault="002449DA" w:rsidP="003D38A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p>
          <w:p w14:paraId="7F760EB0" w14:textId="76DD282A" w:rsidR="004B4E67" w:rsidRPr="003416D6" w:rsidRDefault="003D38A3" w:rsidP="003D38A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D38A3">
              <w:rPr>
                <w:rFonts w:eastAsia="Times New Roman" w:cs="Calibri"/>
                <w:color w:val="000000"/>
                <w:kern w:val="0"/>
                <w:sz w:val="16"/>
                <w:szCs w:val="16"/>
                <w:lang w:eastAsia="pl-PL"/>
                <w14:ligatures w14:val="none"/>
              </w:rPr>
              <w:t>Zgłoszenia do KE programów pomocy publicznej nr SA.109825</w:t>
            </w:r>
            <w:r w:rsidR="002449DA">
              <w:rPr>
                <w:rFonts w:eastAsia="Times New Roman" w:cs="Calibri"/>
                <w:color w:val="000000"/>
                <w:kern w:val="0"/>
                <w:sz w:val="16"/>
                <w:szCs w:val="16"/>
                <w:lang w:eastAsia="pl-PL"/>
                <w14:ligatures w14:val="none"/>
              </w:rPr>
              <w:t>.</w:t>
            </w:r>
          </w:p>
        </w:tc>
      </w:tr>
      <w:tr w:rsidR="004B4E67" w:rsidRPr="00ED52BB" w14:paraId="40604FF5" w14:textId="77777777" w:rsidTr="00300186">
        <w:trPr>
          <w:trHeight w:val="671"/>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7E6AB79D" w14:textId="7CB51120" w:rsidR="004B4E67" w:rsidRPr="002B271B" w:rsidRDefault="004B4E67" w:rsidP="002B271B">
            <w:pPr>
              <w:pStyle w:val="Akapitzlist"/>
              <w:numPr>
                <w:ilvl w:val="0"/>
                <w:numId w:val="4"/>
              </w:numPr>
              <w:tabs>
                <w:tab w:val="left" w:pos="525"/>
              </w:tabs>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5F12F340" w14:textId="77777777" w:rsidR="004B4E67" w:rsidRPr="003416D6"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Dedykowane dla klastrów energii i spółdzielni energetycznych systemy wsparcia w ramach ustawy o odnawialnych źródłach energii.</w:t>
            </w:r>
          </w:p>
        </w:tc>
        <w:tc>
          <w:tcPr>
            <w:tcW w:w="1559" w:type="dxa"/>
            <w:tcBorders>
              <w:top w:val="single" w:sz="4" w:space="0" w:color="3A7C22" w:themeColor="accent6" w:themeShade="BF"/>
            </w:tcBorders>
            <w:hideMark/>
          </w:tcPr>
          <w:p w14:paraId="750AC9C5" w14:textId="77777777" w:rsidR="004B4E67" w:rsidRPr="003416D6"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tcBorders>
            <w:hideMark/>
          </w:tcPr>
          <w:p w14:paraId="39EB7D82" w14:textId="3ECE5A71" w:rsidR="004B4E67" w:rsidRPr="003416D6" w:rsidRDefault="00140C26"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40C26">
              <w:rPr>
                <w:rFonts w:eastAsia="Times New Roman" w:cs="Calibri"/>
                <w:color w:val="000000"/>
                <w:kern w:val="0"/>
                <w:sz w:val="16"/>
                <w:szCs w:val="16"/>
                <w:lang w:eastAsia="pl-PL"/>
                <w14:ligatures w14:val="none"/>
              </w:rPr>
              <w:t>4</w:t>
            </w:r>
            <w:r>
              <w:rPr>
                <w:rFonts w:eastAsia="Times New Roman" w:cs="Calibri"/>
                <w:color w:val="000000"/>
                <w:kern w:val="0"/>
                <w:sz w:val="16"/>
                <w:szCs w:val="16"/>
                <w:lang w:eastAsia="pl-PL"/>
                <w14:ligatures w14:val="none"/>
              </w:rPr>
              <w:t>,</w:t>
            </w:r>
            <w:r w:rsidRPr="00140C26">
              <w:rPr>
                <w:rFonts w:eastAsia="Times New Roman" w:cs="Calibri"/>
                <w:color w:val="000000"/>
                <w:kern w:val="0"/>
                <w:sz w:val="16"/>
                <w:szCs w:val="16"/>
                <w:lang w:eastAsia="pl-PL"/>
                <w14:ligatures w14:val="none"/>
              </w:rPr>
              <w:t xml:space="preserve"> 546 </w:t>
            </w:r>
            <w:r>
              <w:rPr>
                <w:rFonts w:eastAsia="Times New Roman" w:cs="Calibri"/>
                <w:color w:val="000000"/>
                <w:kern w:val="0"/>
                <w:sz w:val="16"/>
                <w:szCs w:val="16"/>
                <w:lang w:eastAsia="pl-PL"/>
                <w14:ligatures w14:val="none"/>
              </w:rPr>
              <w:t>mld zł</w:t>
            </w:r>
            <w:r w:rsidRPr="00140C26">
              <w:rPr>
                <w:rFonts w:eastAsia="Times New Roman" w:cs="Calibri"/>
                <w:color w:val="000000"/>
                <w:kern w:val="0"/>
                <w:sz w:val="16"/>
                <w:szCs w:val="16"/>
                <w:lang w:eastAsia="pl-PL"/>
                <w14:ligatures w14:val="none"/>
              </w:rPr>
              <w:t xml:space="preserve"> (dla okresu do 31.12.2029</w:t>
            </w:r>
            <w:r w:rsidR="001E44E9">
              <w:rPr>
                <w:rFonts w:eastAsia="Times New Roman" w:cs="Calibri"/>
                <w:color w:val="000000"/>
                <w:kern w:val="0"/>
                <w:sz w:val="16"/>
                <w:szCs w:val="16"/>
                <w:lang w:eastAsia="pl-PL"/>
                <w14:ligatures w14:val="none"/>
              </w:rPr>
              <w:t xml:space="preserve">) – w oparciu o </w:t>
            </w:r>
            <w:proofErr w:type="spellStart"/>
            <w:r w:rsidR="001E44E9">
              <w:rPr>
                <w:rFonts w:eastAsia="Times New Roman" w:cs="Calibri"/>
                <w:color w:val="000000"/>
                <w:kern w:val="0"/>
                <w:sz w:val="16"/>
                <w:szCs w:val="16"/>
                <w:lang w:eastAsia="pl-PL"/>
                <w14:ligatures w14:val="none"/>
              </w:rPr>
              <w:t>prenotyfikację</w:t>
            </w:r>
            <w:proofErr w:type="spellEnd"/>
          </w:p>
        </w:tc>
        <w:tc>
          <w:tcPr>
            <w:tcW w:w="1559" w:type="dxa"/>
            <w:tcBorders>
              <w:top w:val="single" w:sz="4" w:space="0" w:color="3A7C22" w:themeColor="accent6" w:themeShade="BF"/>
            </w:tcBorders>
            <w:hideMark/>
          </w:tcPr>
          <w:p w14:paraId="1A3AB048" w14:textId="4645E7C3" w:rsidR="004B4E67" w:rsidRPr="003416D6"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2024</w:t>
            </w:r>
            <w:r w:rsidR="0093208E">
              <w:rPr>
                <w:rFonts w:eastAsia="Times New Roman" w:cs="Calibri"/>
                <w:color w:val="000000"/>
                <w:kern w:val="0"/>
                <w:sz w:val="16"/>
                <w:szCs w:val="16"/>
                <w:lang w:eastAsia="pl-PL"/>
                <w14:ligatures w14:val="none"/>
              </w:rPr>
              <w:t>–</w:t>
            </w:r>
            <w:r w:rsidRPr="003416D6">
              <w:rPr>
                <w:rFonts w:eastAsia="Times New Roman" w:cs="Calibri"/>
                <w:color w:val="000000"/>
                <w:kern w:val="0"/>
                <w:sz w:val="16"/>
                <w:szCs w:val="16"/>
                <w:lang w:eastAsia="pl-PL"/>
                <w14:ligatures w14:val="none"/>
              </w:rPr>
              <w:t xml:space="preserve">2029 (klastry energii); </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 xml:space="preserve">2024 </w:t>
            </w:r>
            <w:r w:rsidR="0093208E">
              <w:rPr>
                <w:rFonts w:eastAsia="Times New Roman" w:cs="Calibri"/>
                <w:color w:val="000000"/>
                <w:kern w:val="0"/>
                <w:sz w:val="16"/>
                <w:szCs w:val="16"/>
                <w:lang w:eastAsia="pl-PL"/>
                <w14:ligatures w14:val="none"/>
              </w:rPr>
              <w:t>–</w:t>
            </w:r>
            <w:r w:rsidRPr="003416D6">
              <w:rPr>
                <w:rFonts w:eastAsia="Times New Roman" w:cs="Calibri"/>
                <w:color w:val="000000"/>
                <w:kern w:val="0"/>
                <w:sz w:val="16"/>
                <w:szCs w:val="16"/>
                <w:lang w:eastAsia="pl-PL"/>
                <w14:ligatures w14:val="none"/>
              </w:rPr>
              <w:t xml:space="preserve"> kolejne lata (spółdzielnie energetyczne)</w:t>
            </w:r>
          </w:p>
        </w:tc>
        <w:tc>
          <w:tcPr>
            <w:tcW w:w="1281" w:type="dxa"/>
            <w:tcBorders>
              <w:top w:val="single" w:sz="4" w:space="0" w:color="3A7C22" w:themeColor="accent6" w:themeShade="BF"/>
            </w:tcBorders>
            <w:hideMark/>
          </w:tcPr>
          <w:p w14:paraId="58897BA4" w14:textId="2EBCF349" w:rsidR="004B4E67" w:rsidRPr="003416D6" w:rsidRDefault="009759D1"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Złożone – opisane w dodatkowych informacjach</w:t>
            </w:r>
          </w:p>
        </w:tc>
        <w:tc>
          <w:tcPr>
            <w:tcW w:w="1186" w:type="dxa"/>
            <w:tcBorders>
              <w:top w:val="single" w:sz="4" w:space="0" w:color="3A7C22" w:themeColor="accent6" w:themeShade="BF"/>
            </w:tcBorders>
            <w:hideMark/>
          </w:tcPr>
          <w:p w14:paraId="2D593957" w14:textId="77777777" w:rsidR="004B4E67" w:rsidRPr="003416D6"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Operacyjne</w:t>
            </w:r>
          </w:p>
        </w:tc>
        <w:tc>
          <w:tcPr>
            <w:tcW w:w="1413" w:type="dxa"/>
            <w:tcBorders>
              <w:top w:val="single" w:sz="4" w:space="0" w:color="3A7C22" w:themeColor="accent6" w:themeShade="BF"/>
            </w:tcBorders>
            <w:hideMark/>
          </w:tcPr>
          <w:p w14:paraId="52F9949F" w14:textId="77777777" w:rsidR="004B4E67" w:rsidRPr="003416D6"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Ministerstwo Klimatu i Środowiska </w:t>
            </w:r>
          </w:p>
        </w:tc>
        <w:tc>
          <w:tcPr>
            <w:tcW w:w="3548" w:type="dxa"/>
            <w:tcBorders>
              <w:top w:val="single" w:sz="4" w:space="0" w:color="3A7C22" w:themeColor="accent6" w:themeShade="BF"/>
            </w:tcBorders>
            <w:hideMark/>
          </w:tcPr>
          <w:p w14:paraId="7E7E19E8" w14:textId="62C6B06E" w:rsidR="00B03286" w:rsidRDefault="009759D1" w:rsidP="00CF5E8B">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Mechanizm wsparcia klastrów energii obejmuje następujące elementy:</w:t>
            </w:r>
            <w:r w:rsidRPr="003416D6">
              <w:rPr>
                <w:rFonts w:eastAsia="Times New Roman" w:cs="Calibri"/>
                <w:color w:val="000000"/>
                <w:kern w:val="0"/>
                <w:sz w:val="16"/>
                <w:szCs w:val="16"/>
                <w:lang w:eastAsia="pl-PL"/>
                <w14:ligatures w14:val="none"/>
              </w:rPr>
              <w:br/>
              <w:t>- Zwolnienie energii elektrycznej zużywanej przez członków klastra z opłaty OZE oraz z obowiązku umarzania świadectw pochodzenia.</w:t>
            </w:r>
            <w:r w:rsidRPr="003416D6">
              <w:rPr>
                <w:rFonts w:eastAsia="Times New Roman" w:cs="Calibri"/>
                <w:color w:val="000000"/>
                <w:kern w:val="0"/>
                <w:sz w:val="16"/>
                <w:szCs w:val="16"/>
                <w:lang w:eastAsia="pl-PL"/>
                <w14:ligatures w14:val="none"/>
              </w:rPr>
              <w:br/>
              <w:t>- Zwolnienie energii elektrycznej zużywanej przez członków klastra z opłaty kogeneracyjnej oraz obowiązku umarzania świadectw efektywności energetycznej,</w:t>
            </w:r>
            <w:r w:rsidRPr="003416D6">
              <w:rPr>
                <w:rFonts w:eastAsia="Times New Roman" w:cs="Calibri"/>
                <w:color w:val="000000"/>
                <w:kern w:val="0"/>
                <w:sz w:val="16"/>
                <w:szCs w:val="16"/>
                <w:lang w:eastAsia="pl-PL"/>
                <w14:ligatures w14:val="none"/>
              </w:rPr>
              <w:br/>
              <w:t>- Obniżenie kosztów usług dystrybucji.</w:t>
            </w:r>
          </w:p>
          <w:p w14:paraId="6CBD9C1D" w14:textId="77777777" w:rsidR="00B03286" w:rsidRDefault="00B03286" w:rsidP="00CF5E8B">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p>
          <w:p w14:paraId="4BC785AE" w14:textId="5D17950B" w:rsidR="004B4E67" w:rsidRPr="003416D6" w:rsidRDefault="004B4E67" w:rsidP="00CF5E8B">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https://isap.sejm.gov.pl/isap.nsf/download.xsp/WDU20150000478/U/D20150478Lj.pdf</w:t>
            </w:r>
          </w:p>
        </w:tc>
      </w:tr>
      <w:tr w:rsidR="00801275" w:rsidRPr="00ED52BB" w14:paraId="55BFEDCA" w14:textId="77777777" w:rsidTr="00300186">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49E84B7C" w14:textId="495EF3BB" w:rsidR="004B4E67" w:rsidRPr="002B271B" w:rsidRDefault="004B4E67" w:rsidP="002B271B">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6FA4B9F2"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Rynek mocy</w:t>
            </w:r>
          </w:p>
        </w:tc>
        <w:tc>
          <w:tcPr>
            <w:tcW w:w="1559" w:type="dxa"/>
            <w:tcBorders>
              <w:top w:val="single" w:sz="4" w:space="0" w:color="3A7C22" w:themeColor="accent6" w:themeShade="BF"/>
            </w:tcBorders>
            <w:hideMark/>
          </w:tcPr>
          <w:p w14:paraId="1D7E7A51"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tcBorders>
            <w:hideMark/>
          </w:tcPr>
          <w:p w14:paraId="18274394"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40 mld zł</w:t>
            </w:r>
          </w:p>
        </w:tc>
        <w:tc>
          <w:tcPr>
            <w:tcW w:w="1559" w:type="dxa"/>
            <w:tcBorders>
              <w:top w:val="single" w:sz="4" w:space="0" w:color="3A7C22" w:themeColor="accent6" w:themeShade="BF"/>
            </w:tcBorders>
            <w:hideMark/>
          </w:tcPr>
          <w:p w14:paraId="3558498D" w14:textId="285B1AF1"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Wdrożenie 2017</w:t>
            </w:r>
            <w:r w:rsidR="002A2374">
              <w:rPr>
                <w:rFonts w:eastAsia="Times New Roman" w:cs="Calibri"/>
                <w:color w:val="000000"/>
                <w:kern w:val="0"/>
                <w:sz w:val="16"/>
                <w:szCs w:val="16"/>
                <w:lang w:eastAsia="pl-PL"/>
                <w14:ligatures w14:val="none"/>
              </w:rPr>
              <w:t>–2</w:t>
            </w:r>
            <w:r w:rsidRPr="003416D6">
              <w:rPr>
                <w:rFonts w:eastAsia="Times New Roman" w:cs="Calibri"/>
                <w:color w:val="000000"/>
                <w:kern w:val="0"/>
                <w:sz w:val="16"/>
                <w:szCs w:val="16"/>
                <w:lang w:eastAsia="pl-PL"/>
                <w14:ligatures w14:val="none"/>
              </w:rPr>
              <w:t>020, wykorzystanie środków 2021</w:t>
            </w:r>
            <w:r w:rsidR="002A2374">
              <w:rPr>
                <w:rFonts w:eastAsia="Times New Roman" w:cs="Calibri"/>
                <w:color w:val="000000"/>
                <w:kern w:val="0"/>
                <w:sz w:val="16"/>
                <w:szCs w:val="16"/>
                <w:lang w:eastAsia="pl-PL"/>
                <w14:ligatures w14:val="none"/>
              </w:rPr>
              <w:t>–2</w:t>
            </w:r>
            <w:r w:rsidRPr="003416D6">
              <w:rPr>
                <w:rFonts w:eastAsia="Times New Roman" w:cs="Calibri"/>
                <w:color w:val="000000"/>
                <w:kern w:val="0"/>
                <w:sz w:val="16"/>
                <w:szCs w:val="16"/>
                <w:lang w:eastAsia="pl-PL"/>
                <w14:ligatures w14:val="none"/>
              </w:rPr>
              <w:t>030, z perspektywą do 2040</w:t>
            </w:r>
          </w:p>
        </w:tc>
        <w:tc>
          <w:tcPr>
            <w:tcW w:w="1281" w:type="dxa"/>
            <w:tcBorders>
              <w:top w:val="single" w:sz="4" w:space="0" w:color="3A7C22" w:themeColor="accent6" w:themeShade="BF"/>
            </w:tcBorders>
            <w:hideMark/>
          </w:tcPr>
          <w:p w14:paraId="170A7653"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Opłata </w:t>
            </w:r>
            <w:proofErr w:type="spellStart"/>
            <w:r w:rsidRPr="003416D6">
              <w:rPr>
                <w:rFonts w:eastAsia="Times New Roman" w:cs="Calibri"/>
                <w:color w:val="000000"/>
                <w:kern w:val="0"/>
                <w:sz w:val="16"/>
                <w:szCs w:val="16"/>
                <w:lang w:eastAsia="pl-PL"/>
                <w14:ligatures w14:val="none"/>
              </w:rPr>
              <w:t>mocowa</w:t>
            </w:r>
            <w:proofErr w:type="spellEnd"/>
            <w:r w:rsidRPr="003416D6">
              <w:rPr>
                <w:rFonts w:eastAsia="Times New Roman" w:cs="Calibri"/>
                <w:color w:val="000000"/>
                <w:kern w:val="0"/>
                <w:sz w:val="16"/>
                <w:szCs w:val="16"/>
                <w:lang w:eastAsia="pl-PL"/>
                <w14:ligatures w14:val="none"/>
              </w:rPr>
              <w:t xml:space="preserve"> (składnik opłaty sieciowej zależny od zużycia energii elektrycznej w godzinach szczytowego zapotrzebowania)</w:t>
            </w:r>
          </w:p>
        </w:tc>
        <w:tc>
          <w:tcPr>
            <w:tcW w:w="1186" w:type="dxa"/>
            <w:tcBorders>
              <w:top w:val="single" w:sz="4" w:space="0" w:color="3A7C22" w:themeColor="accent6" w:themeShade="BF"/>
            </w:tcBorders>
            <w:hideMark/>
          </w:tcPr>
          <w:p w14:paraId="076A084D"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Operacyjne</w:t>
            </w:r>
          </w:p>
        </w:tc>
        <w:tc>
          <w:tcPr>
            <w:tcW w:w="1413" w:type="dxa"/>
            <w:tcBorders>
              <w:top w:val="single" w:sz="4" w:space="0" w:color="3A7C22" w:themeColor="accent6" w:themeShade="BF"/>
            </w:tcBorders>
            <w:hideMark/>
          </w:tcPr>
          <w:p w14:paraId="09CD23A7"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Ministerstwo Klimatu i Środowiska</w:t>
            </w:r>
          </w:p>
        </w:tc>
        <w:tc>
          <w:tcPr>
            <w:tcW w:w="3548" w:type="dxa"/>
            <w:tcBorders>
              <w:top w:val="single" w:sz="4" w:space="0" w:color="3A7C22" w:themeColor="accent6" w:themeShade="BF"/>
            </w:tcBorders>
            <w:hideMark/>
          </w:tcPr>
          <w:p w14:paraId="1DDD818E" w14:textId="5F86F1DF" w:rsidR="004B4E67" w:rsidRPr="003416D6" w:rsidRDefault="004B4E67" w:rsidP="00CF5E8B">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Rynek mocy jest mechanizmem neutralnym technologicznie, w którym mogą brać udział jednostki krajowe i zagraniczne będące jednostkami wytwórczymi</w:t>
            </w:r>
            <w:r w:rsidR="00242FBE">
              <w:rPr>
                <w:rFonts w:eastAsia="Times New Roman" w:cs="Calibri"/>
                <w:color w:val="000000"/>
                <w:kern w:val="0"/>
                <w:sz w:val="16"/>
                <w:szCs w:val="16"/>
                <w:lang w:eastAsia="pl-PL"/>
                <w14:ligatures w14:val="none"/>
              </w:rPr>
              <w:t>,</w:t>
            </w:r>
            <w:r w:rsidRPr="003416D6">
              <w:rPr>
                <w:rFonts w:eastAsia="Times New Roman" w:cs="Calibri"/>
                <w:color w:val="000000"/>
                <w:kern w:val="0"/>
                <w:sz w:val="16"/>
                <w:szCs w:val="16"/>
                <w:lang w:eastAsia="pl-PL"/>
                <w14:ligatures w14:val="none"/>
              </w:rPr>
              <w:t xml:space="preserve"> magazynowania oraz redukcji odbioru spełniającymi ogólne wymagania. Do wymagań należy emisja nie wyższa niż 550 g/kWh (w aukcjach po 1 lipca 2025), zdolność do nieprzerwanego dostarczania energii przez okres co najmniej 4 h na polecenie operatora, moc zainstalowana powyżej 2 MW, dostawca nie może być przedsiębiorstwem znajdującym się w trudnej sytuacji w rozumieniu art. 2 pkt 18 lit. a, b, c lub e rozporządzenia Komisji (UE) nr 651/2014, jednostka nie korzysta z innych mechanizmów wsparcia (z pewnymi wyjątkami). Rynek mocy nie ma z góry przewidzianego budżetu, koszt kształtuje się w toku niedyskryminacyjnych aukcji. W perspektywie po 2030 roku, możliwa jest zmiana zasad udziału w aukcjach, w celu wzmocnienia transformacji energetycznej.</w:t>
            </w:r>
            <w:r w:rsidRPr="003416D6">
              <w:rPr>
                <w:rFonts w:eastAsia="Times New Roman" w:cs="Calibri"/>
                <w:color w:val="000000"/>
                <w:kern w:val="0"/>
                <w:sz w:val="16"/>
                <w:szCs w:val="16"/>
                <w:lang w:eastAsia="pl-PL"/>
                <w14:ligatures w14:val="none"/>
              </w:rPr>
              <w:br/>
              <w:t>Decyzja notyfikacyjn</w:t>
            </w:r>
            <w:r w:rsidR="00242FBE">
              <w:rPr>
                <w:rFonts w:eastAsia="Times New Roman" w:cs="Calibri"/>
                <w:color w:val="000000"/>
                <w:kern w:val="0"/>
                <w:sz w:val="16"/>
                <w:szCs w:val="16"/>
                <w:lang w:eastAsia="pl-PL"/>
                <w14:ligatures w14:val="none"/>
              </w:rPr>
              <w:t>a</w:t>
            </w:r>
            <w:r w:rsidRPr="003416D6">
              <w:rPr>
                <w:rFonts w:eastAsia="Times New Roman" w:cs="Calibri"/>
                <w:color w:val="000000"/>
                <w:kern w:val="0"/>
                <w:sz w:val="16"/>
                <w:szCs w:val="16"/>
                <w:lang w:eastAsia="pl-PL"/>
                <w14:ligatures w14:val="none"/>
              </w:rPr>
              <w:t xml:space="preserve"> KE dla rynku mocy nr SA.46100 (2017/N). </w:t>
            </w:r>
          </w:p>
        </w:tc>
      </w:tr>
      <w:tr w:rsidR="004B4E67" w:rsidRPr="00ED52BB" w14:paraId="0C7B3017" w14:textId="77777777" w:rsidTr="00300186">
        <w:trPr>
          <w:trHeight w:val="1379"/>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3F1249FB" w14:textId="5AB9378E" w:rsidR="004B4E67" w:rsidRPr="002B271B" w:rsidRDefault="004B4E67" w:rsidP="002B271B">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3BACF5BB" w14:textId="21CE0FF0" w:rsidR="004B4E67" w:rsidRPr="003416D6" w:rsidRDefault="00DE77FA"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xml:space="preserve">Pakiet CHP: </w:t>
            </w:r>
            <w:r w:rsidRPr="00DE77FA">
              <w:rPr>
                <w:rFonts w:eastAsia="Times New Roman" w:cs="Calibri"/>
                <w:color w:val="000000"/>
                <w:kern w:val="0"/>
                <w:sz w:val="16"/>
                <w:szCs w:val="16"/>
                <w:lang w:eastAsia="pl-PL"/>
                <w14:ligatures w14:val="none"/>
              </w:rPr>
              <w:t>premia gwarantowana, premia gwarantowana indywidualna</w:t>
            </w:r>
            <w:r w:rsidR="00DD5754">
              <w:rPr>
                <w:rFonts w:eastAsia="Times New Roman" w:cs="Calibri"/>
                <w:color w:val="000000"/>
                <w:kern w:val="0"/>
                <w:sz w:val="16"/>
                <w:szCs w:val="16"/>
                <w:lang w:eastAsia="pl-PL"/>
                <w14:ligatures w14:val="none"/>
              </w:rPr>
              <w:t>,</w:t>
            </w:r>
            <w:r w:rsidRPr="00DE77FA">
              <w:rPr>
                <w:rFonts w:eastAsia="Times New Roman" w:cs="Calibri"/>
                <w:color w:val="000000"/>
                <w:kern w:val="0"/>
                <w:sz w:val="16"/>
                <w:szCs w:val="16"/>
                <w:lang w:eastAsia="pl-PL"/>
                <w14:ligatures w14:val="none"/>
              </w:rPr>
              <w:t xml:space="preserve"> premia kogeneracyjna indywidualna</w:t>
            </w:r>
          </w:p>
        </w:tc>
        <w:tc>
          <w:tcPr>
            <w:tcW w:w="1559" w:type="dxa"/>
            <w:tcBorders>
              <w:top w:val="single" w:sz="4" w:space="0" w:color="3A7C22" w:themeColor="accent6" w:themeShade="BF"/>
            </w:tcBorders>
            <w:hideMark/>
          </w:tcPr>
          <w:p w14:paraId="755BCEB6" w14:textId="77777777" w:rsidR="004B4E67" w:rsidRPr="003416D6"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tcBorders>
            <w:hideMark/>
          </w:tcPr>
          <w:p w14:paraId="5E161CC4" w14:textId="77777777" w:rsidR="004B4E67" w:rsidRPr="003416D6"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36,3 mld zł</w:t>
            </w:r>
          </w:p>
        </w:tc>
        <w:tc>
          <w:tcPr>
            <w:tcW w:w="1559" w:type="dxa"/>
            <w:tcBorders>
              <w:top w:val="single" w:sz="4" w:space="0" w:color="3A7C22" w:themeColor="accent6" w:themeShade="BF"/>
            </w:tcBorders>
            <w:hideMark/>
          </w:tcPr>
          <w:p w14:paraId="115A86C3" w14:textId="5CED7EB1" w:rsidR="004B4E67" w:rsidRPr="003416D6" w:rsidRDefault="00B42A8B"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xml:space="preserve">wdrażanie </w:t>
            </w:r>
            <w:r w:rsidR="00C07A35" w:rsidRPr="00C07A35">
              <w:rPr>
                <w:rFonts w:eastAsia="Times New Roman" w:cs="Calibri"/>
                <w:color w:val="000000"/>
                <w:kern w:val="0"/>
                <w:sz w:val="16"/>
                <w:szCs w:val="16"/>
                <w:lang w:eastAsia="pl-PL"/>
                <w14:ligatures w14:val="none"/>
              </w:rPr>
              <w:t>do 31.12.2028</w:t>
            </w:r>
            <w:r>
              <w:rPr>
                <w:rFonts w:eastAsia="Times New Roman" w:cs="Calibri"/>
                <w:color w:val="000000"/>
                <w:kern w:val="0"/>
                <w:sz w:val="16"/>
                <w:szCs w:val="16"/>
                <w:lang w:eastAsia="pl-PL"/>
                <w14:ligatures w14:val="none"/>
              </w:rPr>
              <w:t xml:space="preserve">, maksymalny </w:t>
            </w:r>
            <w:r w:rsidR="00620DD2">
              <w:rPr>
                <w:rFonts w:eastAsia="Times New Roman" w:cs="Calibri"/>
                <w:color w:val="000000"/>
                <w:kern w:val="0"/>
                <w:sz w:val="16"/>
                <w:szCs w:val="16"/>
                <w:lang w:eastAsia="pl-PL"/>
                <w14:ligatures w14:val="none"/>
              </w:rPr>
              <w:t>okres wypłat do</w:t>
            </w:r>
            <w:r w:rsidRPr="00B42A8B">
              <w:rPr>
                <w:rFonts w:eastAsia="Times New Roman" w:cs="Calibri"/>
                <w:color w:val="000000"/>
                <w:kern w:val="0"/>
                <w:sz w:val="16"/>
                <w:szCs w:val="16"/>
                <w:lang w:eastAsia="pl-PL"/>
                <w14:ligatures w14:val="none"/>
              </w:rPr>
              <w:t xml:space="preserve"> 31.12.2048</w:t>
            </w:r>
          </w:p>
        </w:tc>
        <w:tc>
          <w:tcPr>
            <w:tcW w:w="1281" w:type="dxa"/>
            <w:tcBorders>
              <w:top w:val="single" w:sz="4" w:space="0" w:color="3A7C22" w:themeColor="accent6" w:themeShade="BF"/>
            </w:tcBorders>
            <w:hideMark/>
          </w:tcPr>
          <w:p w14:paraId="58F0AE78" w14:textId="77777777" w:rsidR="004B4E67" w:rsidRPr="003416D6"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Opłata kogeneracyjna</w:t>
            </w:r>
          </w:p>
        </w:tc>
        <w:tc>
          <w:tcPr>
            <w:tcW w:w="1186" w:type="dxa"/>
            <w:tcBorders>
              <w:top w:val="single" w:sz="4" w:space="0" w:color="3A7C22" w:themeColor="accent6" w:themeShade="BF"/>
            </w:tcBorders>
            <w:hideMark/>
          </w:tcPr>
          <w:p w14:paraId="24622450" w14:textId="77777777" w:rsidR="004B4E67" w:rsidRPr="003416D6"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Operacyjne</w:t>
            </w:r>
          </w:p>
        </w:tc>
        <w:tc>
          <w:tcPr>
            <w:tcW w:w="1413" w:type="dxa"/>
            <w:tcBorders>
              <w:top w:val="single" w:sz="4" w:space="0" w:color="3A7C22" w:themeColor="accent6" w:themeShade="BF"/>
            </w:tcBorders>
            <w:hideMark/>
          </w:tcPr>
          <w:p w14:paraId="6417C80F" w14:textId="77777777" w:rsidR="004B4E67" w:rsidRPr="003416D6" w:rsidRDefault="004B4E67" w:rsidP="0054707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Ministerstwo Klimatu i Środowiska</w:t>
            </w:r>
          </w:p>
        </w:tc>
        <w:tc>
          <w:tcPr>
            <w:tcW w:w="3548" w:type="dxa"/>
            <w:tcBorders>
              <w:top w:val="single" w:sz="4" w:space="0" w:color="3A7C22" w:themeColor="accent6" w:themeShade="BF"/>
            </w:tcBorders>
            <w:hideMark/>
          </w:tcPr>
          <w:p w14:paraId="7F62CDB9" w14:textId="1660D83C" w:rsidR="004B4E67" w:rsidRPr="003416D6" w:rsidRDefault="004B4E67" w:rsidP="00CF5E8B">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Zapewnienie dopłat do wyprodukowanej energii w wysokosprawnej kogeneracji, uzyskiwanych w drodze aukcji.  Jego celem jest zarówno stymulowanie budowy nowych jednostek kogeneracji, jak i utrzymanie produkcji energii elektrycznej z wysokosprawnej kogeneracji w istniejących jednostkach, które bez wsparcia nie mogłyby funkcjonować z powodu luki finansowej w kosztach operacyjnych.</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 xml:space="preserve">Podstawa prawna: </w:t>
            </w:r>
            <w:r w:rsidR="00C741A8">
              <w:rPr>
                <w:rFonts w:eastAsia="Times New Roman" w:cs="Calibri"/>
                <w:color w:val="000000"/>
                <w:kern w:val="0"/>
                <w:sz w:val="16"/>
                <w:szCs w:val="16"/>
                <w:lang w:eastAsia="pl-PL"/>
                <w14:ligatures w14:val="none"/>
              </w:rPr>
              <w:t>u</w:t>
            </w:r>
            <w:r w:rsidRPr="003416D6">
              <w:rPr>
                <w:rFonts w:eastAsia="Times New Roman" w:cs="Calibri"/>
                <w:color w:val="000000"/>
                <w:kern w:val="0"/>
                <w:sz w:val="16"/>
                <w:szCs w:val="16"/>
                <w:lang w:eastAsia="pl-PL"/>
                <w14:ligatures w14:val="none"/>
              </w:rPr>
              <w:t>stawa z dnia 14 grudnia 2018 roku o promowaniu energii elektrycznej z wysokosprawnej kogeneracji.</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Decyzja notyfikacyjne KE nr SA.52530 (2019/N)</w:t>
            </w:r>
          </w:p>
        </w:tc>
      </w:tr>
      <w:tr w:rsidR="00801275" w:rsidRPr="00ED52BB" w14:paraId="46E50CED" w14:textId="77777777" w:rsidTr="00300186">
        <w:trPr>
          <w:cnfStyle w:val="000000100000" w:firstRow="0" w:lastRow="0" w:firstColumn="0" w:lastColumn="0" w:oddVBand="0" w:evenVBand="0" w:oddHBand="1" w:evenHBand="0" w:firstRowFirstColumn="0" w:firstRowLastColumn="0" w:lastRowFirstColumn="0" w:lastRowLastColumn="0"/>
          <w:trHeight w:val="2856"/>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6CF09BD3" w14:textId="0E952EA3" w:rsidR="004B4E67" w:rsidRPr="002B271B" w:rsidRDefault="004B4E67" w:rsidP="002B271B">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6596D3B4" w14:textId="54D20FF6"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Opłata zastępcza</w:t>
            </w:r>
            <w:r w:rsidR="00C741A8">
              <w:rPr>
                <w:rFonts w:eastAsia="Times New Roman" w:cs="Calibri"/>
                <w:color w:val="000000"/>
                <w:kern w:val="0"/>
                <w:sz w:val="16"/>
                <w:szCs w:val="16"/>
                <w:lang w:eastAsia="pl-PL"/>
                <w14:ligatures w14:val="none"/>
              </w:rPr>
              <w:t xml:space="preserve"> – </w:t>
            </w:r>
            <w:r w:rsidRPr="003416D6">
              <w:rPr>
                <w:rFonts w:eastAsia="Times New Roman" w:cs="Calibri"/>
                <w:color w:val="000000"/>
                <w:kern w:val="0"/>
                <w:sz w:val="16"/>
                <w:szCs w:val="16"/>
                <w:lang w:eastAsia="pl-PL"/>
                <w14:ligatures w14:val="none"/>
              </w:rPr>
              <w:t>białe certyfikaty</w:t>
            </w:r>
          </w:p>
        </w:tc>
        <w:tc>
          <w:tcPr>
            <w:tcW w:w="1559" w:type="dxa"/>
            <w:tcBorders>
              <w:top w:val="single" w:sz="4" w:space="0" w:color="3A7C22" w:themeColor="accent6" w:themeShade="BF"/>
              <w:bottom w:val="single" w:sz="4" w:space="0" w:color="3A7C22" w:themeColor="accent6" w:themeShade="BF"/>
            </w:tcBorders>
            <w:hideMark/>
          </w:tcPr>
          <w:p w14:paraId="66448983"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Ciepłownictwo systemowe/Elektroenergetyka</w:t>
            </w:r>
          </w:p>
        </w:tc>
        <w:tc>
          <w:tcPr>
            <w:tcW w:w="1701" w:type="dxa"/>
            <w:tcBorders>
              <w:top w:val="single" w:sz="4" w:space="0" w:color="3A7C22" w:themeColor="accent6" w:themeShade="BF"/>
              <w:bottom w:val="single" w:sz="4" w:space="0" w:color="3A7C22" w:themeColor="accent6" w:themeShade="BF"/>
            </w:tcBorders>
            <w:hideMark/>
          </w:tcPr>
          <w:p w14:paraId="6E5C60B8" w14:textId="56F9E4F5"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Trudna do oszacowania ze względu na swoją konstrukcję </w:t>
            </w:r>
          </w:p>
        </w:tc>
        <w:tc>
          <w:tcPr>
            <w:tcW w:w="1559" w:type="dxa"/>
            <w:tcBorders>
              <w:top w:val="single" w:sz="4" w:space="0" w:color="3A7C22" w:themeColor="accent6" w:themeShade="BF"/>
              <w:bottom w:val="single" w:sz="4" w:space="0" w:color="3A7C22" w:themeColor="accent6" w:themeShade="BF"/>
            </w:tcBorders>
            <w:hideMark/>
          </w:tcPr>
          <w:p w14:paraId="68F775E4" w14:textId="3D68B841"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Wdrożony</w:t>
            </w:r>
            <w:r w:rsidR="00C741A8">
              <w:rPr>
                <w:rFonts w:eastAsia="Times New Roman" w:cs="Calibri"/>
                <w:color w:val="000000"/>
                <w:kern w:val="0"/>
                <w:sz w:val="16"/>
                <w:szCs w:val="16"/>
                <w:lang w:eastAsia="pl-PL"/>
                <w14:ligatures w14:val="none"/>
              </w:rPr>
              <w:t xml:space="preserve"> – </w:t>
            </w:r>
            <w:r w:rsidRPr="003416D6">
              <w:rPr>
                <w:rFonts w:eastAsia="Times New Roman" w:cs="Calibri"/>
                <w:color w:val="000000"/>
                <w:kern w:val="0"/>
                <w:sz w:val="16"/>
                <w:szCs w:val="16"/>
                <w:lang w:eastAsia="pl-PL"/>
                <w14:ligatures w14:val="none"/>
              </w:rPr>
              <w:t>nie określono daty końcowej</w:t>
            </w:r>
          </w:p>
        </w:tc>
        <w:tc>
          <w:tcPr>
            <w:tcW w:w="1281" w:type="dxa"/>
            <w:tcBorders>
              <w:top w:val="single" w:sz="4" w:space="0" w:color="3A7C22" w:themeColor="accent6" w:themeShade="BF"/>
              <w:bottom w:val="single" w:sz="4" w:space="0" w:color="3A7C22" w:themeColor="accent6" w:themeShade="BF"/>
            </w:tcBorders>
            <w:hideMark/>
          </w:tcPr>
          <w:p w14:paraId="7872A030"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Opłata zastępcza</w:t>
            </w:r>
          </w:p>
        </w:tc>
        <w:tc>
          <w:tcPr>
            <w:tcW w:w="1186" w:type="dxa"/>
            <w:tcBorders>
              <w:top w:val="single" w:sz="4" w:space="0" w:color="3A7C22" w:themeColor="accent6" w:themeShade="BF"/>
              <w:bottom w:val="single" w:sz="4" w:space="0" w:color="3A7C22" w:themeColor="accent6" w:themeShade="BF"/>
            </w:tcBorders>
            <w:hideMark/>
          </w:tcPr>
          <w:p w14:paraId="60785503"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Operacyjne</w:t>
            </w:r>
          </w:p>
        </w:tc>
        <w:tc>
          <w:tcPr>
            <w:tcW w:w="1413" w:type="dxa"/>
            <w:tcBorders>
              <w:top w:val="single" w:sz="4" w:space="0" w:color="3A7C22" w:themeColor="accent6" w:themeShade="BF"/>
              <w:bottom w:val="single" w:sz="4" w:space="0" w:color="3A7C22" w:themeColor="accent6" w:themeShade="BF"/>
            </w:tcBorders>
            <w:hideMark/>
          </w:tcPr>
          <w:p w14:paraId="03622C6F" w14:textId="77777777" w:rsidR="004B4E67" w:rsidRPr="003416D6" w:rsidRDefault="004B4E67" w:rsidP="0054707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Urząd Regulacji Energetyki</w:t>
            </w:r>
          </w:p>
        </w:tc>
        <w:tc>
          <w:tcPr>
            <w:tcW w:w="3548" w:type="dxa"/>
            <w:tcBorders>
              <w:top w:val="single" w:sz="4" w:space="0" w:color="3A7C22" w:themeColor="accent6" w:themeShade="BF"/>
              <w:bottom w:val="single" w:sz="4" w:space="0" w:color="3A7C22" w:themeColor="accent6" w:themeShade="BF"/>
            </w:tcBorders>
            <w:hideMark/>
          </w:tcPr>
          <w:p w14:paraId="684F57B8" w14:textId="18B42A82" w:rsidR="004B4E67" w:rsidRPr="003416D6" w:rsidRDefault="004B4E67" w:rsidP="00CF5E8B">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Białe certyfikaty są jednostkami potwierdzającymi osiągnięcie określonego poziomu efektywności energetycznej lub produkcji energii ze źródeł odnawialnych. Podmioty objęte obowiązkiem gromadzenia białych certyfikatów, które nie są w stanie ich zdobyć poprzez w własne działania (np. poprzez inwestycje w efektywność energetyczną lub produkcję energii odnawialnej), mogą zamiast tego uiścić opłatę zastępczą. </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Opłata zastępcza jest wykorzystywana jako mechanizm rekompensujący brak realizacji wymagań dotyczących białych certyfikatów. Opłata ta jest ustalana na podstawie określonej stawki i jest wypłacana do odpowiedniego funduszu lub systemu, który następnie może finansować projekty związane z efektywnością energetyczną lub produkcją energii odnawialnej.</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Wysokość opłaty zastępczej</w:t>
            </w:r>
            <w:r w:rsidR="00C741A8">
              <w:rPr>
                <w:rFonts w:eastAsia="Times New Roman" w:cs="Calibri"/>
                <w:color w:val="000000"/>
                <w:kern w:val="0"/>
                <w:sz w:val="16"/>
                <w:szCs w:val="16"/>
                <w:lang w:eastAsia="pl-PL"/>
                <w14:ligatures w14:val="none"/>
              </w:rPr>
              <w:t xml:space="preserve"> – </w:t>
            </w:r>
            <w:r w:rsidRPr="003416D6">
              <w:rPr>
                <w:rFonts w:eastAsia="Times New Roman" w:cs="Calibri"/>
                <w:color w:val="000000"/>
                <w:kern w:val="0"/>
                <w:sz w:val="16"/>
                <w:szCs w:val="16"/>
                <w:lang w:eastAsia="pl-PL"/>
                <w14:ligatures w14:val="none"/>
              </w:rPr>
              <w:t xml:space="preserve">Podstawa prawna:   art. 11 ustawy z dnia 20 maja 2016 r. o efektywności energetycznej (Dz. U. z 2021 r. poz. 2166 z </w:t>
            </w:r>
            <w:proofErr w:type="spellStart"/>
            <w:r w:rsidRPr="003416D6">
              <w:rPr>
                <w:rFonts w:eastAsia="Times New Roman" w:cs="Calibri"/>
                <w:color w:val="000000"/>
                <w:kern w:val="0"/>
                <w:sz w:val="16"/>
                <w:szCs w:val="16"/>
                <w:lang w:eastAsia="pl-PL"/>
                <w14:ligatures w14:val="none"/>
              </w:rPr>
              <w:t>późn</w:t>
            </w:r>
            <w:proofErr w:type="spellEnd"/>
            <w:r w:rsidRPr="003416D6">
              <w:rPr>
                <w:rFonts w:eastAsia="Times New Roman" w:cs="Calibri"/>
                <w:color w:val="000000"/>
                <w:kern w:val="0"/>
                <w:sz w:val="16"/>
                <w:szCs w:val="16"/>
                <w:lang w:eastAsia="pl-PL"/>
                <w14:ligatures w14:val="none"/>
              </w:rPr>
              <w:t xml:space="preserve">. zm.) </w:t>
            </w:r>
          </w:p>
        </w:tc>
      </w:tr>
      <w:tr w:rsidR="00ED2351" w:rsidRPr="00ED52BB" w14:paraId="26E4DFBB" w14:textId="77777777" w:rsidTr="00300186">
        <w:trPr>
          <w:trHeight w:val="2856"/>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6B7BC8BD" w14:textId="77777777" w:rsidR="00ED2351" w:rsidRPr="002B271B" w:rsidRDefault="00ED2351" w:rsidP="00ED2351">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tcPr>
          <w:p w14:paraId="06D0DB3F" w14:textId="7AA87C71" w:rsidR="00ED2351" w:rsidRPr="003416D6" w:rsidRDefault="00ED2351" w:rsidP="00ED235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Dwustronny kontrakt różnicowy dla </w:t>
            </w:r>
            <w:r w:rsidR="004F6917" w:rsidRPr="00894019">
              <w:rPr>
                <w:rFonts w:eastAsia="Times New Roman" w:cs="Calibri"/>
                <w:color w:val="000000"/>
                <w:kern w:val="0"/>
                <w:sz w:val="16"/>
                <w:szCs w:val="16"/>
                <w:lang w:eastAsia="pl-PL"/>
                <w14:ligatures w14:val="none"/>
              </w:rPr>
              <w:t>spółki Polskie Elektrownie Jądrowe sp. z o.o</w:t>
            </w:r>
            <w:r w:rsidR="004F6917">
              <w:rPr>
                <w:rFonts w:eastAsia="Times New Roman" w:cs="Calibri"/>
                <w:color w:val="000000"/>
                <w:kern w:val="0"/>
                <w:sz w:val="16"/>
                <w:szCs w:val="16"/>
                <w:lang w:eastAsia="pl-PL"/>
                <w14:ligatures w14:val="none"/>
              </w:rPr>
              <w:t>.</w:t>
            </w:r>
          </w:p>
        </w:tc>
        <w:tc>
          <w:tcPr>
            <w:tcW w:w="1559" w:type="dxa"/>
            <w:tcBorders>
              <w:top w:val="single" w:sz="4" w:space="0" w:color="3A7C22" w:themeColor="accent6" w:themeShade="BF"/>
              <w:bottom w:val="single" w:sz="4" w:space="0" w:color="3A7C22" w:themeColor="accent6" w:themeShade="BF"/>
            </w:tcBorders>
          </w:tcPr>
          <w:p w14:paraId="1577B89C" w14:textId="1FABC36E" w:rsidR="00ED2351" w:rsidRPr="003416D6" w:rsidRDefault="00ED2351" w:rsidP="00ED235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bottom w:val="single" w:sz="4" w:space="0" w:color="3A7C22" w:themeColor="accent6" w:themeShade="BF"/>
            </w:tcBorders>
          </w:tcPr>
          <w:p w14:paraId="2CF1FF68" w14:textId="1B751CFE" w:rsidR="00ED2351" w:rsidRPr="003416D6" w:rsidRDefault="00ED2351" w:rsidP="00ED235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Trudna do oszacowania ze względu na swoją konstrukcję </w:t>
            </w:r>
          </w:p>
        </w:tc>
        <w:tc>
          <w:tcPr>
            <w:tcW w:w="1559" w:type="dxa"/>
            <w:tcBorders>
              <w:top w:val="single" w:sz="4" w:space="0" w:color="3A7C22" w:themeColor="accent6" w:themeShade="BF"/>
              <w:bottom w:val="single" w:sz="4" w:space="0" w:color="3A7C22" w:themeColor="accent6" w:themeShade="BF"/>
            </w:tcBorders>
          </w:tcPr>
          <w:p w14:paraId="5ADFFE3D" w14:textId="094B6524" w:rsidR="00ED2351" w:rsidRPr="003416D6" w:rsidRDefault="00FC05E2" w:rsidP="00ED235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894019">
              <w:rPr>
                <w:rFonts w:eastAsia="Times New Roman" w:cs="Calibri"/>
                <w:color w:val="000000"/>
                <w:kern w:val="0"/>
                <w:sz w:val="16"/>
                <w:szCs w:val="16"/>
                <w:lang w:eastAsia="pl-PL"/>
                <w14:ligatures w14:val="none"/>
              </w:rPr>
              <w:t>60 lat od uruchomienia elektrowni jądrowej</w:t>
            </w:r>
          </w:p>
        </w:tc>
        <w:tc>
          <w:tcPr>
            <w:tcW w:w="1281" w:type="dxa"/>
            <w:tcBorders>
              <w:top w:val="single" w:sz="4" w:space="0" w:color="3A7C22" w:themeColor="accent6" w:themeShade="BF"/>
              <w:bottom w:val="single" w:sz="4" w:space="0" w:color="3A7C22" w:themeColor="accent6" w:themeShade="BF"/>
            </w:tcBorders>
          </w:tcPr>
          <w:p w14:paraId="5E29529C" w14:textId="70D1CBE6" w:rsidR="00ED2351" w:rsidRPr="003416D6" w:rsidRDefault="00ED2351" w:rsidP="00ED235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w:t>
            </w:r>
          </w:p>
        </w:tc>
        <w:tc>
          <w:tcPr>
            <w:tcW w:w="1186" w:type="dxa"/>
            <w:tcBorders>
              <w:top w:val="single" w:sz="4" w:space="0" w:color="3A7C22" w:themeColor="accent6" w:themeShade="BF"/>
              <w:bottom w:val="single" w:sz="4" w:space="0" w:color="3A7C22" w:themeColor="accent6" w:themeShade="BF"/>
            </w:tcBorders>
          </w:tcPr>
          <w:p w14:paraId="72530C73" w14:textId="3B8828F9" w:rsidR="00ED2351" w:rsidRPr="003416D6" w:rsidRDefault="00ED2351" w:rsidP="00ED235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Operacyjne</w:t>
            </w:r>
          </w:p>
        </w:tc>
        <w:tc>
          <w:tcPr>
            <w:tcW w:w="1413" w:type="dxa"/>
            <w:tcBorders>
              <w:top w:val="single" w:sz="4" w:space="0" w:color="3A7C22" w:themeColor="accent6" w:themeShade="BF"/>
              <w:bottom w:val="single" w:sz="4" w:space="0" w:color="3A7C22" w:themeColor="accent6" w:themeShade="BF"/>
            </w:tcBorders>
          </w:tcPr>
          <w:p w14:paraId="7711998D" w14:textId="7152DAE5" w:rsidR="00ED2351" w:rsidRPr="003416D6" w:rsidRDefault="00590202" w:rsidP="00ED2351">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894019">
              <w:rPr>
                <w:rFonts w:eastAsia="Times New Roman" w:cs="Calibri"/>
                <w:color w:val="000000"/>
                <w:kern w:val="0"/>
                <w:sz w:val="16"/>
                <w:szCs w:val="16"/>
                <w:lang w:eastAsia="pl-PL"/>
                <w14:ligatures w14:val="none"/>
              </w:rPr>
              <w:t>Podmiot wykonujący prawa z udziałów w spółce Polskie Elektrownie Jądrowe sp. z o.o.</w:t>
            </w:r>
          </w:p>
        </w:tc>
        <w:tc>
          <w:tcPr>
            <w:tcW w:w="3548" w:type="dxa"/>
            <w:tcBorders>
              <w:top w:val="single" w:sz="4" w:space="0" w:color="3A7C22" w:themeColor="accent6" w:themeShade="BF"/>
              <w:bottom w:val="single" w:sz="4" w:space="0" w:color="3A7C22" w:themeColor="accent6" w:themeShade="BF"/>
            </w:tcBorders>
          </w:tcPr>
          <w:p w14:paraId="793CA723" w14:textId="12A46487" w:rsidR="00ED2351" w:rsidRPr="003416D6" w:rsidRDefault="00ED2351" w:rsidP="00ED2351">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Mechanizm wsparcia umożliwiający realizację budowy elektrowni jądrowej o mocy elektrycznej do 3750 </w:t>
            </w:r>
            <w:proofErr w:type="spellStart"/>
            <w:r w:rsidRPr="003416D6">
              <w:rPr>
                <w:rFonts w:eastAsia="Times New Roman" w:cs="Calibri"/>
                <w:color w:val="000000"/>
                <w:kern w:val="0"/>
                <w:sz w:val="16"/>
                <w:szCs w:val="16"/>
                <w:lang w:eastAsia="pl-PL"/>
                <w14:ligatures w14:val="none"/>
              </w:rPr>
              <w:t>MWe</w:t>
            </w:r>
            <w:proofErr w:type="spellEnd"/>
            <w:r w:rsidRPr="003416D6">
              <w:rPr>
                <w:rFonts w:eastAsia="Times New Roman" w:cs="Calibri"/>
                <w:color w:val="000000"/>
                <w:kern w:val="0"/>
                <w:sz w:val="16"/>
                <w:szCs w:val="16"/>
                <w:lang w:eastAsia="pl-PL"/>
                <w14:ligatures w14:val="none"/>
              </w:rPr>
              <w:t xml:space="preserve"> </w:t>
            </w:r>
            <w:r w:rsidR="00363C25" w:rsidRPr="00894019">
              <w:rPr>
                <w:rFonts w:eastAsia="Times New Roman" w:cs="Calibri"/>
                <w:color w:val="000000"/>
                <w:kern w:val="0"/>
                <w:sz w:val="16"/>
                <w:szCs w:val="16"/>
                <w:lang w:eastAsia="pl-PL"/>
                <w14:ligatures w14:val="none"/>
              </w:rPr>
              <w:t xml:space="preserve">lokalizacji Lubiatowo-Kopalino </w:t>
            </w:r>
            <w:r w:rsidRPr="003416D6">
              <w:rPr>
                <w:rFonts w:eastAsia="Times New Roman" w:cs="Calibri"/>
                <w:color w:val="000000"/>
                <w:kern w:val="0"/>
                <w:sz w:val="16"/>
                <w:szCs w:val="16"/>
                <w:lang w:eastAsia="pl-PL"/>
                <w14:ligatures w14:val="none"/>
              </w:rPr>
              <w:t>w oparciu o amerykańską technologię reaktorów AP1000</w:t>
            </w:r>
          </w:p>
        </w:tc>
      </w:tr>
      <w:tr w:rsidR="00801275" w:rsidRPr="00ED52BB" w14:paraId="0F9BBD51" w14:textId="77777777" w:rsidTr="00300186">
        <w:trPr>
          <w:cnfStyle w:val="000000100000" w:firstRow="0" w:lastRow="0" w:firstColumn="0" w:lastColumn="0" w:oddVBand="0" w:evenVBand="0" w:oddHBand="1" w:evenHBand="0" w:firstRowFirstColumn="0" w:firstRowLastColumn="0" w:lastRowFirstColumn="0" w:lastRowLastColumn="0"/>
          <w:trHeight w:val="2856"/>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4BADD0DD" w14:textId="77777777" w:rsidR="00ED2351" w:rsidRPr="002B271B" w:rsidRDefault="00ED2351" w:rsidP="00ED2351">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tcPr>
          <w:p w14:paraId="66328952" w14:textId="47B140B8" w:rsidR="00ED2351" w:rsidRPr="003416D6" w:rsidRDefault="00ED2351" w:rsidP="00ED235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Podwyższenie kapitału zakładowego </w:t>
            </w:r>
            <w:r w:rsidR="00BF07C6">
              <w:rPr>
                <w:rFonts w:eastAsia="Times New Roman" w:cs="Calibri"/>
                <w:color w:val="000000"/>
                <w:kern w:val="0"/>
                <w:sz w:val="16"/>
                <w:szCs w:val="16"/>
                <w:lang w:eastAsia="pl-PL"/>
                <w14:ligatures w14:val="none"/>
              </w:rPr>
              <w:t>spółki Polskie Elektrownie Jądrowe sp. z o.o.</w:t>
            </w:r>
          </w:p>
        </w:tc>
        <w:tc>
          <w:tcPr>
            <w:tcW w:w="1559" w:type="dxa"/>
            <w:tcBorders>
              <w:top w:val="single" w:sz="4" w:space="0" w:color="3A7C22" w:themeColor="accent6" w:themeShade="BF"/>
              <w:bottom w:val="single" w:sz="4" w:space="0" w:color="3A7C22" w:themeColor="accent6" w:themeShade="BF"/>
            </w:tcBorders>
          </w:tcPr>
          <w:p w14:paraId="3BCB033A" w14:textId="31885521" w:rsidR="00ED2351" w:rsidRPr="003416D6" w:rsidRDefault="00ED2351" w:rsidP="00ED235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bottom w:val="single" w:sz="4" w:space="0" w:color="3A7C22" w:themeColor="accent6" w:themeShade="BF"/>
            </w:tcBorders>
          </w:tcPr>
          <w:p w14:paraId="7647AC3F" w14:textId="5636B2F8" w:rsidR="00ED2351" w:rsidRPr="003416D6" w:rsidRDefault="00ED2351" w:rsidP="00ED235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60 mld zł</w:t>
            </w:r>
          </w:p>
        </w:tc>
        <w:tc>
          <w:tcPr>
            <w:tcW w:w="1559" w:type="dxa"/>
            <w:tcBorders>
              <w:top w:val="single" w:sz="4" w:space="0" w:color="3A7C22" w:themeColor="accent6" w:themeShade="BF"/>
              <w:bottom w:val="single" w:sz="4" w:space="0" w:color="3A7C22" w:themeColor="accent6" w:themeShade="BF"/>
            </w:tcBorders>
          </w:tcPr>
          <w:p w14:paraId="36A7E778" w14:textId="0B7CC816" w:rsidR="00ED2351" w:rsidRPr="003416D6" w:rsidRDefault="00ED2351" w:rsidP="00ED235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2025</w:t>
            </w:r>
            <w:r>
              <w:rPr>
                <w:rFonts w:eastAsia="Times New Roman" w:cs="Calibri"/>
                <w:color w:val="000000"/>
                <w:kern w:val="0"/>
                <w:sz w:val="16"/>
                <w:szCs w:val="16"/>
                <w:lang w:eastAsia="pl-PL"/>
                <w14:ligatures w14:val="none"/>
              </w:rPr>
              <w:t>–2</w:t>
            </w:r>
            <w:r w:rsidRPr="003416D6">
              <w:rPr>
                <w:rFonts w:eastAsia="Times New Roman" w:cs="Calibri"/>
                <w:color w:val="000000"/>
                <w:kern w:val="0"/>
                <w:sz w:val="16"/>
                <w:szCs w:val="16"/>
                <w:lang w:eastAsia="pl-PL"/>
                <w14:ligatures w14:val="none"/>
              </w:rPr>
              <w:t>037</w:t>
            </w:r>
          </w:p>
        </w:tc>
        <w:tc>
          <w:tcPr>
            <w:tcW w:w="1281" w:type="dxa"/>
            <w:tcBorders>
              <w:top w:val="single" w:sz="4" w:space="0" w:color="3A7C22" w:themeColor="accent6" w:themeShade="BF"/>
              <w:bottom w:val="single" w:sz="4" w:space="0" w:color="3A7C22" w:themeColor="accent6" w:themeShade="BF"/>
            </w:tcBorders>
          </w:tcPr>
          <w:p w14:paraId="6267C6BA" w14:textId="4D14AE5C" w:rsidR="00ED2351" w:rsidRPr="003416D6" w:rsidRDefault="00ED2351" w:rsidP="00ED235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B55BA0">
              <w:rPr>
                <w:rFonts w:eastAsia="Times New Roman" w:cs="Calibri"/>
                <w:color w:val="000000"/>
                <w:kern w:val="0"/>
                <w:sz w:val="16"/>
                <w:szCs w:val="16"/>
                <w:lang w:eastAsia="pl-PL"/>
                <w14:ligatures w14:val="none"/>
              </w:rPr>
              <w:t>Skarb Państwa reprezento</w:t>
            </w:r>
            <w:r>
              <w:rPr>
                <w:rFonts w:eastAsia="Times New Roman" w:cs="Calibri"/>
                <w:color w:val="000000"/>
                <w:kern w:val="0"/>
                <w:sz w:val="16"/>
                <w:szCs w:val="16"/>
                <w:lang w:eastAsia="pl-PL"/>
                <w14:ligatures w14:val="none"/>
              </w:rPr>
              <w:t>w</w:t>
            </w:r>
            <w:r w:rsidRPr="00B55BA0">
              <w:rPr>
                <w:rFonts w:eastAsia="Times New Roman" w:cs="Calibri"/>
                <w:color w:val="000000"/>
                <w:kern w:val="0"/>
                <w:sz w:val="16"/>
                <w:szCs w:val="16"/>
                <w:lang w:eastAsia="pl-PL"/>
                <w14:ligatures w14:val="none"/>
              </w:rPr>
              <w:t>any przez Ministra Finansów</w:t>
            </w:r>
          </w:p>
        </w:tc>
        <w:tc>
          <w:tcPr>
            <w:tcW w:w="1186" w:type="dxa"/>
            <w:tcBorders>
              <w:top w:val="single" w:sz="4" w:space="0" w:color="3A7C22" w:themeColor="accent6" w:themeShade="BF"/>
              <w:bottom w:val="single" w:sz="4" w:space="0" w:color="3A7C22" w:themeColor="accent6" w:themeShade="BF"/>
            </w:tcBorders>
          </w:tcPr>
          <w:p w14:paraId="423FA922" w14:textId="2D71EC5E" w:rsidR="00ED2351" w:rsidRPr="003416D6" w:rsidRDefault="00ED2351" w:rsidP="00ED235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Inwestycyjne</w:t>
            </w:r>
          </w:p>
        </w:tc>
        <w:tc>
          <w:tcPr>
            <w:tcW w:w="1413" w:type="dxa"/>
            <w:tcBorders>
              <w:top w:val="single" w:sz="4" w:space="0" w:color="3A7C22" w:themeColor="accent6" w:themeShade="BF"/>
              <w:bottom w:val="single" w:sz="4" w:space="0" w:color="3A7C22" w:themeColor="accent6" w:themeShade="BF"/>
            </w:tcBorders>
          </w:tcPr>
          <w:p w14:paraId="1F4855D8" w14:textId="0685B00A" w:rsidR="00ED2351" w:rsidRPr="003416D6" w:rsidRDefault="00ED2351" w:rsidP="00ED2351">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Podmiot wykonujący prawa z udziałów w spółce  Polskie Elektrownie Jądrowe spółka z ograniczoną odpowiedzialnością, w uzgodnieniu z ministrem właściwym do spraw finansów publicznych.</w:t>
            </w:r>
          </w:p>
        </w:tc>
        <w:tc>
          <w:tcPr>
            <w:tcW w:w="3548" w:type="dxa"/>
            <w:tcBorders>
              <w:top w:val="single" w:sz="4" w:space="0" w:color="3A7C22" w:themeColor="accent6" w:themeShade="BF"/>
              <w:bottom w:val="single" w:sz="4" w:space="0" w:color="3A7C22" w:themeColor="accent6" w:themeShade="BF"/>
            </w:tcBorders>
          </w:tcPr>
          <w:p w14:paraId="51BF1399" w14:textId="760CBD17" w:rsidR="00ED2351" w:rsidRDefault="00ED2351" w:rsidP="00ED2351">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Podwyższenie kapitału własnego spółki Polskie Elektrownie Jądrowe spółka z ograniczoną odpowiedzialnością służące zapewnieniu odpowiedniego finansowania budowy elektrowni jądrowej o mocy elektrycznej do 3750 </w:t>
            </w:r>
            <w:proofErr w:type="spellStart"/>
            <w:r w:rsidRPr="003416D6">
              <w:rPr>
                <w:rFonts w:eastAsia="Times New Roman" w:cs="Calibri"/>
                <w:color w:val="000000"/>
                <w:kern w:val="0"/>
                <w:sz w:val="16"/>
                <w:szCs w:val="16"/>
                <w:lang w:eastAsia="pl-PL"/>
                <w14:ligatures w14:val="none"/>
              </w:rPr>
              <w:t>MWe</w:t>
            </w:r>
            <w:proofErr w:type="spellEnd"/>
            <w:r w:rsidRPr="003416D6">
              <w:rPr>
                <w:rFonts w:eastAsia="Times New Roman" w:cs="Calibri"/>
                <w:color w:val="000000"/>
                <w:kern w:val="0"/>
                <w:sz w:val="16"/>
                <w:szCs w:val="16"/>
                <w:lang w:eastAsia="pl-PL"/>
                <w14:ligatures w14:val="none"/>
              </w:rPr>
              <w:t xml:space="preserve"> </w:t>
            </w:r>
            <w:r w:rsidR="00BD1434">
              <w:rPr>
                <w:rFonts w:eastAsia="Times New Roman" w:cs="Calibri"/>
                <w:color w:val="000000"/>
                <w:kern w:val="0"/>
                <w:sz w:val="16"/>
                <w:szCs w:val="16"/>
                <w:lang w:eastAsia="pl-PL"/>
                <w14:ligatures w14:val="none"/>
              </w:rPr>
              <w:t>w lokalizacji Lubiatowo-</w:t>
            </w:r>
            <w:proofErr w:type="spellStart"/>
            <w:r w:rsidR="00BD1434">
              <w:rPr>
                <w:rFonts w:eastAsia="Times New Roman" w:cs="Calibri"/>
                <w:color w:val="000000"/>
                <w:kern w:val="0"/>
                <w:sz w:val="16"/>
                <w:szCs w:val="16"/>
                <w:lang w:eastAsia="pl-PL"/>
                <w14:ligatures w14:val="none"/>
              </w:rPr>
              <w:t>Kopalino</w:t>
            </w:r>
            <w:r w:rsidRPr="003416D6">
              <w:rPr>
                <w:rFonts w:eastAsia="Times New Roman" w:cs="Calibri"/>
                <w:color w:val="000000"/>
                <w:kern w:val="0"/>
                <w:sz w:val="16"/>
                <w:szCs w:val="16"/>
                <w:lang w:eastAsia="pl-PL"/>
                <w14:ligatures w14:val="none"/>
              </w:rPr>
              <w:t>w</w:t>
            </w:r>
            <w:proofErr w:type="spellEnd"/>
            <w:r w:rsidRPr="003416D6">
              <w:rPr>
                <w:rFonts w:eastAsia="Times New Roman" w:cs="Calibri"/>
                <w:color w:val="000000"/>
                <w:kern w:val="0"/>
                <w:sz w:val="16"/>
                <w:szCs w:val="16"/>
                <w:lang w:eastAsia="pl-PL"/>
                <w14:ligatures w14:val="none"/>
              </w:rPr>
              <w:t xml:space="preserve"> oparciu o amerykańską technologię reaktorów AP1000.</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Uchwała nr 84/2023 Rady Ministrów z dnia 30 maja 2023 r.</w:t>
            </w:r>
            <w:r w:rsidRPr="003416D6">
              <w:rPr>
                <w:rFonts w:eastAsia="Times New Roman" w:cs="Calibri"/>
                <w:color w:val="000000"/>
                <w:kern w:val="0"/>
                <w:sz w:val="16"/>
                <w:szCs w:val="16"/>
                <w:lang w:eastAsia="pl-PL"/>
                <w14:ligatures w14:val="none"/>
              </w:rPr>
              <w:br/>
              <w:t xml:space="preserve">w sprawie zapewnienia finansowania budowy elektrowni jądrowej o mocy elektrycznej do 3750 </w:t>
            </w:r>
            <w:proofErr w:type="spellStart"/>
            <w:r w:rsidRPr="003416D6">
              <w:rPr>
                <w:rFonts w:eastAsia="Times New Roman" w:cs="Calibri"/>
                <w:color w:val="000000"/>
                <w:kern w:val="0"/>
                <w:sz w:val="16"/>
                <w:szCs w:val="16"/>
                <w:lang w:eastAsia="pl-PL"/>
                <w14:ligatures w14:val="none"/>
              </w:rPr>
              <w:t>MWe</w:t>
            </w:r>
            <w:proofErr w:type="spellEnd"/>
            <w:r w:rsidRPr="003416D6">
              <w:rPr>
                <w:rFonts w:eastAsia="Times New Roman" w:cs="Calibri"/>
                <w:color w:val="000000"/>
                <w:kern w:val="0"/>
                <w:sz w:val="16"/>
                <w:szCs w:val="16"/>
                <w:lang w:eastAsia="pl-PL"/>
                <w14:ligatures w14:val="none"/>
              </w:rPr>
              <w:t xml:space="preserve"> na obszarze gmin Choczewo lub Gniewino i Krokowa wraz z uzasadnieniem.</w:t>
            </w:r>
            <w:r>
              <w:rPr>
                <w:rFonts w:eastAsia="Times New Roman" w:cs="Calibri"/>
                <w:color w:val="000000"/>
                <w:kern w:val="0"/>
                <w:sz w:val="16"/>
                <w:szCs w:val="16"/>
                <w:lang w:eastAsia="pl-PL"/>
                <w14:ligatures w14:val="none"/>
              </w:rPr>
              <w:t xml:space="preserve"> </w:t>
            </w:r>
          </w:p>
          <w:p w14:paraId="2A5FB59E" w14:textId="77777777" w:rsidR="00ED2351" w:rsidRDefault="00ED2351" w:rsidP="00ED2351">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p>
          <w:p w14:paraId="3934AE36" w14:textId="77777777" w:rsidR="00F6362C" w:rsidRDefault="00F6362C" w:rsidP="00F6362C">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906A3F">
              <w:rPr>
                <w:rFonts w:eastAsia="Times New Roman" w:cs="Calibri"/>
                <w:color w:val="000000"/>
                <w:kern w:val="0"/>
                <w:sz w:val="16"/>
                <w:szCs w:val="16"/>
                <w:lang w:eastAsia="pl-PL"/>
                <w14:ligatures w14:val="none"/>
              </w:rPr>
              <w:t>Ustawa z dnia 20 lutego 2025 r. o zmianie</w:t>
            </w:r>
            <w:r>
              <w:rPr>
                <w:rFonts w:eastAsia="Times New Roman" w:cs="Calibri"/>
                <w:color w:val="000000"/>
                <w:kern w:val="0"/>
                <w:sz w:val="16"/>
                <w:szCs w:val="16"/>
                <w:lang w:eastAsia="pl-PL"/>
                <w14:ligatures w14:val="none"/>
              </w:rPr>
              <w:t xml:space="preserve"> </w:t>
            </w:r>
            <w:r w:rsidRPr="00906A3F">
              <w:rPr>
                <w:rFonts w:eastAsia="Times New Roman" w:cs="Calibri"/>
                <w:color w:val="000000"/>
                <w:kern w:val="0"/>
                <w:sz w:val="16"/>
                <w:szCs w:val="16"/>
                <w:lang w:eastAsia="pl-PL"/>
                <w14:ligatures w14:val="none"/>
              </w:rPr>
              <w:t>ustawy o przygotowaniu i realizacji inwestycji</w:t>
            </w:r>
            <w:r>
              <w:rPr>
                <w:rFonts w:eastAsia="Times New Roman" w:cs="Calibri"/>
                <w:color w:val="000000"/>
                <w:kern w:val="0"/>
                <w:sz w:val="16"/>
                <w:szCs w:val="16"/>
                <w:lang w:eastAsia="pl-PL"/>
                <w14:ligatures w14:val="none"/>
              </w:rPr>
              <w:t xml:space="preserve"> </w:t>
            </w:r>
            <w:r w:rsidRPr="00906A3F">
              <w:rPr>
                <w:rFonts w:eastAsia="Times New Roman" w:cs="Calibri"/>
                <w:color w:val="000000"/>
                <w:kern w:val="0"/>
                <w:sz w:val="16"/>
                <w:szCs w:val="16"/>
                <w:lang w:eastAsia="pl-PL"/>
                <w14:ligatures w14:val="none"/>
              </w:rPr>
              <w:t>w zakresie obiektów energetyki jądrowej oraz</w:t>
            </w:r>
            <w:r>
              <w:rPr>
                <w:rFonts w:eastAsia="Times New Roman" w:cs="Calibri"/>
                <w:color w:val="000000"/>
                <w:kern w:val="0"/>
                <w:sz w:val="16"/>
                <w:szCs w:val="16"/>
                <w:lang w:eastAsia="pl-PL"/>
                <w14:ligatures w14:val="none"/>
              </w:rPr>
              <w:t xml:space="preserve"> </w:t>
            </w:r>
            <w:r w:rsidRPr="00906A3F">
              <w:rPr>
                <w:rFonts w:eastAsia="Times New Roman" w:cs="Calibri"/>
                <w:color w:val="000000"/>
                <w:kern w:val="0"/>
                <w:sz w:val="16"/>
                <w:szCs w:val="16"/>
                <w:lang w:eastAsia="pl-PL"/>
                <w14:ligatures w14:val="none"/>
              </w:rPr>
              <w:t>inwestycji towarzyszących oraz ustawy o wpłatach z zysku przez jednoosobowe spółki Skarbu Państwa</w:t>
            </w:r>
            <w:r>
              <w:rPr>
                <w:rFonts w:eastAsia="Times New Roman" w:cs="Calibri"/>
                <w:color w:val="000000"/>
                <w:kern w:val="0"/>
                <w:sz w:val="16"/>
                <w:szCs w:val="16"/>
                <w:lang w:eastAsia="pl-PL"/>
                <w14:ligatures w14:val="none"/>
              </w:rPr>
              <w:t>.</w:t>
            </w:r>
          </w:p>
          <w:p w14:paraId="351206CD" w14:textId="09665A46" w:rsidR="00ED2351" w:rsidRPr="003416D6" w:rsidRDefault="00ED2351" w:rsidP="00ED2351">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p>
        </w:tc>
      </w:tr>
      <w:tr w:rsidR="00781523" w:rsidRPr="00ED52BB" w14:paraId="7DE8F9E7" w14:textId="77777777" w:rsidTr="00300186">
        <w:trPr>
          <w:trHeight w:val="1096"/>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5C01C80B" w14:textId="34CEC46D"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4B644608"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Krajowy Program Kolejowy do 2030 roku</w:t>
            </w:r>
          </w:p>
        </w:tc>
        <w:tc>
          <w:tcPr>
            <w:tcW w:w="1559" w:type="dxa"/>
            <w:tcBorders>
              <w:top w:val="single" w:sz="4" w:space="0" w:color="3A7C22" w:themeColor="accent6" w:themeShade="BF"/>
            </w:tcBorders>
            <w:hideMark/>
          </w:tcPr>
          <w:p w14:paraId="60DF7A4B"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Transport</w:t>
            </w:r>
          </w:p>
        </w:tc>
        <w:tc>
          <w:tcPr>
            <w:tcW w:w="1701" w:type="dxa"/>
            <w:tcBorders>
              <w:top w:val="single" w:sz="4" w:space="0" w:color="3A7C22" w:themeColor="accent6" w:themeShade="BF"/>
            </w:tcBorders>
            <w:hideMark/>
          </w:tcPr>
          <w:p w14:paraId="786383D5" w14:textId="5005C055"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16</w:t>
            </w:r>
            <w:r>
              <w:rPr>
                <w:rFonts w:eastAsia="Times New Roman" w:cs="Calibri"/>
                <w:color w:val="000000"/>
                <w:kern w:val="0"/>
                <w:sz w:val="16"/>
                <w:szCs w:val="16"/>
                <w:lang w:eastAsia="pl-PL"/>
                <w14:ligatures w14:val="none"/>
              </w:rPr>
              <w:t>9,1</w:t>
            </w:r>
            <w:r w:rsidRPr="003416D6">
              <w:rPr>
                <w:rFonts w:eastAsia="Times New Roman" w:cs="Calibri"/>
                <w:color w:val="000000"/>
                <w:kern w:val="0"/>
                <w:sz w:val="16"/>
                <w:szCs w:val="16"/>
                <w:lang w:eastAsia="pl-PL"/>
                <w14:ligatures w14:val="none"/>
              </w:rPr>
              <w:t xml:space="preserve"> mld zł</w:t>
            </w:r>
          </w:p>
        </w:tc>
        <w:tc>
          <w:tcPr>
            <w:tcW w:w="1559" w:type="dxa"/>
            <w:tcBorders>
              <w:top w:val="single" w:sz="4" w:space="0" w:color="3A7C22" w:themeColor="accent6" w:themeShade="BF"/>
            </w:tcBorders>
            <w:hideMark/>
          </w:tcPr>
          <w:p w14:paraId="1CC5747F" w14:textId="02491A10"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2014</w:t>
            </w:r>
            <w:r>
              <w:rPr>
                <w:rFonts w:eastAsia="Times New Roman" w:cs="Calibri"/>
                <w:color w:val="000000"/>
                <w:kern w:val="0"/>
                <w:sz w:val="16"/>
                <w:szCs w:val="16"/>
                <w:lang w:eastAsia="pl-PL"/>
                <w14:ligatures w14:val="none"/>
              </w:rPr>
              <w:t>–2</w:t>
            </w:r>
            <w:r w:rsidRPr="003416D6">
              <w:rPr>
                <w:rFonts w:eastAsia="Times New Roman" w:cs="Calibri"/>
                <w:color w:val="000000"/>
                <w:kern w:val="0"/>
                <w:sz w:val="16"/>
                <w:szCs w:val="16"/>
                <w:lang w:eastAsia="pl-PL"/>
                <w14:ligatures w14:val="none"/>
              </w:rPr>
              <w:t>030</w:t>
            </w:r>
          </w:p>
        </w:tc>
        <w:tc>
          <w:tcPr>
            <w:tcW w:w="1281" w:type="dxa"/>
            <w:tcBorders>
              <w:top w:val="single" w:sz="4" w:space="0" w:color="3A7C22" w:themeColor="accent6" w:themeShade="BF"/>
            </w:tcBorders>
            <w:hideMark/>
          </w:tcPr>
          <w:p w14:paraId="5E12F830" w14:textId="7ED250A4"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Środki UE, budżet państwa, budżet państwa – art. 5 UFTL, budżet państwa – środki pochodzące z kontraktów terytorialnych, Fundusz Kolejowy, dokapitalizowanie 2020–2023, KPO, kredyt EBI, Budżet państwa</w:t>
            </w:r>
            <w:r>
              <w:rPr>
                <w:rFonts w:eastAsia="Times New Roman" w:cs="Calibri"/>
                <w:color w:val="000000"/>
                <w:kern w:val="0"/>
                <w:sz w:val="16"/>
                <w:szCs w:val="16"/>
                <w:lang w:eastAsia="pl-PL"/>
                <w14:ligatures w14:val="none"/>
              </w:rPr>
              <w:t xml:space="preserve"> – </w:t>
            </w:r>
            <w:r w:rsidRPr="003416D6">
              <w:rPr>
                <w:rFonts w:eastAsia="Times New Roman" w:cs="Calibri"/>
                <w:color w:val="000000"/>
                <w:kern w:val="0"/>
                <w:sz w:val="16"/>
                <w:szCs w:val="16"/>
                <w:lang w:eastAsia="pl-PL"/>
                <w14:ligatures w14:val="none"/>
              </w:rPr>
              <w:t xml:space="preserve">inne niż art. 5 UFTL w ramach </w:t>
            </w:r>
            <w:r w:rsidRPr="003416D6">
              <w:rPr>
                <w:rFonts w:eastAsia="Times New Roman" w:cs="Calibri"/>
                <w:color w:val="000000"/>
                <w:kern w:val="0"/>
                <w:sz w:val="16"/>
                <w:szCs w:val="16"/>
                <w:lang w:eastAsia="pl-PL"/>
                <w14:ligatures w14:val="none"/>
              </w:rPr>
              <w:lastRenderedPageBreak/>
              <w:t xml:space="preserve">Programu obronnego, dokapitalizowanie 2024, budżet państwa – inne niż art.  5 UFTL, pozostałe źródła </w:t>
            </w:r>
          </w:p>
        </w:tc>
        <w:tc>
          <w:tcPr>
            <w:tcW w:w="1186" w:type="dxa"/>
            <w:tcBorders>
              <w:top w:val="single" w:sz="4" w:space="0" w:color="3A7C22" w:themeColor="accent6" w:themeShade="BF"/>
            </w:tcBorders>
            <w:hideMark/>
          </w:tcPr>
          <w:p w14:paraId="18C8314A"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lastRenderedPageBreak/>
              <w:t>Mieszane</w:t>
            </w:r>
          </w:p>
        </w:tc>
        <w:tc>
          <w:tcPr>
            <w:tcW w:w="1413" w:type="dxa"/>
            <w:tcBorders>
              <w:top w:val="single" w:sz="4" w:space="0" w:color="3A7C22" w:themeColor="accent6" w:themeShade="BF"/>
            </w:tcBorders>
            <w:hideMark/>
          </w:tcPr>
          <w:p w14:paraId="5317B448"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PKP Polskie Linie Kolejowe S.A.</w:t>
            </w:r>
          </w:p>
        </w:tc>
        <w:tc>
          <w:tcPr>
            <w:tcW w:w="3548" w:type="dxa"/>
            <w:tcBorders>
              <w:top w:val="single" w:sz="4" w:space="0" w:color="3A7C22" w:themeColor="accent6" w:themeShade="BF"/>
            </w:tcBorders>
            <w:hideMark/>
          </w:tcPr>
          <w:p w14:paraId="4F6C042C" w14:textId="77777777" w:rsidR="00781523" w:rsidRPr="003416D6"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Krajowy Program Kolejowy (KPK) jest programem wieloletnim, obejmującym inwestycje na liniach kolejowych, które dofinansowane są przez ministra właściwego do spraw transportu.</w:t>
            </w:r>
          </w:p>
        </w:tc>
      </w:tr>
      <w:tr w:rsidR="00801275" w:rsidRPr="00ED52BB" w14:paraId="63293D49" w14:textId="77777777" w:rsidTr="00300186">
        <w:trPr>
          <w:cnfStyle w:val="000000100000" w:firstRow="0" w:lastRow="0" w:firstColumn="0" w:lastColumn="0" w:oddVBand="0" w:evenVBand="0" w:oddHBand="1" w:evenHBand="0" w:firstRowFirstColumn="0" w:firstRowLastColumn="0" w:lastRowFirstColumn="0" w:lastRowLastColumn="0"/>
          <w:trHeight w:val="2040"/>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6DC7FEAA" w14:textId="7B5249A8"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2C81A164" w14:textId="048ED161"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Krajowy Plan Odbudowy i Zwiększania Odporności</w:t>
            </w:r>
          </w:p>
        </w:tc>
        <w:tc>
          <w:tcPr>
            <w:tcW w:w="1559" w:type="dxa"/>
            <w:tcBorders>
              <w:top w:val="single" w:sz="4" w:space="0" w:color="3A7C22" w:themeColor="accent6" w:themeShade="BF"/>
            </w:tcBorders>
            <w:hideMark/>
          </w:tcPr>
          <w:p w14:paraId="041946E2"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Różne sektory</w:t>
            </w:r>
          </w:p>
        </w:tc>
        <w:tc>
          <w:tcPr>
            <w:tcW w:w="1701" w:type="dxa"/>
            <w:tcBorders>
              <w:top w:val="single" w:sz="4" w:space="0" w:color="3A7C22" w:themeColor="accent6" w:themeShade="BF"/>
            </w:tcBorders>
            <w:hideMark/>
          </w:tcPr>
          <w:p w14:paraId="58C0FF80" w14:textId="4F9389D4"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268 mld zł z czego środki przeznaczone na cele związane z transformacją energetyczno</w:t>
            </w:r>
            <w:r>
              <w:rPr>
                <w:rFonts w:eastAsia="Times New Roman" w:cs="Calibri"/>
                <w:color w:val="000000"/>
                <w:kern w:val="0"/>
                <w:sz w:val="16"/>
                <w:szCs w:val="16"/>
                <w:lang w:eastAsia="pl-PL"/>
                <w14:ligatures w14:val="none"/>
              </w:rPr>
              <w:t>-</w:t>
            </w:r>
            <w:r w:rsidRPr="003416D6">
              <w:rPr>
                <w:rFonts w:eastAsia="Times New Roman" w:cs="Calibri"/>
                <w:color w:val="000000"/>
                <w:kern w:val="0"/>
                <w:sz w:val="16"/>
                <w:szCs w:val="16"/>
                <w:lang w:eastAsia="pl-PL"/>
                <w14:ligatures w14:val="none"/>
              </w:rPr>
              <w:t xml:space="preserve"> klimatyczną  </w:t>
            </w:r>
            <w:r w:rsidR="0021295A">
              <w:rPr>
                <w:rFonts w:eastAsia="Times New Roman" w:cs="Calibri"/>
                <w:color w:val="000000"/>
                <w:kern w:val="0"/>
                <w:sz w:val="16"/>
                <w:szCs w:val="16"/>
                <w:lang w:eastAsia="pl-PL"/>
                <w14:ligatures w14:val="none"/>
              </w:rPr>
              <w:t>ok. 203</w:t>
            </w:r>
            <w:r w:rsidRPr="003416D6">
              <w:rPr>
                <w:rFonts w:eastAsia="Times New Roman" w:cs="Calibri"/>
                <w:color w:val="000000"/>
                <w:kern w:val="0"/>
                <w:sz w:val="16"/>
                <w:szCs w:val="16"/>
                <w:lang w:eastAsia="pl-PL"/>
                <w14:ligatures w14:val="none"/>
              </w:rPr>
              <w:t xml:space="preserve"> mld zł</w:t>
            </w:r>
          </w:p>
        </w:tc>
        <w:tc>
          <w:tcPr>
            <w:tcW w:w="1559" w:type="dxa"/>
            <w:tcBorders>
              <w:top w:val="single" w:sz="4" w:space="0" w:color="3A7C22" w:themeColor="accent6" w:themeShade="BF"/>
            </w:tcBorders>
            <w:hideMark/>
          </w:tcPr>
          <w:p w14:paraId="7F16C290" w14:textId="5768817A"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2020</w:t>
            </w:r>
            <w:r>
              <w:rPr>
                <w:rFonts w:eastAsia="Times New Roman" w:cs="Calibri"/>
                <w:color w:val="000000"/>
                <w:kern w:val="0"/>
                <w:sz w:val="16"/>
                <w:szCs w:val="16"/>
                <w:lang w:eastAsia="pl-PL"/>
                <w14:ligatures w14:val="none"/>
              </w:rPr>
              <w:t>–2</w:t>
            </w:r>
            <w:r w:rsidRPr="003416D6">
              <w:rPr>
                <w:rFonts w:eastAsia="Times New Roman" w:cs="Calibri"/>
                <w:color w:val="000000"/>
                <w:kern w:val="0"/>
                <w:sz w:val="16"/>
                <w:szCs w:val="16"/>
                <w:lang w:eastAsia="pl-PL"/>
                <w14:ligatures w14:val="none"/>
              </w:rPr>
              <w:t>026</w:t>
            </w:r>
          </w:p>
        </w:tc>
        <w:tc>
          <w:tcPr>
            <w:tcW w:w="1281" w:type="dxa"/>
            <w:tcBorders>
              <w:top w:val="single" w:sz="4" w:space="0" w:color="3A7C22" w:themeColor="accent6" w:themeShade="BF"/>
            </w:tcBorders>
            <w:hideMark/>
          </w:tcPr>
          <w:p w14:paraId="27331230" w14:textId="7F5872F0"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B4300">
              <w:rPr>
                <w:rFonts w:eastAsia="Times New Roman" w:cs="Calibri"/>
                <w:color w:val="000000"/>
                <w:kern w:val="0"/>
                <w:sz w:val="16"/>
                <w:szCs w:val="16"/>
                <w:lang w:eastAsia="pl-PL"/>
                <w14:ligatures w14:val="none"/>
              </w:rPr>
              <w:t>Instrument na rzecz Odbudowy i Zwiększania Odporności (RRF)</w:t>
            </w:r>
          </w:p>
        </w:tc>
        <w:tc>
          <w:tcPr>
            <w:tcW w:w="1186" w:type="dxa"/>
            <w:tcBorders>
              <w:top w:val="single" w:sz="4" w:space="0" w:color="3A7C22" w:themeColor="accent6" w:themeShade="BF"/>
            </w:tcBorders>
            <w:hideMark/>
          </w:tcPr>
          <w:p w14:paraId="6D4D8949"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Mieszane</w:t>
            </w:r>
          </w:p>
        </w:tc>
        <w:tc>
          <w:tcPr>
            <w:tcW w:w="1413" w:type="dxa"/>
            <w:tcBorders>
              <w:top w:val="single" w:sz="4" w:space="0" w:color="3A7C22" w:themeColor="accent6" w:themeShade="BF"/>
            </w:tcBorders>
            <w:hideMark/>
          </w:tcPr>
          <w:p w14:paraId="3F4A09B9" w14:textId="4D989E51" w:rsidR="00781523" w:rsidRDefault="001D1A3A"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xml:space="preserve">Koordynacja - </w:t>
            </w:r>
            <w:r w:rsidR="00781523" w:rsidRPr="003416D6">
              <w:rPr>
                <w:rFonts w:eastAsia="Times New Roman" w:cs="Calibri"/>
                <w:color w:val="000000"/>
                <w:kern w:val="0"/>
                <w:sz w:val="16"/>
                <w:szCs w:val="16"/>
                <w:lang w:eastAsia="pl-PL"/>
                <w14:ligatures w14:val="none"/>
              </w:rPr>
              <w:t>Ministerstwo Funduszy i Polityki Regionalnej/</w:t>
            </w:r>
          </w:p>
          <w:p w14:paraId="5298AB28" w14:textId="36B3272A" w:rsidR="00781523" w:rsidRPr="003416D6" w:rsidRDefault="001D1A3A"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xml:space="preserve">Wdrażanie </w:t>
            </w:r>
            <w:r w:rsidR="00C607AA">
              <w:rPr>
                <w:rFonts w:eastAsia="Times New Roman" w:cs="Calibri"/>
                <w:color w:val="000000"/>
                <w:kern w:val="0"/>
                <w:sz w:val="16"/>
                <w:szCs w:val="16"/>
                <w:lang w:eastAsia="pl-PL"/>
                <w14:ligatures w14:val="none"/>
              </w:rPr>
              <w:t>–</w:t>
            </w:r>
            <w:r>
              <w:rPr>
                <w:rFonts w:eastAsia="Times New Roman" w:cs="Calibri"/>
                <w:color w:val="000000"/>
                <w:kern w:val="0"/>
                <w:sz w:val="16"/>
                <w:szCs w:val="16"/>
                <w:lang w:eastAsia="pl-PL"/>
                <w14:ligatures w14:val="none"/>
              </w:rPr>
              <w:t xml:space="preserve"> </w:t>
            </w:r>
            <w:r w:rsidR="00C607AA">
              <w:rPr>
                <w:rFonts w:eastAsia="Times New Roman" w:cs="Calibri"/>
                <w:color w:val="000000"/>
                <w:kern w:val="0"/>
                <w:sz w:val="16"/>
                <w:szCs w:val="16"/>
                <w:lang w:eastAsia="pl-PL"/>
                <w14:ligatures w14:val="none"/>
              </w:rPr>
              <w:t xml:space="preserve">resorty i jednostki wspierające </w:t>
            </w:r>
          </w:p>
        </w:tc>
        <w:tc>
          <w:tcPr>
            <w:tcW w:w="3548" w:type="dxa"/>
            <w:tcBorders>
              <w:top w:val="single" w:sz="4" w:space="0" w:color="3A7C22" w:themeColor="accent6" w:themeShade="BF"/>
            </w:tcBorders>
            <w:hideMark/>
          </w:tcPr>
          <w:p w14:paraId="0A0DD3C3" w14:textId="360DC215" w:rsidR="0078152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B4300">
              <w:rPr>
                <w:rFonts w:eastAsia="Times New Roman" w:cs="Calibri"/>
                <w:color w:val="000000"/>
                <w:kern w:val="0"/>
                <w:sz w:val="16"/>
                <w:szCs w:val="16"/>
                <w:lang w:eastAsia="pl-PL"/>
                <w14:ligatures w14:val="none"/>
              </w:rPr>
              <w:t>Krajowy Plan Odbudowy i Zwiększania Odporności powstał jako odpowiedź na wyzwania, przed którymi stanęły kraje członkowskie Unii Europejskiej po pandemii COVID-19.</w:t>
            </w:r>
          </w:p>
          <w:p w14:paraId="73D53AF2" w14:textId="10E65ED4" w:rsidR="0078152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Pozycja stanowi całość środków przeznaczonych na program. Z uwagi na problemy z agregacją danych środki z programu mogą pojawić się w innych pozycjach.</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 xml:space="preserve">Program obejmuje </w:t>
            </w:r>
            <w:r>
              <w:rPr>
                <w:rFonts w:eastAsia="Times New Roman" w:cs="Calibri"/>
                <w:color w:val="000000"/>
                <w:kern w:val="0"/>
                <w:sz w:val="16"/>
                <w:szCs w:val="16"/>
                <w:lang w:eastAsia="pl-PL"/>
                <w14:ligatures w14:val="none"/>
              </w:rPr>
              <w:t>inwestycje w zakresie:</w:t>
            </w:r>
          </w:p>
          <w:p w14:paraId="0FE60928" w14:textId="490EB7B9" w:rsidR="0078152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e</w:t>
            </w:r>
            <w:r w:rsidRPr="00D85731">
              <w:rPr>
                <w:rFonts w:eastAsia="Times New Roman" w:cs="Calibri"/>
                <w:color w:val="000000"/>
                <w:kern w:val="0"/>
                <w:sz w:val="16"/>
                <w:szCs w:val="16"/>
                <w:lang w:eastAsia="pl-PL"/>
                <w14:ligatures w14:val="none"/>
              </w:rPr>
              <w:t>fektywnoś</w:t>
            </w:r>
            <w:r>
              <w:rPr>
                <w:rFonts w:eastAsia="Times New Roman" w:cs="Calibri"/>
                <w:color w:val="000000"/>
                <w:kern w:val="0"/>
                <w:sz w:val="16"/>
                <w:szCs w:val="16"/>
                <w:lang w:eastAsia="pl-PL"/>
                <w14:ligatures w14:val="none"/>
              </w:rPr>
              <w:t>ci</w:t>
            </w:r>
            <w:r w:rsidRPr="00D85731">
              <w:rPr>
                <w:rFonts w:eastAsia="Times New Roman" w:cs="Calibri"/>
                <w:color w:val="000000"/>
                <w:kern w:val="0"/>
                <w:sz w:val="16"/>
                <w:szCs w:val="16"/>
                <w:lang w:eastAsia="pl-PL"/>
                <w14:ligatures w14:val="none"/>
              </w:rPr>
              <w:t xml:space="preserve"> energetyczn</w:t>
            </w:r>
            <w:r>
              <w:rPr>
                <w:rFonts w:eastAsia="Times New Roman" w:cs="Calibri"/>
                <w:color w:val="000000"/>
                <w:kern w:val="0"/>
                <w:sz w:val="16"/>
                <w:szCs w:val="16"/>
                <w:lang w:eastAsia="pl-PL"/>
                <w14:ligatures w14:val="none"/>
              </w:rPr>
              <w:t>ej</w:t>
            </w:r>
            <w:r w:rsidRPr="00D85731">
              <w:rPr>
                <w:rFonts w:eastAsia="Times New Roman" w:cs="Calibri"/>
                <w:color w:val="000000"/>
                <w:kern w:val="0"/>
                <w:sz w:val="16"/>
                <w:szCs w:val="16"/>
                <w:lang w:eastAsia="pl-PL"/>
                <w14:ligatures w14:val="none"/>
              </w:rPr>
              <w:t xml:space="preserve"> w budynkach</w:t>
            </w:r>
            <w:r>
              <w:rPr>
                <w:rFonts w:eastAsia="Times New Roman" w:cs="Calibri"/>
                <w:color w:val="000000"/>
                <w:kern w:val="0"/>
                <w:sz w:val="16"/>
                <w:szCs w:val="16"/>
                <w:lang w:eastAsia="pl-PL"/>
                <w14:ligatures w14:val="none"/>
              </w:rPr>
              <w:t xml:space="preserve"> i przedsiębiorstwach,</w:t>
            </w:r>
          </w:p>
          <w:p w14:paraId="12661BCC" w14:textId="77777777" w:rsidR="0078152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infrastruktury elektroenergetycznej i magazynów energii,</w:t>
            </w:r>
          </w:p>
          <w:p w14:paraId="648E9C84" w14:textId="4ACD99D5" w:rsidR="0078152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infrastruktury gazowej,</w:t>
            </w:r>
          </w:p>
          <w:p w14:paraId="6AE433BC" w14:textId="77777777" w:rsidR="0078152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rozbudowy infrastruktury OZE,</w:t>
            </w:r>
          </w:p>
          <w:p w14:paraId="7A71E8F9" w14:textId="05C64275" w:rsidR="0078152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transportu niskoemisyjnego i zeroemisyjnego,</w:t>
            </w:r>
          </w:p>
          <w:p w14:paraId="45EAFE43" w14:textId="2CB28891" w:rsidR="00781523" w:rsidRPr="003416D6"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xml:space="preserve">- infrastruktury ciepłowniczej. </w:t>
            </w:r>
            <w:r w:rsidRPr="003416D6" w:rsidDel="00D85731">
              <w:rPr>
                <w:rFonts w:eastAsia="Times New Roman" w:cs="Calibri"/>
                <w:color w:val="000000"/>
                <w:kern w:val="0"/>
                <w:sz w:val="16"/>
                <w:szCs w:val="16"/>
                <w:lang w:eastAsia="pl-PL"/>
                <w14:ligatures w14:val="none"/>
              </w:rPr>
              <w:t xml:space="preserve"> </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https://www.kpo.gov.pl/</w:t>
            </w:r>
          </w:p>
        </w:tc>
      </w:tr>
      <w:tr w:rsidR="00781523" w:rsidRPr="00ED52BB" w14:paraId="1BA5C1CB" w14:textId="77777777" w:rsidTr="00300186">
        <w:trPr>
          <w:trHeight w:val="1127"/>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4020F768" w14:textId="1EE0BDDA"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4BC01B1C" w14:textId="11F245C3"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Program </w:t>
            </w:r>
            <w:r w:rsidR="00D16D64">
              <w:rPr>
                <w:rFonts w:eastAsia="Times New Roman" w:cs="Calibri"/>
                <w:color w:val="000000"/>
                <w:kern w:val="0"/>
                <w:sz w:val="16"/>
                <w:szCs w:val="16"/>
                <w:lang w:eastAsia="pl-PL"/>
                <w14:ligatures w14:val="none"/>
              </w:rPr>
              <w:t>T</w:t>
            </w:r>
            <w:r w:rsidRPr="003416D6">
              <w:rPr>
                <w:rFonts w:eastAsia="Times New Roman" w:cs="Calibri"/>
                <w:color w:val="000000"/>
                <w:kern w:val="0"/>
                <w:sz w:val="16"/>
                <w:szCs w:val="16"/>
                <w:lang w:eastAsia="pl-PL"/>
                <w14:ligatures w14:val="none"/>
              </w:rPr>
              <w:t>ermo</w:t>
            </w:r>
          </w:p>
        </w:tc>
        <w:tc>
          <w:tcPr>
            <w:tcW w:w="1559" w:type="dxa"/>
            <w:tcBorders>
              <w:top w:val="single" w:sz="4" w:space="0" w:color="3A7C22" w:themeColor="accent6" w:themeShade="BF"/>
            </w:tcBorders>
            <w:hideMark/>
          </w:tcPr>
          <w:p w14:paraId="23DCE235"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Budynki </w:t>
            </w:r>
          </w:p>
        </w:tc>
        <w:tc>
          <w:tcPr>
            <w:tcW w:w="1701" w:type="dxa"/>
            <w:tcBorders>
              <w:top w:val="single" w:sz="4" w:space="0" w:color="3A7C22" w:themeColor="accent6" w:themeShade="BF"/>
            </w:tcBorders>
            <w:hideMark/>
          </w:tcPr>
          <w:p w14:paraId="74BCCBA0" w14:textId="58D19911" w:rsidR="0093638C"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W okresie od uruchomienia w 1999 r. programu TERMO do 10 grudnia 2023 r. zawnioskowano o wsparcie ponad 50 tys. budynków, mieszczących ok. 1,45 mln lokali mieszkalnych.      </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Wysokość wsparcia wyniosła 3</w:t>
            </w:r>
            <w:r>
              <w:rPr>
                <w:rFonts w:eastAsia="Times New Roman" w:cs="Calibri"/>
                <w:color w:val="000000"/>
                <w:kern w:val="0"/>
                <w:sz w:val="16"/>
                <w:szCs w:val="16"/>
                <w:lang w:eastAsia="pl-PL"/>
                <w14:ligatures w14:val="none"/>
              </w:rPr>
              <w:t>,</w:t>
            </w:r>
            <w:r w:rsidRPr="003416D6">
              <w:rPr>
                <w:rFonts w:eastAsia="Times New Roman" w:cs="Calibri"/>
                <w:color w:val="000000"/>
                <w:kern w:val="0"/>
                <w:sz w:val="16"/>
                <w:szCs w:val="16"/>
                <w:lang w:eastAsia="pl-PL"/>
                <w14:ligatures w14:val="none"/>
              </w:rPr>
              <w:t>026 ml</w:t>
            </w:r>
            <w:r>
              <w:rPr>
                <w:rFonts w:eastAsia="Times New Roman" w:cs="Calibri"/>
                <w:color w:val="000000"/>
                <w:kern w:val="0"/>
                <w:sz w:val="16"/>
                <w:szCs w:val="16"/>
                <w:lang w:eastAsia="pl-PL"/>
                <w14:ligatures w14:val="none"/>
              </w:rPr>
              <w:t>d</w:t>
            </w:r>
            <w:r w:rsidRPr="003416D6">
              <w:rPr>
                <w:rFonts w:eastAsia="Times New Roman" w:cs="Calibri"/>
                <w:color w:val="000000"/>
                <w:kern w:val="0"/>
                <w:sz w:val="16"/>
                <w:szCs w:val="16"/>
                <w:lang w:eastAsia="pl-PL"/>
                <w14:ligatures w14:val="none"/>
              </w:rPr>
              <w:t xml:space="preserve"> zł, zaś wartość </w:t>
            </w:r>
            <w:r w:rsidRPr="003416D6">
              <w:rPr>
                <w:rFonts w:eastAsia="Times New Roman" w:cs="Calibri"/>
                <w:color w:val="000000"/>
                <w:kern w:val="0"/>
                <w:sz w:val="16"/>
                <w:szCs w:val="16"/>
                <w:lang w:eastAsia="pl-PL"/>
                <w14:ligatures w14:val="none"/>
              </w:rPr>
              <w:lastRenderedPageBreak/>
              <w:t>dofinansowanych inwestycji sięgnęła 18</w:t>
            </w:r>
            <w:r>
              <w:rPr>
                <w:rFonts w:eastAsia="Times New Roman" w:cs="Calibri"/>
                <w:color w:val="000000"/>
                <w:kern w:val="0"/>
                <w:sz w:val="16"/>
                <w:szCs w:val="16"/>
                <w:lang w:eastAsia="pl-PL"/>
                <w14:ligatures w14:val="none"/>
              </w:rPr>
              <w:t>,</w:t>
            </w:r>
            <w:r w:rsidRPr="003416D6">
              <w:rPr>
                <w:rFonts w:eastAsia="Times New Roman" w:cs="Calibri"/>
                <w:color w:val="000000"/>
                <w:kern w:val="0"/>
                <w:sz w:val="16"/>
                <w:szCs w:val="16"/>
                <w:lang w:eastAsia="pl-PL"/>
                <w14:ligatures w14:val="none"/>
              </w:rPr>
              <w:t>124 ml</w:t>
            </w:r>
            <w:r>
              <w:rPr>
                <w:rFonts w:eastAsia="Times New Roman" w:cs="Calibri"/>
                <w:color w:val="000000"/>
                <w:kern w:val="0"/>
                <w:sz w:val="16"/>
                <w:szCs w:val="16"/>
                <w:lang w:eastAsia="pl-PL"/>
                <w14:ligatures w14:val="none"/>
              </w:rPr>
              <w:t>d</w:t>
            </w:r>
            <w:r w:rsidRPr="003416D6">
              <w:rPr>
                <w:rFonts w:eastAsia="Times New Roman" w:cs="Calibri"/>
                <w:color w:val="000000"/>
                <w:kern w:val="0"/>
                <w:sz w:val="16"/>
                <w:szCs w:val="16"/>
                <w:lang w:eastAsia="pl-PL"/>
                <w14:ligatures w14:val="none"/>
              </w:rPr>
              <w:t xml:space="preserve"> zł. </w:t>
            </w:r>
          </w:p>
          <w:p w14:paraId="6BDEC758" w14:textId="714E3BF4"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br/>
              <w:t xml:space="preserve">W przypadku instrumentów wsparcia finansowanych ze środków KPO, w okresie od uruchomienia możliwości składania dokumentów o przyznanie wsparcia, tj. 1 lutego 2023 roku do 10 grudnia 2023 roku złożono 3 484 wniosków na kwotę wsparcia wynoszącą </w:t>
            </w:r>
            <w:r>
              <w:rPr>
                <w:rFonts w:eastAsia="Times New Roman" w:cs="Calibri"/>
                <w:color w:val="000000"/>
                <w:kern w:val="0"/>
                <w:sz w:val="16"/>
                <w:szCs w:val="16"/>
                <w:lang w:eastAsia="pl-PL"/>
                <w14:ligatures w14:val="none"/>
              </w:rPr>
              <w:t>0,</w:t>
            </w:r>
            <w:r w:rsidRPr="003416D6">
              <w:rPr>
                <w:rFonts w:eastAsia="Times New Roman" w:cs="Calibri"/>
                <w:color w:val="000000"/>
                <w:kern w:val="0"/>
                <w:sz w:val="16"/>
                <w:szCs w:val="16"/>
                <w:lang w:eastAsia="pl-PL"/>
                <w14:ligatures w14:val="none"/>
              </w:rPr>
              <w:t>264 ml</w:t>
            </w:r>
            <w:r>
              <w:rPr>
                <w:rFonts w:eastAsia="Times New Roman" w:cs="Calibri"/>
                <w:color w:val="000000"/>
                <w:kern w:val="0"/>
                <w:sz w:val="16"/>
                <w:szCs w:val="16"/>
                <w:lang w:eastAsia="pl-PL"/>
                <w14:ligatures w14:val="none"/>
              </w:rPr>
              <w:t>d</w:t>
            </w:r>
            <w:r w:rsidRPr="003416D6">
              <w:rPr>
                <w:rFonts w:eastAsia="Times New Roman" w:cs="Calibri"/>
                <w:color w:val="000000"/>
                <w:kern w:val="0"/>
                <w:sz w:val="16"/>
                <w:szCs w:val="16"/>
                <w:lang w:eastAsia="pl-PL"/>
                <w14:ligatures w14:val="none"/>
              </w:rPr>
              <w:t xml:space="preserve"> zł. Wartość inwestycji brutto wynosi </w:t>
            </w:r>
            <w:r>
              <w:rPr>
                <w:rFonts w:eastAsia="Times New Roman" w:cs="Calibri"/>
                <w:color w:val="000000"/>
                <w:kern w:val="0"/>
                <w:sz w:val="16"/>
                <w:szCs w:val="16"/>
                <w:lang w:eastAsia="pl-PL"/>
                <w14:ligatures w14:val="none"/>
              </w:rPr>
              <w:t>0,</w:t>
            </w:r>
            <w:r w:rsidRPr="003416D6">
              <w:rPr>
                <w:rFonts w:eastAsia="Times New Roman" w:cs="Calibri"/>
                <w:color w:val="000000"/>
                <w:kern w:val="0"/>
                <w:sz w:val="16"/>
                <w:szCs w:val="16"/>
                <w:lang w:eastAsia="pl-PL"/>
                <w14:ligatures w14:val="none"/>
              </w:rPr>
              <w:t>667 ml</w:t>
            </w:r>
            <w:r>
              <w:rPr>
                <w:rFonts w:eastAsia="Times New Roman" w:cs="Calibri"/>
                <w:color w:val="000000"/>
                <w:kern w:val="0"/>
                <w:sz w:val="16"/>
                <w:szCs w:val="16"/>
                <w:lang w:eastAsia="pl-PL"/>
                <w14:ligatures w14:val="none"/>
              </w:rPr>
              <w:t>d</w:t>
            </w:r>
            <w:r w:rsidRPr="003416D6">
              <w:rPr>
                <w:rFonts w:eastAsia="Times New Roman" w:cs="Calibri"/>
                <w:color w:val="000000"/>
                <w:kern w:val="0"/>
                <w:sz w:val="16"/>
                <w:szCs w:val="16"/>
                <w:lang w:eastAsia="pl-PL"/>
                <w14:ligatures w14:val="none"/>
              </w:rPr>
              <w:t xml:space="preserve"> zł., natomiast liczba mieszkań w budynkach dla których zawnioskowano o granty wynosi 240</w:t>
            </w:r>
            <w:r>
              <w:rPr>
                <w:rFonts w:eastAsia="Times New Roman" w:cs="Calibri"/>
                <w:color w:val="000000"/>
                <w:kern w:val="0"/>
                <w:sz w:val="16"/>
                <w:szCs w:val="16"/>
                <w:lang w:eastAsia="pl-PL"/>
                <w14:ligatures w14:val="none"/>
              </w:rPr>
              <w:t>,</w:t>
            </w:r>
            <w:r w:rsidRPr="003416D6">
              <w:rPr>
                <w:rFonts w:eastAsia="Times New Roman" w:cs="Calibri"/>
                <w:color w:val="000000"/>
                <w:kern w:val="0"/>
                <w:sz w:val="16"/>
                <w:szCs w:val="16"/>
                <w:lang w:eastAsia="pl-PL"/>
                <w14:ligatures w14:val="none"/>
              </w:rPr>
              <w:t xml:space="preserve"> 960 ml</w:t>
            </w:r>
            <w:r>
              <w:rPr>
                <w:rFonts w:eastAsia="Times New Roman" w:cs="Calibri"/>
                <w:color w:val="000000"/>
                <w:kern w:val="0"/>
                <w:sz w:val="16"/>
                <w:szCs w:val="16"/>
                <w:lang w:eastAsia="pl-PL"/>
                <w14:ligatures w14:val="none"/>
              </w:rPr>
              <w:t>d</w:t>
            </w:r>
            <w:r w:rsidRPr="003416D6">
              <w:rPr>
                <w:rFonts w:eastAsia="Times New Roman" w:cs="Calibri"/>
                <w:color w:val="000000"/>
                <w:kern w:val="0"/>
                <w:sz w:val="16"/>
                <w:szCs w:val="16"/>
                <w:lang w:eastAsia="pl-PL"/>
                <w14:ligatures w14:val="none"/>
              </w:rPr>
              <w:t xml:space="preserve"> zł.                                                                                                                                                                                                                                                                                                                                                                                                                                                                                                                                                                          </w:t>
            </w:r>
          </w:p>
        </w:tc>
        <w:tc>
          <w:tcPr>
            <w:tcW w:w="1559" w:type="dxa"/>
            <w:tcBorders>
              <w:top w:val="single" w:sz="4" w:space="0" w:color="3A7C22" w:themeColor="accent6" w:themeShade="BF"/>
            </w:tcBorders>
            <w:hideMark/>
          </w:tcPr>
          <w:p w14:paraId="5C926EBB" w14:textId="1269D1B4"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lastRenderedPageBreak/>
              <w:t>1999</w:t>
            </w:r>
            <w:r>
              <w:rPr>
                <w:rFonts w:eastAsia="Times New Roman" w:cs="Calibri"/>
                <w:color w:val="000000"/>
                <w:kern w:val="0"/>
                <w:sz w:val="16"/>
                <w:szCs w:val="16"/>
                <w:lang w:eastAsia="pl-PL"/>
                <w14:ligatures w14:val="none"/>
              </w:rPr>
              <w:t xml:space="preserve"> – </w:t>
            </w:r>
            <w:r w:rsidRPr="003416D6">
              <w:rPr>
                <w:rFonts w:eastAsia="Times New Roman" w:cs="Calibri"/>
                <w:color w:val="000000"/>
                <w:kern w:val="0"/>
                <w:sz w:val="16"/>
                <w:szCs w:val="16"/>
                <w:lang w:eastAsia="pl-PL"/>
                <w14:ligatures w14:val="none"/>
              </w:rPr>
              <w:t>brak perspektywy czasowej</w:t>
            </w:r>
          </w:p>
        </w:tc>
        <w:tc>
          <w:tcPr>
            <w:tcW w:w="1281" w:type="dxa"/>
            <w:tcBorders>
              <w:top w:val="single" w:sz="4" w:space="0" w:color="3A7C22" w:themeColor="accent6" w:themeShade="BF"/>
            </w:tcBorders>
            <w:hideMark/>
          </w:tcPr>
          <w:p w14:paraId="78AEEE32"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Fundusz Termomodernizacji i Remontów (</w:t>
            </w:r>
            <w:proofErr w:type="spellStart"/>
            <w:r w:rsidRPr="003416D6">
              <w:rPr>
                <w:rFonts w:eastAsia="Times New Roman" w:cs="Calibri"/>
                <w:color w:val="000000"/>
                <w:kern w:val="0"/>
                <w:sz w:val="16"/>
                <w:szCs w:val="16"/>
                <w:lang w:eastAsia="pl-PL"/>
                <w14:ligatures w14:val="none"/>
              </w:rPr>
              <w:t>FTiR</w:t>
            </w:r>
            <w:proofErr w:type="spellEnd"/>
            <w:r w:rsidRPr="003416D6">
              <w:rPr>
                <w:rFonts w:eastAsia="Times New Roman" w:cs="Calibri"/>
                <w:color w:val="000000"/>
                <w:kern w:val="0"/>
                <w:sz w:val="16"/>
                <w:szCs w:val="16"/>
                <w:lang w:eastAsia="pl-PL"/>
                <w14:ligatures w14:val="none"/>
              </w:rPr>
              <w:t xml:space="preserve">), zasilany ze środków budżetu państwa </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 xml:space="preserve">Krajowy Plan Odbudowy i Zwiększenia Odporności (KPO)                                                                                                                       </w:t>
            </w:r>
          </w:p>
        </w:tc>
        <w:tc>
          <w:tcPr>
            <w:tcW w:w="1186" w:type="dxa"/>
            <w:tcBorders>
              <w:top w:val="single" w:sz="4" w:space="0" w:color="3A7C22" w:themeColor="accent6" w:themeShade="BF"/>
            </w:tcBorders>
            <w:hideMark/>
          </w:tcPr>
          <w:p w14:paraId="69F4F470"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Inwestycyjne</w:t>
            </w:r>
          </w:p>
        </w:tc>
        <w:tc>
          <w:tcPr>
            <w:tcW w:w="1413" w:type="dxa"/>
            <w:tcBorders>
              <w:top w:val="single" w:sz="4" w:space="0" w:color="3A7C22" w:themeColor="accent6" w:themeShade="BF"/>
            </w:tcBorders>
            <w:hideMark/>
          </w:tcPr>
          <w:p w14:paraId="75526BB0"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Program TERMO koordynowany jest przez Ministerstwo Rozwoju i Technologii.   </w:t>
            </w:r>
            <w:r w:rsidRPr="003416D6">
              <w:rPr>
                <w:rFonts w:eastAsia="Times New Roman" w:cs="Calibri"/>
                <w:color w:val="000000"/>
                <w:kern w:val="0"/>
                <w:sz w:val="16"/>
                <w:szCs w:val="16"/>
                <w:lang w:eastAsia="pl-PL"/>
                <w14:ligatures w14:val="none"/>
              </w:rPr>
              <w:br/>
              <w:t>Operatorem programu jest Bank Gospodarstwa Krajowego</w:t>
            </w:r>
          </w:p>
        </w:tc>
        <w:tc>
          <w:tcPr>
            <w:tcW w:w="3548" w:type="dxa"/>
            <w:tcBorders>
              <w:top w:val="single" w:sz="4" w:space="0" w:color="3A7C22" w:themeColor="accent6" w:themeShade="BF"/>
            </w:tcBorders>
            <w:hideMark/>
          </w:tcPr>
          <w:p w14:paraId="75FA3A91" w14:textId="77777777" w:rsidR="00781523" w:rsidRPr="003416D6"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https://www.bgk.pl/programy-i-fundusze/programy/program-termo/</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 xml:space="preserve">https://www.gov.pl/web/rozwoj-technologia/wspieranie-termomodernizacji-remontow-i-oze             </w:t>
            </w:r>
            <w:r w:rsidRPr="003416D6">
              <w:rPr>
                <w:rFonts w:eastAsia="Times New Roman" w:cs="Calibri"/>
                <w:color w:val="000000"/>
                <w:kern w:val="0"/>
                <w:sz w:val="16"/>
                <w:szCs w:val="16"/>
                <w:lang w:eastAsia="pl-PL"/>
                <w14:ligatures w14:val="none"/>
              </w:rPr>
              <w:br/>
              <w:t xml:space="preserve">    </w:t>
            </w:r>
            <w:r w:rsidRPr="003416D6">
              <w:rPr>
                <w:rFonts w:eastAsia="Times New Roman" w:cs="Calibri"/>
                <w:color w:val="000000"/>
                <w:kern w:val="0"/>
                <w:sz w:val="16"/>
                <w:szCs w:val="16"/>
                <w:lang w:eastAsia="pl-PL"/>
                <w14:ligatures w14:val="none"/>
              </w:rPr>
              <w:br/>
              <w:t xml:space="preserve">Podstawa prawna: Ustawa z dnia 21 listopada 2008 r. o wspieraniu termomodernizacji i remontów oraz o centralnej ewidencji emisyjności budynków (Dz.U. z 2022 r. poz. 438, z </w:t>
            </w:r>
            <w:proofErr w:type="spellStart"/>
            <w:r w:rsidRPr="003416D6">
              <w:rPr>
                <w:rFonts w:eastAsia="Times New Roman" w:cs="Calibri"/>
                <w:color w:val="000000"/>
                <w:kern w:val="0"/>
                <w:sz w:val="16"/>
                <w:szCs w:val="16"/>
                <w:lang w:eastAsia="pl-PL"/>
                <w14:ligatures w14:val="none"/>
              </w:rPr>
              <w:t>późn</w:t>
            </w:r>
            <w:proofErr w:type="spellEnd"/>
            <w:r w:rsidRPr="003416D6">
              <w:rPr>
                <w:rFonts w:eastAsia="Times New Roman" w:cs="Calibri"/>
                <w:color w:val="000000"/>
                <w:kern w:val="0"/>
                <w:sz w:val="16"/>
                <w:szCs w:val="16"/>
                <w:lang w:eastAsia="pl-PL"/>
                <w14:ligatures w14:val="none"/>
              </w:rPr>
              <w:t>. zm.).</w:t>
            </w:r>
          </w:p>
        </w:tc>
      </w:tr>
      <w:tr w:rsidR="00801275" w:rsidRPr="00ED52BB" w14:paraId="06F6FDD9" w14:textId="77777777" w:rsidTr="00300186">
        <w:trPr>
          <w:cnfStyle w:val="000000100000" w:firstRow="0" w:lastRow="0" w:firstColumn="0" w:lastColumn="0" w:oddVBand="0" w:evenVBand="0" w:oddHBand="1"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410838A0" w14:textId="2EE00593"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73712E95" w14:textId="615EE458"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Społeczny Fundusz Klimatyczny (</w:t>
            </w:r>
            <w:r>
              <w:rPr>
                <w:rFonts w:eastAsia="Times New Roman" w:cs="Calibri"/>
                <w:color w:val="000000"/>
                <w:kern w:val="0"/>
                <w:sz w:val="16"/>
                <w:szCs w:val="16"/>
                <w:lang w:eastAsia="pl-PL"/>
                <w14:ligatures w14:val="none"/>
              </w:rPr>
              <w:t>SFK</w:t>
            </w:r>
            <w:r w:rsidRPr="003416D6">
              <w:rPr>
                <w:rFonts w:eastAsia="Times New Roman" w:cs="Calibri"/>
                <w:color w:val="000000"/>
                <w:kern w:val="0"/>
                <w:sz w:val="16"/>
                <w:szCs w:val="16"/>
                <w:lang w:eastAsia="pl-PL"/>
                <w14:ligatures w14:val="none"/>
              </w:rPr>
              <w:t>)</w:t>
            </w:r>
          </w:p>
        </w:tc>
        <w:tc>
          <w:tcPr>
            <w:tcW w:w="1559" w:type="dxa"/>
            <w:tcBorders>
              <w:top w:val="single" w:sz="4" w:space="0" w:color="3A7C22" w:themeColor="accent6" w:themeShade="BF"/>
            </w:tcBorders>
            <w:hideMark/>
          </w:tcPr>
          <w:p w14:paraId="58150FE0" w14:textId="2EDC3B6B"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Budynki/Transport</w:t>
            </w:r>
          </w:p>
        </w:tc>
        <w:tc>
          <w:tcPr>
            <w:tcW w:w="1701" w:type="dxa"/>
            <w:tcBorders>
              <w:top w:val="single" w:sz="4" w:space="0" w:color="3A7C22" w:themeColor="accent6" w:themeShade="BF"/>
            </w:tcBorders>
            <w:hideMark/>
          </w:tcPr>
          <w:p w14:paraId="2ECB2C4B" w14:textId="1F381956" w:rsidR="0078152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15,25</w:t>
            </w:r>
            <w:r w:rsidRPr="003416D6">
              <w:rPr>
                <w:rFonts w:eastAsia="Times New Roman" w:cs="Calibri"/>
                <w:color w:val="000000"/>
                <w:kern w:val="0"/>
                <w:sz w:val="16"/>
                <w:szCs w:val="16"/>
                <w:lang w:eastAsia="pl-PL"/>
                <w14:ligatures w14:val="none"/>
              </w:rPr>
              <w:t xml:space="preserve"> mld </w:t>
            </w:r>
            <w:r>
              <w:rPr>
                <w:rFonts w:eastAsia="Times New Roman" w:cs="Calibri"/>
                <w:color w:val="000000"/>
                <w:kern w:val="0"/>
                <w:sz w:val="16"/>
                <w:szCs w:val="16"/>
                <w:lang w:eastAsia="pl-PL"/>
                <w14:ligatures w14:val="none"/>
              </w:rPr>
              <w:t>euro, w tym:</w:t>
            </w:r>
          </w:p>
          <w:p w14:paraId="3EDCDFAE" w14:textId="785E9B2A" w:rsidR="00781523" w:rsidRPr="006340D1"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t xml:space="preserve"> </w:t>
            </w:r>
            <w:r w:rsidRPr="006340D1">
              <w:rPr>
                <w:rFonts w:eastAsia="Times New Roman" w:cs="Calibri"/>
                <w:color w:val="000000"/>
                <w:kern w:val="0"/>
                <w:sz w:val="16"/>
                <w:szCs w:val="16"/>
                <w:lang w:eastAsia="pl-PL"/>
                <w14:ligatures w14:val="none"/>
              </w:rPr>
              <w:t xml:space="preserve">bezpośrednia alokacja </w:t>
            </w:r>
            <w:r>
              <w:rPr>
                <w:rFonts w:eastAsia="Times New Roman" w:cs="Calibri"/>
                <w:color w:val="000000"/>
                <w:kern w:val="0"/>
                <w:sz w:val="16"/>
                <w:szCs w:val="16"/>
                <w:lang w:eastAsia="pl-PL"/>
                <w14:ligatures w14:val="none"/>
              </w:rPr>
              <w:t>–</w:t>
            </w:r>
            <w:r w:rsidRPr="006340D1">
              <w:rPr>
                <w:rFonts w:eastAsia="Times New Roman" w:cs="Calibri"/>
                <w:color w:val="000000"/>
                <w:kern w:val="0"/>
                <w:sz w:val="16"/>
                <w:szCs w:val="16"/>
                <w:lang w:eastAsia="pl-PL"/>
                <w14:ligatures w14:val="none"/>
              </w:rPr>
              <w:t xml:space="preserve"> </w:t>
            </w:r>
            <w:r>
              <w:rPr>
                <w:rFonts w:eastAsia="Times New Roman" w:cs="Calibri"/>
                <w:color w:val="000000"/>
                <w:kern w:val="0"/>
                <w:sz w:val="16"/>
                <w:szCs w:val="16"/>
                <w:lang w:eastAsia="pl-PL"/>
                <w14:ligatures w14:val="none"/>
              </w:rPr>
              <w:t>ok.</w:t>
            </w:r>
            <w:r w:rsidRPr="006340D1">
              <w:rPr>
                <w:rFonts w:eastAsia="Times New Roman" w:cs="Calibri"/>
                <w:color w:val="000000"/>
                <w:kern w:val="0"/>
                <w:sz w:val="16"/>
                <w:szCs w:val="16"/>
                <w:lang w:eastAsia="pl-PL"/>
                <w14:ligatures w14:val="none"/>
              </w:rPr>
              <w:t xml:space="preserve"> 11</w:t>
            </w:r>
            <w:r>
              <w:rPr>
                <w:rFonts w:eastAsia="Times New Roman" w:cs="Calibri"/>
                <w:color w:val="000000"/>
                <w:kern w:val="0"/>
                <w:sz w:val="16"/>
                <w:szCs w:val="16"/>
                <w:lang w:eastAsia="pl-PL"/>
                <w14:ligatures w14:val="none"/>
              </w:rPr>
              <w:t>,4 mld euro</w:t>
            </w:r>
          </w:p>
          <w:p w14:paraId="3B0EE70E" w14:textId="1963FC1E"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340D1">
              <w:rPr>
                <w:rFonts w:eastAsia="Times New Roman" w:cs="Calibri"/>
                <w:color w:val="000000"/>
                <w:kern w:val="0"/>
                <w:sz w:val="16"/>
                <w:szCs w:val="16"/>
                <w:lang w:eastAsia="pl-PL"/>
                <w14:ligatures w14:val="none"/>
              </w:rPr>
              <w:t xml:space="preserve"> </w:t>
            </w:r>
            <w:r>
              <w:rPr>
                <w:rFonts w:eastAsia="Times New Roman" w:cs="Calibri"/>
                <w:color w:val="000000"/>
                <w:kern w:val="0"/>
                <w:sz w:val="16"/>
                <w:szCs w:val="16"/>
                <w:lang w:eastAsia="pl-PL"/>
                <w14:ligatures w14:val="none"/>
              </w:rPr>
              <w:t>w</w:t>
            </w:r>
            <w:r w:rsidRPr="006340D1">
              <w:rPr>
                <w:rFonts w:eastAsia="Times New Roman" w:cs="Calibri"/>
                <w:color w:val="000000"/>
                <w:kern w:val="0"/>
                <w:sz w:val="16"/>
                <w:szCs w:val="16"/>
                <w:lang w:eastAsia="pl-PL"/>
                <w14:ligatures w14:val="none"/>
              </w:rPr>
              <w:t xml:space="preserve">kład krajowy (min. 25%) </w:t>
            </w:r>
            <w:r>
              <w:rPr>
                <w:rFonts w:eastAsia="Times New Roman" w:cs="Calibri"/>
                <w:color w:val="000000"/>
                <w:kern w:val="0"/>
                <w:sz w:val="16"/>
                <w:szCs w:val="16"/>
                <w:lang w:eastAsia="pl-PL"/>
                <w14:ligatures w14:val="none"/>
              </w:rPr>
              <w:t>–</w:t>
            </w:r>
            <w:r w:rsidRPr="006340D1">
              <w:rPr>
                <w:rFonts w:eastAsia="Times New Roman" w:cs="Calibri"/>
                <w:color w:val="000000"/>
                <w:kern w:val="0"/>
                <w:sz w:val="16"/>
                <w:szCs w:val="16"/>
                <w:lang w:eastAsia="pl-PL"/>
                <w14:ligatures w14:val="none"/>
              </w:rPr>
              <w:t xml:space="preserve"> 3</w:t>
            </w:r>
            <w:r>
              <w:rPr>
                <w:rFonts w:eastAsia="Times New Roman" w:cs="Calibri"/>
                <w:color w:val="000000"/>
                <w:kern w:val="0"/>
                <w:sz w:val="16"/>
                <w:szCs w:val="16"/>
                <w:lang w:eastAsia="pl-PL"/>
                <w14:ligatures w14:val="none"/>
              </w:rPr>
              <w:t>,</w:t>
            </w:r>
            <w:r w:rsidRPr="006340D1">
              <w:rPr>
                <w:rFonts w:eastAsia="Times New Roman" w:cs="Calibri"/>
                <w:color w:val="000000"/>
                <w:kern w:val="0"/>
                <w:sz w:val="16"/>
                <w:szCs w:val="16"/>
                <w:lang w:eastAsia="pl-PL"/>
                <w14:ligatures w14:val="none"/>
              </w:rPr>
              <w:t>8</w:t>
            </w:r>
            <w:r>
              <w:rPr>
                <w:rFonts w:eastAsia="Times New Roman" w:cs="Calibri"/>
                <w:color w:val="000000"/>
                <w:kern w:val="0"/>
                <w:sz w:val="16"/>
                <w:szCs w:val="16"/>
                <w:lang w:eastAsia="pl-PL"/>
                <w14:ligatures w14:val="none"/>
              </w:rPr>
              <w:t xml:space="preserve"> mld euro</w:t>
            </w:r>
          </w:p>
        </w:tc>
        <w:tc>
          <w:tcPr>
            <w:tcW w:w="1559" w:type="dxa"/>
            <w:tcBorders>
              <w:top w:val="single" w:sz="4" w:space="0" w:color="3A7C22" w:themeColor="accent6" w:themeShade="BF"/>
            </w:tcBorders>
            <w:hideMark/>
          </w:tcPr>
          <w:p w14:paraId="45C2E664" w14:textId="1ED1F5E0"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2026</w:t>
            </w:r>
            <w:r>
              <w:rPr>
                <w:rFonts w:eastAsia="Times New Roman" w:cs="Calibri"/>
                <w:color w:val="000000"/>
                <w:kern w:val="0"/>
                <w:sz w:val="16"/>
                <w:szCs w:val="16"/>
                <w:lang w:eastAsia="pl-PL"/>
                <w14:ligatures w14:val="none"/>
              </w:rPr>
              <w:t>–2</w:t>
            </w:r>
            <w:r w:rsidRPr="003416D6">
              <w:rPr>
                <w:rFonts w:eastAsia="Times New Roman" w:cs="Calibri"/>
                <w:color w:val="000000"/>
                <w:kern w:val="0"/>
                <w:sz w:val="16"/>
                <w:szCs w:val="16"/>
                <w:lang w:eastAsia="pl-PL"/>
                <w14:ligatures w14:val="none"/>
              </w:rPr>
              <w:t>03</w:t>
            </w:r>
            <w:r>
              <w:rPr>
                <w:rFonts w:eastAsia="Times New Roman" w:cs="Calibri"/>
                <w:color w:val="000000"/>
                <w:kern w:val="0"/>
                <w:sz w:val="16"/>
                <w:szCs w:val="16"/>
                <w:lang w:eastAsia="pl-PL"/>
                <w14:ligatures w14:val="none"/>
              </w:rPr>
              <w:t>2</w:t>
            </w:r>
          </w:p>
        </w:tc>
        <w:tc>
          <w:tcPr>
            <w:tcW w:w="1281" w:type="dxa"/>
            <w:tcBorders>
              <w:top w:val="single" w:sz="4" w:space="0" w:color="3A7C22" w:themeColor="accent6" w:themeShade="BF"/>
            </w:tcBorders>
            <w:hideMark/>
          </w:tcPr>
          <w:p w14:paraId="610D7027" w14:textId="2CA2CAB1"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Środki ze sprzedaży </w:t>
            </w:r>
            <w:r>
              <w:rPr>
                <w:rFonts w:eastAsia="Times New Roman" w:cs="Calibri"/>
                <w:color w:val="000000"/>
                <w:kern w:val="0"/>
                <w:sz w:val="16"/>
                <w:szCs w:val="16"/>
                <w:lang w:eastAsia="pl-PL"/>
                <w14:ligatures w14:val="none"/>
              </w:rPr>
              <w:t>uprawnień do emisji GHG w ramach</w:t>
            </w:r>
            <w:r w:rsidRPr="003416D6">
              <w:rPr>
                <w:rFonts w:eastAsia="Times New Roman" w:cs="Calibri"/>
                <w:color w:val="000000"/>
                <w:kern w:val="0"/>
                <w:sz w:val="16"/>
                <w:szCs w:val="16"/>
                <w:lang w:eastAsia="pl-PL"/>
                <w14:ligatures w14:val="none"/>
              </w:rPr>
              <w:t xml:space="preserve"> ETS</w:t>
            </w:r>
            <w:r>
              <w:rPr>
                <w:rFonts w:eastAsia="Times New Roman" w:cs="Calibri"/>
                <w:color w:val="000000"/>
                <w:kern w:val="0"/>
                <w:sz w:val="16"/>
                <w:szCs w:val="16"/>
                <w:lang w:eastAsia="pl-PL"/>
                <w14:ligatures w14:val="none"/>
              </w:rPr>
              <w:t>2 i ETS</w:t>
            </w:r>
            <w:r w:rsidRPr="003416D6">
              <w:rPr>
                <w:rFonts w:eastAsia="Times New Roman" w:cs="Calibri"/>
                <w:color w:val="000000"/>
                <w:kern w:val="0"/>
                <w:sz w:val="16"/>
                <w:szCs w:val="16"/>
                <w:lang w:eastAsia="pl-PL"/>
                <w14:ligatures w14:val="none"/>
              </w:rPr>
              <w:t xml:space="preserve">  </w:t>
            </w:r>
          </w:p>
        </w:tc>
        <w:tc>
          <w:tcPr>
            <w:tcW w:w="1186" w:type="dxa"/>
            <w:tcBorders>
              <w:top w:val="single" w:sz="4" w:space="0" w:color="3A7C22" w:themeColor="accent6" w:themeShade="BF"/>
            </w:tcBorders>
            <w:hideMark/>
          </w:tcPr>
          <w:p w14:paraId="5B948299" w14:textId="7C46B985"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Mieszane</w:t>
            </w:r>
          </w:p>
        </w:tc>
        <w:tc>
          <w:tcPr>
            <w:tcW w:w="1413" w:type="dxa"/>
            <w:tcBorders>
              <w:top w:val="single" w:sz="4" w:space="0" w:color="3A7C22" w:themeColor="accent6" w:themeShade="BF"/>
            </w:tcBorders>
            <w:hideMark/>
          </w:tcPr>
          <w:p w14:paraId="3D108FEA" w14:textId="77777777" w:rsidR="0078152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Ministerstwo Funduszy i Polityki Regionalnej</w:t>
            </w:r>
          </w:p>
          <w:p w14:paraId="693334F3" w14:textId="77777777" w:rsidR="0078152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p>
          <w:p w14:paraId="1BF07682" w14:textId="77777777" w:rsidR="0078152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Resorty współpracujące:</w:t>
            </w:r>
          </w:p>
          <w:p w14:paraId="25AACF02" w14:textId="77777777" w:rsidR="0078152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Ministerstwo Klimatu i Środowiska</w:t>
            </w:r>
          </w:p>
          <w:p w14:paraId="66E21C37" w14:textId="77777777" w:rsidR="0078152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Ministerstwo Rozwoju i Technologii,</w:t>
            </w:r>
          </w:p>
          <w:p w14:paraId="701E62AD" w14:textId="77777777" w:rsidR="0078152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Ministerstwo Infrastruktury,</w:t>
            </w:r>
          </w:p>
          <w:p w14:paraId="6B632024" w14:textId="7D1F4C14"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lastRenderedPageBreak/>
              <w:t>Ministerstwo Rodziny, Pracy i Polityki Społecznej.</w:t>
            </w:r>
          </w:p>
        </w:tc>
        <w:tc>
          <w:tcPr>
            <w:tcW w:w="3548" w:type="dxa"/>
            <w:tcBorders>
              <w:top w:val="single" w:sz="4" w:space="0" w:color="3A7C22" w:themeColor="accent6" w:themeShade="BF"/>
            </w:tcBorders>
            <w:hideMark/>
          </w:tcPr>
          <w:p w14:paraId="54D4E8E2" w14:textId="30606710" w:rsidR="00781523" w:rsidRPr="003416D6"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lastRenderedPageBreak/>
              <w:t>Zasadniczym celem utworzenia Społecznego Funduszu Klimatycznego (</w:t>
            </w:r>
            <w:r>
              <w:rPr>
                <w:rFonts w:eastAsia="Times New Roman" w:cs="Calibri"/>
                <w:color w:val="000000"/>
                <w:kern w:val="0"/>
                <w:sz w:val="16"/>
                <w:szCs w:val="16"/>
                <w:lang w:eastAsia="pl-PL"/>
                <w14:ligatures w14:val="none"/>
              </w:rPr>
              <w:t>SFK</w:t>
            </w:r>
            <w:r w:rsidRPr="003416D6">
              <w:rPr>
                <w:rFonts w:eastAsia="Times New Roman" w:cs="Calibri"/>
                <w:color w:val="000000"/>
                <w:kern w:val="0"/>
                <w:sz w:val="16"/>
                <w:szCs w:val="16"/>
                <w:lang w:eastAsia="pl-PL"/>
                <w14:ligatures w14:val="none"/>
              </w:rPr>
              <w:t>) jest złagodzenie wpływu nowych opłat za emisję gazów cieplarnianych na ceny</w:t>
            </w:r>
            <w:r>
              <w:rPr>
                <w:rFonts w:eastAsia="Times New Roman" w:cs="Calibri"/>
                <w:color w:val="000000"/>
                <w:kern w:val="0"/>
                <w:sz w:val="16"/>
                <w:szCs w:val="16"/>
                <w:lang w:eastAsia="pl-PL"/>
                <w14:ligatures w14:val="none"/>
              </w:rPr>
              <w:t xml:space="preserve"> energii</w:t>
            </w:r>
            <w:r w:rsidR="00621AD4">
              <w:rPr>
                <w:rFonts w:eastAsia="Times New Roman" w:cs="Calibri"/>
                <w:color w:val="000000"/>
                <w:kern w:val="0"/>
                <w:sz w:val="16"/>
                <w:szCs w:val="16"/>
                <w:lang w:eastAsia="pl-PL"/>
                <w14:ligatures w14:val="none"/>
              </w:rPr>
              <w:t xml:space="preserve"> i paliw transportowych</w:t>
            </w:r>
            <w:r w:rsidRPr="003416D6">
              <w:rPr>
                <w:rFonts w:eastAsia="Times New Roman" w:cs="Calibri"/>
                <w:color w:val="000000"/>
                <w:kern w:val="0"/>
                <w:sz w:val="16"/>
                <w:szCs w:val="16"/>
                <w:lang w:eastAsia="pl-PL"/>
                <w14:ligatures w14:val="none"/>
              </w:rPr>
              <w:t>, które wzrosną w wyniku rozszerzenia ETS na budynki i transport</w:t>
            </w:r>
            <w:r w:rsidR="00621AD4">
              <w:rPr>
                <w:rFonts w:eastAsia="Times New Roman" w:cs="Calibri"/>
                <w:color w:val="000000"/>
                <w:kern w:val="0"/>
                <w:sz w:val="16"/>
                <w:szCs w:val="16"/>
                <w:lang w:eastAsia="pl-PL"/>
                <w14:ligatures w14:val="none"/>
              </w:rPr>
              <w:t xml:space="preserve"> drogowy</w:t>
            </w:r>
            <w:r w:rsidRPr="003416D6">
              <w:rPr>
                <w:rFonts w:eastAsia="Times New Roman" w:cs="Calibri"/>
                <w:color w:val="000000"/>
                <w:kern w:val="0"/>
                <w:sz w:val="16"/>
                <w:szCs w:val="16"/>
                <w:lang w:eastAsia="pl-PL"/>
                <w14:ligatures w14:val="none"/>
              </w:rPr>
              <w:t xml:space="preserve"> (ETS</w:t>
            </w:r>
            <w:r>
              <w:rPr>
                <w:rFonts w:eastAsia="Times New Roman" w:cs="Calibri"/>
                <w:color w:val="000000"/>
                <w:kern w:val="0"/>
                <w:sz w:val="16"/>
                <w:szCs w:val="16"/>
                <w:lang w:eastAsia="pl-PL"/>
                <w14:ligatures w14:val="none"/>
              </w:rPr>
              <w:t xml:space="preserve"> 2 –</w:t>
            </w:r>
            <w:r w:rsidRPr="003416D6">
              <w:rPr>
                <w:rFonts w:eastAsia="Times New Roman" w:cs="Calibri"/>
                <w:color w:val="000000"/>
                <w:kern w:val="0"/>
                <w:sz w:val="16"/>
                <w:szCs w:val="16"/>
                <w:lang w:eastAsia="pl-PL"/>
                <w14:ligatures w14:val="none"/>
              </w:rPr>
              <w:t xml:space="preserve"> BRT). </w:t>
            </w:r>
            <w:r>
              <w:rPr>
                <w:rFonts w:eastAsia="Times New Roman" w:cs="Calibri"/>
                <w:color w:val="000000"/>
                <w:kern w:val="0"/>
                <w:sz w:val="16"/>
                <w:szCs w:val="16"/>
                <w:lang w:eastAsia="pl-PL"/>
                <w14:ligatures w14:val="none"/>
              </w:rPr>
              <w:t>SFK</w:t>
            </w:r>
            <w:r w:rsidRPr="003416D6">
              <w:rPr>
                <w:rFonts w:eastAsia="Times New Roman" w:cs="Calibri"/>
                <w:color w:val="000000"/>
                <w:kern w:val="0"/>
                <w:sz w:val="16"/>
                <w:szCs w:val="16"/>
                <w:lang w:eastAsia="pl-PL"/>
                <w14:ligatures w14:val="none"/>
              </w:rPr>
              <w:t xml:space="preserve"> ma wspomóc znajdujące się w trudnej sytuacji gospodarstwa domowe, mikroprzedsiębiorstwa i użytkowników transportu m.in. w inwestycjach ograniczających zużycie paliw kopalnych oraz adaptacji niskoemisyjnych technologii. W okresie przejściowym </w:t>
            </w:r>
            <w:r>
              <w:rPr>
                <w:rFonts w:eastAsia="Times New Roman" w:cs="Calibri"/>
                <w:color w:val="000000"/>
                <w:kern w:val="0"/>
                <w:sz w:val="16"/>
                <w:szCs w:val="16"/>
                <w:lang w:eastAsia="pl-PL"/>
                <w14:ligatures w14:val="none"/>
              </w:rPr>
              <w:t>SFK</w:t>
            </w:r>
            <w:r w:rsidRPr="003416D6">
              <w:rPr>
                <w:rFonts w:eastAsia="Times New Roman" w:cs="Calibri"/>
                <w:color w:val="000000"/>
                <w:kern w:val="0"/>
                <w:sz w:val="16"/>
                <w:szCs w:val="16"/>
                <w:lang w:eastAsia="pl-PL"/>
                <w14:ligatures w14:val="none"/>
              </w:rPr>
              <w:t xml:space="preserve"> ma też finansować osłony dla najbardziej wrażliwych podmiotów</w:t>
            </w:r>
            <w:r>
              <w:rPr>
                <w:rFonts w:eastAsia="Times New Roman" w:cs="Calibri"/>
                <w:color w:val="000000"/>
                <w:kern w:val="0"/>
                <w:sz w:val="16"/>
                <w:szCs w:val="16"/>
                <w:lang w:eastAsia="pl-PL"/>
                <w14:ligatures w14:val="none"/>
              </w:rPr>
              <w:t xml:space="preserve">, docelowo jednak wsparcie ma mieć charakter </w:t>
            </w:r>
            <w:r>
              <w:rPr>
                <w:rFonts w:eastAsia="Times New Roman" w:cs="Calibri"/>
                <w:color w:val="000000"/>
                <w:kern w:val="0"/>
                <w:sz w:val="16"/>
                <w:szCs w:val="16"/>
                <w:lang w:eastAsia="pl-PL"/>
                <w14:ligatures w14:val="none"/>
              </w:rPr>
              <w:lastRenderedPageBreak/>
              <w:t xml:space="preserve">inwestycyjny. </w:t>
            </w:r>
            <w:r w:rsidRPr="00C970E9">
              <w:rPr>
                <w:rFonts w:eastAsia="Times New Roman" w:cs="Calibri"/>
                <w:color w:val="000000"/>
                <w:kern w:val="0"/>
                <w:sz w:val="16"/>
                <w:szCs w:val="16"/>
                <w:lang w:eastAsia="pl-PL"/>
                <w14:ligatures w14:val="none"/>
              </w:rPr>
              <w:t>Państwa członkowskie UE są zobowiązane do prze</w:t>
            </w:r>
            <w:r w:rsidR="00621AD4">
              <w:rPr>
                <w:rFonts w:eastAsia="Times New Roman" w:cs="Calibri"/>
                <w:color w:val="000000"/>
                <w:kern w:val="0"/>
                <w:sz w:val="16"/>
                <w:szCs w:val="16"/>
                <w:lang w:eastAsia="pl-PL"/>
                <w14:ligatures w14:val="none"/>
              </w:rPr>
              <w:t xml:space="preserve">kazania do </w:t>
            </w:r>
            <w:proofErr w:type="spellStart"/>
            <w:r w:rsidR="00621AD4">
              <w:rPr>
                <w:rFonts w:eastAsia="Times New Roman" w:cs="Calibri"/>
                <w:color w:val="000000"/>
                <w:kern w:val="0"/>
                <w:sz w:val="16"/>
                <w:szCs w:val="16"/>
                <w:lang w:eastAsia="pl-PL"/>
                <w14:ligatures w14:val="none"/>
              </w:rPr>
              <w:t>KE</w:t>
            </w:r>
            <w:r w:rsidRPr="00C970E9">
              <w:rPr>
                <w:rFonts w:eastAsia="Times New Roman" w:cs="Calibri"/>
                <w:color w:val="000000"/>
                <w:kern w:val="0"/>
                <w:sz w:val="16"/>
                <w:szCs w:val="16"/>
                <w:lang w:eastAsia="pl-PL"/>
                <w14:ligatures w14:val="none"/>
              </w:rPr>
              <w:t>swoich</w:t>
            </w:r>
            <w:proofErr w:type="spellEnd"/>
            <w:r w:rsidRPr="00C970E9">
              <w:rPr>
                <w:rFonts w:eastAsia="Times New Roman" w:cs="Calibri"/>
                <w:color w:val="000000"/>
                <w:kern w:val="0"/>
                <w:sz w:val="16"/>
                <w:szCs w:val="16"/>
                <w:lang w:eastAsia="pl-PL"/>
                <w14:ligatures w14:val="none"/>
              </w:rPr>
              <w:t xml:space="preserve"> planów społeczn</w:t>
            </w:r>
            <w:r w:rsidR="00621AD4">
              <w:rPr>
                <w:rFonts w:eastAsia="Times New Roman" w:cs="Calibri"/>
                <w:color w:val="000000"/>
                <w:kern w:val="0"/>
                <w:sz w:val="16"/>
                <w:szCs w:val="16"/>
                <w:lang w:eastAsia="pl-PL"/>
                <w14:ligatures w14:val="none"/>
              </w:rPr>
              <w:t>o-klimatycznych</w:t>
            </w:r>
            <w:r w:rsidRPr="00C970E9">
              <w:rPr>
                <w:rFonts w:eastAsia="Times New Roman" w:cs="Calibri"/>
                <w:color w:val="000000"/>
                <w:kern w:val="0"/>
                <w:sz w:val="16"/>
                <w:szCs w:val="16"/>
                <w:lang w:eastAsia="pl-PL"/>
                <w14:ligatures w14:val="none"/>
              </w:rPr>
              <w:t xml:space="preserve"> do 30.06.2025</w:t>
            </w:r>
            <w:r>
              <w:rPr>
                <w:rFonts w:eastAsia="Times New Roman" w:cs="Calibri"/>
                <w:color w:val="000000"/>
                <w:kern w:val="0"/>
                <w:sz w:val="16"/>
                <w:szCs w:val="16"/>
                <w:lang w:eastAsia="pl-PL"/>
                <w14:ligatures w14:val="none"/>
              </w:rPr>
              <w:t xml:space="preserve"> r</w:t>
            </w:r>
            <w:r w:rsidRPr="00C970E9">
              <w:rPr>
                <w:rFonts w:eastAsia="Times New Roman" w:cs="Calibri"/>
                <w:color w:val="000000"/>
                <w:kern w:val="0"/>
                <w:sz w:val="16"/>
                <w:szCs w:val="16"/>
                <w:lang w:eastAsia="pl-PL"/>
                <w14:ligatures w14:val="none"/>
              </w:rPr>
              <w:t>.</w:t>
            </w:r>
          </w:p>
        </w:tc>
      </w:tr>
      <w:tr w:rsidR="00781523" w:rsidRPr="00ED52BB" w14:paraId="24AAA72E" w14:textId="77777777" w:rsidTr="00300186">
        <w:trPr>
          <w:trHeight w:val="1836"/>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4C7515D8" w14:textId="6342A6C7"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42D3D928"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Fundusz Innowacyjny</w:t>
            </w:r>
          </w:p>
        </w:tc>
        <w:tc>
          <w:tcPr>
            <w:tcW w:w="1559" w:type="dxa"/>
            <w:tcBorders>
              <w:top w:val="single" w:sz="4" w:space="0" w:color="3A7C22" w:themeColor="accent6" w:themeShade="BF"/>
              <w:bottom w:val="single" w:sz="4" w:space="0" w:color="3A7C22" w:themeColor="accent6" w:themeShade="BF"/>
            </w:tcBorders>
            <w:hideMark/>
          </w:tcPr>
          <w:p w14:paraId="543EBDA1"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Różne sektory</w:t>
            </w:r>
          </w:p>
        </w:tc>
        <w:tc>
          <w:tcPr>
            <w:tcW w:w="1701" w:type="dxa"/>
            <w:tcBorders>
              <w:top w:val="single" w:sz="4" w:space="0" w:color="3A7C22" w:themeColor="accent6" w:themeShade="BF"/>
              <w:bottom w:val="single" w:sz="4" w:space="0" w:color="3A7C22" w:themeColor="accent6" w:themeShade="BF"/>
            </w:tcBorders>
            <w:hideMark/>
          </w:tcPr>
          <w:p w14:paraId="166D0439" w14:textId="77777777" w:rsidR="0078152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40 mld zł</w:t>
            </w:r>
          </w:p>
          <w:p w14:paraId="05FDAB20" w14:textId="234BEB17" w:rsidR="004575A9" w:rsidRPr="003416D6" w:rsidRDefault="004575A9"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W</w:t>
            </w:r>
            <w:r w:rsidRPr="004575A9">
              <w:rPr>
                <w:rFonts w:eastAsia="Times New Roman" w:cs="Calibri"/>
                <w:color w:val="000000"/>
                <w:kern w:val="0"/>
                <w:sz w:val="16"/>
                <w:szCs w:val="16"/>
                <w:lang w:eastAsia="pl-PL"/>
                <w14:ligatures w14:val="none"/>
              </w:rPr>
              <w:t xml:space="preserve"> F</w:t>
            </w:r>
            <w:r>
              <w:rPr>
                <w:rFonts w:eastAsia="Times New Roman" w:cs="Calibri"/>
                <w:color w:val="000000"/>
                <w:kern w:val="0"/>
                <w:sz w:val="16"/>
                <w:szCs w:val="16"/>
                <w:lang w:eastAsia="pl-PL"/>
                <w14:ligatures w14:val="none"/>
              </w:rPr>
              <w:t>unduszu Innowacyjnym</w:t>
            </w:r>
            <w:r w:rsidRPr="004575A9">
              <w:rPr>
                <w:rFonts w:eastAsia="Times New Roman" w:cs="Calibri"/>
                <w:color w:val="000000"/>
                <w:kern w:val="0"/>
                <w:sz w:val="16"/>
                <w:szCs w:val="16"/>
                <w:lang w:eastAsia="pl-PL"/>
                <w14:ligatures w14:val="none"/>
              </w:rPr>
              <w:t xml:space="preserve"> brak jest kopert narodowych, w związku z tym nie można określić ile otrzymają podmioty z Polski</w:t>
            </w:r>
          </w:p>
        </w:tc>
        <w:tc>
          <w:tcPr>
            <w:tcW w:w="1559" w:type="dxa"/>
            <w:tcBorders>
              <w:top w:val="single" w:sz="4" w:space="0" w:color="3A7C22" w:themeColor="accent6" w:themeShade="BF"/>
              <w:bottom w:val="single" w:sz="4" w:space="0" w:color="3A7C22" w:themeColor="accent6" w:themeShade="BF"/>
            </w:tcBorders>
            <w:hideMark/>
          </w:tcPr>
          <w:p w14:paraId="6F9A91BC" w14:textId="5AC2B75D"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2020</w:t>
            </w:r>
            <w:r>
              <w:rPr>
                <w:rFonts w:eastAsia="Times New Roman" w:cs="Calibri"/>
                <w:color w:val="000000"/>
                <w:kern w:val="0"/>
                <w:sz w:val="16"/>
                <w:szCs w:val="16"/>
                <w:lang w:eastAsia="pl-PL"/>
                <w14:ligatures w14:val="none"/>
              </w:rPr>
              <w:t>–2</w:t>
            </w:r>
            <w:r w:rsidRPr="003416D6">
              <w:rPr>
                <w:rFonts w:eastAsia="Times New Roman" w:cs="Calibri"/>
                <w:color w:val="000000"/>
                <w:kern w:val="0"/>
                <w:sz w:val="16"/>
                <w:szCs w:val="16"/>
                <w:lang w:eastAsia="pl-PL"/>
                <w14:ligatures w14:val="none"/>
              </w:rPr>
              <w:t>030</w:t>
            </w:r>
          </w:p>
        </w:tc>
        <w:tc>
          <w:tcPr>
            <w:tcW w:w="1281" w:type="dxa"/>
            <w:tcBorders>
              <w:top w:val="single" w:sz="4" w:space="0" w:color="3A7C22" w:themeColor="accent6" w:themeShade="BF"/>
              <w:bottom w:val="single" w:sz="4" w:space="0" w:color="3A7C22" w:themeColor="accent6" w:themeShade="BF"/>
            </w:tcBorders>
            <w:hideMark/>
          </w:tcPr>
          <w:p w14:paraId="17D5D275"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 dochody unijnego systemu handlu uprawnieniami do emisji</w:t>
            </w:r>
          </w:p>
        </w:tc>
        <w:tc>
          <w:tcPr>
            <w:tcW w:w="1186" w:type="dxa"/>
            <w:tcBorders>
              <w:top w:val="single" w:sz="4" w:space="0" w:color="3A7C22" w:themeColor="accent6" w:themeShade="BF"/>
              <w:bottom w:val="single" w:sz="4" w:space="0" w:color="3A7C22" w:themeColor="accent6" w:themeShade="BF"/>
            </w:tcBorders>
            <w:hideMark/>
          </w:tcPr>
          <w:p w14:paraId="00F7A168"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Inwestycyjne</w:t>
            </w:r>
          </w:p>
        </w:tc>
        <w:tc>
          <w:tcPr>
            <w:tcW w:w="1413" w:type="dxa"/>
            <w:tcBorders>
              <w:top w:val="single" w:sz="4" w:space="0" w:color="3A7C22" w:themeColor="accent6" w:themeShade="BF"/>
              <w:bottom w:val="single" w:sz="4" w:space="0" w:color="3A7C22" w:themeColor="accent6" w:themeShade="BF"/>
            </w:tcBorders>
            <w:hideMark/>
          </w:tcPr>
          <w:p w14:paraId="36F7D086" w14:textId="40481F9F"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Komisja Europejska</w:t>
            </w:r>
          </w:p>
        </w:tc>
        <w:tc>
          <w:tcPr>
            <w:tcW w:w="3548" w:type="dxa"/>
            <w:tcBorders>
              <w:top w:val="single" w:sz="4" w:space="0" w:color="3A7C22" w:themeColor="accent6" w:themeShade="BF"/>
              <w:bottom w:val="single" w:sz="4" w:space="0" w:color="3A7C22" w:themeColor="accent6" w:themeShade="BF"/>
            </w:tcBorders>
            <w:hideMark/>
          </w:tcPr>
          <w:p w14:paraId="5C0771EE" w14:textId="77777777" w:rsidR="00781523" w:rsidRPr="003416D6"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Fundusz obejmuje m. in.:</w:t>
            </w:r>
            <w:r w:rsidRPr="003416D6">
              <w:rPr>
                <w:rFonts w:eastAsia="Times New Roman" w:cs="Calibri"/>
                <w:color w:val="000000"/>
                <w:kern w:val="0"/>
                <w:sz w:val="16"/>
                <w:szCs w:val="16"/>
                <w:lang w:eastAsia="pl-PL"/>
                <w14:ligatures w14:val="none"/>
              </w:rPr>
              <w:br/>
              <w:t>- Technologie niskoemisyjne,</w:t>
            </w:r>
            <w:r w:rsidRPr="003416D6">
              <w:rPr>
                <w:rFonts w:eastAsia="Times New Roman" w:cs="Calibri"/>
                <w:color w:val="000000"/>
                <w:kern w:val="0"/>
                <w:sz w:val="16"/>
                <w:szCs w:val="16"/>
                <w:lang w:eastAsia="pl-PL"/>
                <w14:ligatures w14:val="none"/>
              </w:rPr>
              <w:br/>
              <w:t>- Efektywność energetyczną,</w:t>
            </w:r>
            <w:r w:rsidRPr="003416D6">
              <w:rPr>
                <w:rFonts w:eastAsia="Times New Roman" w:cs="Calibri"/>
                <w:color w:val="000000"/>
                <w:kern w:val="0"/>
                <w:sz w:val="16"/>
                <w:szCs w:val="16"/>
                <w:lang w:eastAsia="pl-PL"/>
                <w14:ligatures w14:val="none"/>
              </w:rPr>
              <w:br/>
              <w:t>- Przemysłowe projekty demonstracyjne,</w:t>
            </w:r>
            <w:r w:rsidRPr="003416D6">
              <w:rPr>
                <w:rFonts w:eastAsia="Times New Roman" w:cs="Calibri"/>
                <w:color w:val="000000"/>
                <w:kern w:val="0"/>
                <w:sz w:val="16"/>
                <w:szCs w:val="16"/>
                <w:lang w:eastAsia="pl-PL"/>
                <w14:ligatures w14:val="none"/>
              </w:rPr>
              <w:br/>
              <w:t>- CCS,</w:t>
            </w:r>
            <w:r w:rsidRPr="003416D6">
              <w:rPr>
                <w:rFonts w:eastAsia="Times New Roman" w:cs="Calibri"/>
                <w:color w:val="000000"/>
                <w:kern w:val="0"/>
                <w:sz w:val="16"/>
                <w:szCs w:val="16"/>
                <w:lang w:eastAsia="pl-PL"/>
                <w14:ligatures w14:val="none"/>
              </w:rPr>
              <w:br/>
              <w:t>- Magazynowanie energii,</w:t>
            </w:r>
            <w:r w:rsidRPr="003416D6">
              <w:rPr>
                <w:rFonts w:eastAsia="Times New Roman" w:cs="Calibri"/>
                <w:color w:val="000000"/>
                <w:kern w:val="0"/>
                <w:sz w:val="16"/>
                <w:szCs w:val="16"/>
                <w:lang w:eastAsia="pl-PL"/>
                <w14:ligatures w14:val="none"/>
              </w:rPr>
              <w:br/>
              <w:t>- Odnawialne Źródła Energii.</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https://cinea.ec.europa.eu/programmes/innovation-fund_en</w:t>
            </w:r>
          </w:p>
        </w:tc>
      </w:tr>
      <w:tr w:rsidR="00801275" w:rsidRPr="00242FBE" w14:paraId="24CD6387" w14:textId="77777777" w:rsidTr="00300186">
        <w:trPr>
          <w:cnfStyle w:val="000000100000" w:firstRow="0" w:lastRow="0" w:firstColumn="0" w:lastColumn="0" w:oddVBand="0" w:evenVBand="0" w:oddHBand="1" w:evenHBand="0" w:firstRowFirstColumn="0" w:firstRowLastColumn="0" w:lastRowFirstColumn="0" w:lastRowLastColumn="0"/>
          <w:trHeight w:val="1224"/>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41DC62E2" w14:textId="0F04F9FC"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3ECA4368"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proofErr w:type="spellStart"/>
            <w:r w:rsidRPr="003416D6">
              <w:rPr>
                <w:rFonts w:eastAsia="Times New Roman" w:cs="Calibri"/>
                <w:color w:val="000000"/>
                <w:kern w:val="0"/>
                <w:sz w:val="16"/>
                <w:szCs w:val="16"/>
                <w:lang w:eastAsia="pl-PL"/>
                <w14:ligatures w14:val="none"/>
              </w:rPr>
              <w:t>Connecting</w:t>
            </w:r>
            <w:proofErr w:type="spellEnd"/>
            <w:r w:rsidRPr="003416D6">
              <w:rPr>
                <w:rFonts w:eastAsia="Times New Roman" w:cs="Calibri"/>
                <w:color w:val="000000"/>
                <w:kern w:val="0"/>
                <w:sz w:val="16"/>
                <w:szCs w:val="16"/>
                <w:lang w:eastAsia="pl-PL"/>
                <w14:ligatures w14:val="none"/>
              </w:rPr>
              <w:t xml:space="preserve"> </w:t>
            </w:r>
            <w:r>
              <w:rPr>
                <w:rFonts w:eastAsia="Times New Roman" w:cs="Calibri"/>
                <w:color w:val="000000"/>
                <w:kern w:val="0"/>
                <w:sz w:val="16"/>
                <w:szCs w:val="16"/>
                <w:lang w:eastAsia="pl-PL"/>
                <w14:ligatures w14:val="none"/>
              </w:rPr>
              <w:t>E</w:t>
            </w:r>
            <w:r w:rsidRPr="003416D6">
              <w:rPr>
                <w:rFonts w:eastAsia="Times New Roman" w:cs="Calibri"/>
                <w:color w:val="000000"/>
                <w:kern w:val="0"/>
                <w:sz w:val="16"/>
                <w:szCs w:val="16"/>
                <w:lang w:eastAsia="pl-PL"/>
                <w14:ligatures w14:val="none"/>
              </w:rPr>
              <w:t xml:space="preserve">urope </w:t>
            </w:r>
            <w:proofErr w:type="spellStart"/>
            <w:r w:rsidRPr="003416D6">
              <w:rPr>
                <w:rFonts w:eastAsia="Times New Roman" w:cs="Calibri"/>
                <w:color w:val="000000"/>
                <w:kern w:val="0"/>
                <w:sz w:val="16"/>
                <w:szCs w:val="16"/>
                <w:lang w:eastAsia="pl-PL"/>
                <w14:ligatures w14:val="none"/>
              </w:rPr>
              <w:t>Facility</w:t>
            </w:r>
            <w:proofErr w:type="spellEnd"/>
            <w:r w:rsidRPr="003416D6">
              <w:rPr>
                <w:rFonts w:eastAsia="Times New Roman" w:cs="Calibri"/>
                <w:color w:val="000000"/>
                <w:kern w:val="0"/>
                <w:sz w:val="16"/>
                <w:szCs w:val="16"/>
                <w:lang w:eastAsia="pl-PL"/>
                <w14:ligatures w14:val="none"/>
              </w:rPr>
              <w:t xml:space="preserve"> – CEF</w:t>
            </w:r>
          </w:p>
        </w:tc>
        <w:tc>
          <w:tcPr>
            <w:tcW w:w="1559" w:type="dxa"/>
            <w:tcBorders>
              <w:top w:val="single" w:sz="4" w:space="0" w:color="3A7C22" w:themeColor="accent6" w:themeShade="BF"/>
              <w:bottom w:val="single" w:sz="4" w:space="0" w:color="3A7C22" w:themeColor="accent6" w:themeShade="BF"/>
            </w:tcBorders>
            <w:hideMark/>
          </w:tcPr>
          <w:p w14:paraId="7088B54F"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Elektroenergetyka/Transport</w:t>
            </w:r>
          </w:p>
        </w:tc>
        <w:tc>
          <w:tcPr>
            <w:tcW w:w="1701" w:type="dxa"/>
            <w:tcBorders>
              <w:top w:val="single" w:sz="4" w:space="0" w:color="3A7C22" w:themeColor="accent6" w:themeShade="BF"/>
              <w:bottom w:val="single" w:sz="4" w:space="0" w:color="3A7C22" w:themeColor="accent6" w:themeShade="BF"/>
            </w:tcBorders>
            <w:hideMark/>
          </w:tcPr>
          <w:p w14:paraId="47A0914F" w14:textId="4A1EAEE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Ogólny budżet CEF </w:t>
            </w:r>
            <w:r>
              <w:rPr>
                <w:rFonts w:eastAsia="Times New Roman" w:cs="Calibri"/>
                <w:color w:val="000000"/>
                <w:kern w:val="0"/>
                <w:sz w:val="16"/>
                <w:szCs w:val="16"/>
                <w:lang w:eastAsia="pl-PL"/>
                <w14:ligatures w14:val="none"/>
              </w:rPr>
              <w:t xml:space="preserve">w skali UE </w:t>
            </w:r>
            <w:r w:rsidRPr="003416D6">
              <w:rPr>
                <w:rFonts w:eastAsia="Times New Roman" w:cs="Calibri"/>
                <w:color w:val="000000"/>
                <w:kern w:val="0"/>
                <w:sz w:val="16"/>
                <w:szCs w:val="16"/>
                <w:lang w:eastAsia="pl-PL"/>
                <w14:ligatures w14:val="none"/>
              </w:rPr>
              <w:t xml:space="preserve">wynosi 33,7 mld euro, w tym:        </w:t>
            </w:r>
            <w:r w:rsidRPr="003416D6">
              <w:rPr>
                <w:rFonts w:eastAsia="Times New Roman" w:cs="Calibri"/>
                <w:color w:val="000000"/>
                <w:kern w:val="0"/>
                <w:sz w:val="16"/>
                <w:szCs w:val="16"/>
                <w:lang w:eastAsia="pl-PL"/>
                <w14:ligatures w14:val="none"/>
              </w:rPr>
              <w:br/>
              <w:t>transport</w:t>
            </w:r>
            <w:r>
              <w:rPr>
                <w:rFonts w:eastAsia="Times New Roman" w:cs="Calibri"/>
                <w:color w:val="000000"/>
                <w:kern w:val="0"/>
                <w:sz w:val="16"/>
                <w:szCs w:val="16"/>
                <w:lang w:eastAsia="pl-PL"/>
                <w14:ligatures w14:val="none"/>
              </w:rPr>
              <w:t xml:space="preserve"> – </w:t>
            </w:r>
            <w:r w:rsidRPr="003416D6">
              <w:rPr>
                <w:rFonts w:eastAsia="Times New Roman" w:cs="Calibri"/>
                <w:color w:val="000000"/>
                <w:kern w:val="0"/>
                <w:sz w:val="16"/>
                <w:szCs w:val="16"/>
                <w:lang w:eastAsia="pl-PL"/>
                <w14:ligatures w14:val="none"/>
              </w:rPr>
              <w:t xml:space="preserve">25,8 mld euro,        </w:t>
            </w:r>
            <w:r w:rsidRPr="003416D6">
              <w:rPr>
                <w:rFonts w:eastAsia="Times New Roman" w:cs="Calibri"/>
                <w:color w:val="000000"/>
                <w:kern w:val="0"/>
                <w:sz w:val="16"/>
                <w:szCs w:val="16"/>
                <w:lang w:eastAsia="pl-PL"/>
                <w14:ligatures w14:val="none"/>
              </w:rPr>
              <w:br/>
              <w:t>energia</w:t>
            </w:r>
            <w:r>
              <w:rPr>
                <w:rFonts w:eastAsia="Times New Roman" w:cs="Calibri"/>
                <w:color w:val="000000"/>
                <w:kern w:val="0"/>
                <w:sz w:val="16"/>
                <w:szCs w:val="16"/>
                <w:lang w:eastAsia="pl-PL"/>
                <w14:ligatures w14:val="none"/>
              </w:rPr>
              <w:t xml:space="preserve"> – </w:t>
            </w:r>
            <w:r w:rsidRPr="003416D6">
              <w:rPr>
                <w:rFonts w:eastAsia="Times New Roman" w:cs="Calibri"/>
                <w:color w:val="000000"/>
                <w:kern w:val="0"/>
                <w:sz w:val="16"/>
                <w:szCs w:val="16"/>
                <w:lang w:eastAsia="pl-PL"/>
                <w14:ligatures w14:val="none"/>
              </w:rPr>
              <w:t xml:space="preserve">5,8 mld euro,        </w:t>
            </w:r>
            <w:r w:rsidRPr="003416D6">
              <w:rPr>
                <w:rFonts w:eastAsia="Times New Roman" w:cs="Calibri"/>
                <w:color w:val="000000"/>
                <w:kern w:val="0"/>
                <w:sz w:val="16"/>
                <w:szCs w:val="16"/>
                <w:lang w:eastAsia="pl-PL"/>
                <w14:ligatures w14:val="none"/>
              </w:rPr>
              <w:br/>
              <w:t>technologie cyfrowe</w:t>
            </w:r>
            <w:r>
              <w:rPr>
                <w:rFonts w:eastAsia="Times New Roman" w:cs="Calibri"/>
                <w:color w:val="000000"/>
                <w:kern w:val="0"/>
                <w:sz w:val="16"/>
                <w:szCs w:val="16"/>
                <w:lang w:eastAsia="pl-PL"/>
                <w14:ligatures w14:val="none"/>
              </w:rPr>
              <w:t xml:space="preserve"> – </w:t>
            </w:r>
            <w:r w:rsidRPr="003416D6">
              <w:rPr>
                <w:rFonts w:eastAsia="Times New Roman" w:cs="Calibri"/>
                <w:color w:val="000000"/>
                <w:kern w:val="0"/>
                <w:sz w:val="16"/>
                <w:szCs w:val="16"/>
                <w:lang w:eastAsia="pl-PL"/>
                <w14:ligatures w14:val="none"/>
              </w:rPr>
              <w:t>2,1 mld euro.</w:t>
            </w:r>
            <w:r w:rsidRPr="003416D6">
              <w:rPr>
                <w:rFonts w:eastAsia="Times New Roman" w:cs="Calibri"/>
                <w:color w:val="000000"/>
                <w:kern w:val="0"/>
                <w:sz w:val="16"/>
                <w:szCs w:val="16"/>
                <w:lang w:eastAsia="pl-PL"/>
                <w14:ligatures w14:val="none"/>
              </w:rPr>
              <w:br/>
            </w:r>
            <w:r w:rsidR="004575A9">
              <w:rPr>
                <w:rFonts w:eastAsia="Times New Roman" w:cs="Calibri"/>
                <w:color w:val="000000"/>
                <w:kern w:val="0"/>
                <w:sz w:val="16"/>
                <w:szCs w:val="16"/>
                <w:lang w:eastAsia="pl-PL"/>
                <w14:ligatures w14:val="none"/>
              </w:rPr>
              <w:t xml:space="preserve">W CEF </w:t>
            </w:r>
            <w:r w:rsidR="004575A9" w:rsidRPr="004575A9">
              <w:rPr>
                <w:rFonts w:eastAsia="Times New Roman" w:cs="Calibri"/>
                <w:color w:val="000000"/>
                <w:kern w:val="0"/>
                <w:sz w:val="16"/>
                <w:szCs w:val="16"/>
                <w:lang w:eastAsia="pl-PL"/>
                <w14:ligatures w14:val="none"/>
              </w:rPr>
              <w:t>brak jest kopert narodowych, w związku z tym nie można określić ile otrzymają podmioty z Polski</w:t>
            </w:r>
            <w:r w:rsidRPr="003416D6">
              <w:rPr>
                <w:rFonts w:eastAsia="Times New Roman" w:cs="Calibri"/>
                <w:color w:val="000000"/>
                <w:kern w:val="0"/>
                <w:sz w:val="16"/>
                <w:szCs w:val="16"/>
                <w:lang w:eastAsia="pl-PL"/>
                <w14:ligatures w14:val="none"/>
              </w:rPr>
              <w:br/>
              <w:t>Po 2027 roku</w:t>
            </w:r>
            <w:r>
              <w:rPr>
                <w:rFonts w:eastAsia="Times New Roman" w:cs="Calibri"/>
                <w:color w:val="000000"/>
                <w:kern w:val="0"/>
                <w:sz w:val="16"/>
                <w:szCs w:val="16"/>
                <w:lang w:eastAsia="pl-PL"/>
                <w14:ligatures w14:val="none"/>
              </w:rPr>
              <w:t xml:space="preserve"> – </w:t>
            </w:r>
            <w:r w:rsidRPr="003416D6">
              <w:rPr>
                <w:rFonts w:eastAsia="Times New Roman" w:cs="Calibri"/>
                <w:color w:val="000000"/>
                <w:kern w:val="0"/>
                <w:sz w:val="16"/>
                <w:szCs w:val="16"/>
                <w:lang w:eastAsia="pl-PL"/>
                <w14:ligatures w14:val="none"/>
              </w:rPr>
              <w:t>zależne od kształtu kolejnych WRF</w:t>
            </w:r>
            <w:r>
              <w:rPr>
                <w:rFonts w:eastAsia="Times New Roman" w:cs="Calibri"/>
                <w:color w:val="000000"/>
                <w:kern w:val="0"/>
                <w:sz w:val="16"/>
                <w:szCs w:val="16"/>
                <w:lang w:eastAsia="pl-PL"/>
                <w14:ligatures w14:val="none"/>
              </w:rPr>
              <w:t>.</w:t>
            </w:r>
          </w:p>
        </w:tc>
        <w:tc>
          <w:tcPr>
            <w:tcW w:w="1559" w:type="dxa"/>
            <w:tcBorders>
              <w:top w:val="single" w:sz="4" w:space="0" w:color="3A7C22" w:themeColor="accent6" w:themeShade="BF"/>
              <w:bottom w:val="single" w:sz="4" w:space="0" w:color="3A7C22" w:themeColor="accent6" w:themeShade="BF"/>
            </w:tcBorders>
            <w:hideMark/>
          </w:tcPr>
          <w:p w14:paraId="75F3560B" w14:textId="7C676C23"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2021</w:t>
            </w:r>
            <w:r>
              <w:rPr>
                <w:rFonts w:eastAsia="Times New Roman" w:cs="Calibri"/>
                <w:color w:val="000000"/>
                <w:kern w:val="0"/>
                <w:sz w:val="16"/>
                <w:szCs w:val="16"/>
                <w:lang w:eastAsia="pl-PL"/>
                <w14:ligatures w14:val="none"/>
              </w:rPr>
              <w:t>–2</w:t>
            </w:r>
            <w:r w:rsidRPr="003416D6">
              <w:rPr>
                <w:rFonts w:eastAsia="Times New Roman" w:cs="Calibri"/>
                <w:color w:val="000000"/>
                <w:kern w:val="0"/>
                <w:sz w:val="16"/>
                <w:szCs w:val="16"/>
                <w:lang w:eastAsia="pl-PL"/>
                <w14:ligatures w14:val="none"/>
              </w:rPr>
              <w:t>027</w:t>
            </w:r>
          </w:p>
        </w:tc>
        <w:tc>
          <w:tcPr>
            <w:tcW w:w="1281" w:type="dxa"/>
            <w:tcBorders>
              <w:top w:val="single" w:sz="4" w:space="0" w:color="3A7C22" w:themeColor="accent6" w:themeShade="BF"/>
              <w:bottom w:val="single" w:sz="4" w:space="0" w:color="3A7C22" w:themeColor="accent6" w:themeShade="BF"/>
            </w:tcBorders>
            <w:hideMark/>
          </w:tcPr>
          <w:p w14:paraId="1338D5BE" w14:textId="71D76FB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CEF</w:t>
            </w:r>
          </w:p>
        </w:tc>
        <w:tc>
          <w:tcPr>
            <w:tcW w:w="1186" w:type="dxa"/>
            <w:tcBorders>
              <w:top w:val="single" w:sz="4" w:space="0" w:color="3A7C22" w:themeColor="accent6" w:themeShade="BF"/>
              <w:bottom w:val="single" w:sz="4" w:space="0" w:color="3A7C22" w:themeColor="accent6" w:themeShade="BF"/>
            </w:tcBorders>
            <w:hideMark/>
          </w:tcPr>
          <w:p w14:paraId="066C8350"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Mieszane</w:t>
            </w:r>
          </w:p>
        </w:tc>
        <w:tc>
          <w:tcPr>
            <w:tcW w:w="1413" w:type="dxa"/>
            <w:tcBorders>
              <w:top w:val="single" w:sz="4" w:space="0" w:color="3A7C22" w:themeColor="accent6" w:themeShade="BF"/>
              <w:bottom w:val="single" w:sz="4" w:space="0" w:color="3A7C22" w:themeColor="accent6" w:themeShade="BF"/>
            </w:tcBorders>
            <w:hideMark/>
          </w:tcPr>
          <w:p w14:paraId="3624193F" w14:textId="2F80D008" w:rsidR="004575A9" w:rsidRDefault="004575A9"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I</w:t>
            </w:r>
            <w:r w:rsidRPr="004575A9">
              <w:rPr>
                <w:rFonts w:eastAsia="Times New Roman" w:cs="Calibri"/>
                <w:color w:val="000000"/>
                <w:kern w:val="0"/>
                <w:sz w:val="16"/>
                <w:szCs w:val="16"/>
                <w:lang w:eastAsia="pl-PL"/>
                <w14:ligatures w14:val="none"/>
              </w:rPr>
              <w:t>nstytucją wdrażającą jest KE przy udziale agencji wykonawczej CINEA</w:t>
            </w:r>
          </w:p>
          <w:p w14:paraId="69A01E58" w14:textId="3267C117" w:rsidR="004575A9" w:rsidRDefault="004575A9"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Podmioty pośredniczące:</w:t>
            </w:r>
          </w:p>
          <w:p w14:paraId="0BF64AC3" w14:textId="3C74D870" w:rsidR="00781523" w:rsidRPr="00706AA0"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Ministerstwo Funduszy i Polityki Regionalnej</w:t>
            </w:r>
            <w:r>
              <w:rPr>
                <w:rFonts w:eastAsia="Times New Roman" w:cs="Calibri"/>
                <w:color w:val="000000"/>
                <w:kern w:val="0"/>
                <w:sz w:val="16"/>
                <w:szCs w:val="16"/>
                <w:lang w:eastAsia="pl-PL"/>
                <w14:ligatures w14:val="none"/>
              </w:rPr>
              <w:t>/ Ministerstwo Klimatu i Środowiska</w:t>
            </w:r>
          </w:p>
        </w:tc>
        <w:tc>
          <w:tcPr>
            <w:tcW w:w="3548" w:type="dxa"/>
            <w:tcBorders>
              <w:top w:val="single" w:sz="4" w:space="0" w:color="3A7C22" w:themeColor="accent6" w:themeShade="BF"/>
              <w:bottom w:val="single" w:sz="4" w:space="0" w:color="3A7C22" w:themeColor="accent6" w:themeShade="BF"/>
            </w:tcBorders>
            <w:hideMark/>
          </w:tcPr>
          <w:p w14:paraId="255C6537" w14:textId="132532D9" w:rsidR="00781523" w:rsidRPr="00706AA0"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706AA0">
              <w:rPr>
                <w:rFonts w:eastAsia="Times New Roman" w:cs="Calibri"/>
                <w:color w:val="000000"/>
                <w:kern w:val="0"/>
                <w:sz w:val="16"/>
                <w:szCs w:val="16"/>
                <w:lang w:eastAsia="pl-PL"/>
                <w14:ligatures w14:val="none"/>
              </w:rPr>
              <w:t>https://www.funduszeeuropejskie.gov.pl/strony/o-funduszach/zasady-dzialania-funduszy/program-laczac-europe/cef</w:t>
            </w:r>
            <w:r>
              <w:rPr>
                <w:rFonts w:eastAsia="Times New Roman" w:cs="Calibri"/>
                <w:color w:val="000000"/>
                <w:kern w:val="0"/>
                <w:sz w:val="16"/>
                <w:szCs w:val="16"/>
                <w:lang w:eastAsia="pl-PL"/>
                <w14:ligatures w14:val="none"/>
              </w:rPr>
              <w:t>–2</w:t>
            </w:r>
            <w:r w:rsidRPr="00706AA0">
              <w:rPr>
                <w:rFonts w:eastAsia="Times New Roman" w:cs="Calibri"/>
                <w:color w:val="000000"/>
                <w:kern w:val="0"/>
                <w:sz w:val="16"/>
                <w:szCs w:val="16"/>
                <w:lang w:eastAsia="pl-PL"/>
                <w14:ligatures w14:val="none"/>
              </w:rPr>
              <w:t>021</w:t>
            </w:r>
            <w:r>
              <w:rPr>
                <w:rFonts w:eastAsia="Times New Roman" w:cs="Calibri"/>
                <w:color w:val="000000"/>
                <w:kern w:val="0"/>
                <w:sz w:val="16"/>
                <w:szCs w:val="16"/>
                <w:lang w:eastAsia="pl-PL"/>
                <w14:ligatures w14:val="none"/>
              </w:rPr>
              <w:t>–2</w:t>
            </w:r>
            <w:r w:rsidRPr="00706AA0">
              <w:rPr>
                <w:rFonts w:eastAsia="Times New Roman" w:cs="Calibri"/>
                <w:color w:val="000000"/>
                <w:kern w:val="0"/>
                <w:sz w:val="16"/>
                <w:szCs w:val="16"/>
                <w:lang w:eastAsia="pl-PL"/>
                <w14:ligatures w14:val="none"/>
              </w:rPr>
              <w:t xml:space="preserve">027/informacje-o-cef/  </w:t>
            </w:r>
            <w:hyperlink r:id="rId16" w:history="1">
              <w:r w:rsidRPr="00706AA0">
                <w:rPr>
                  <w:rStyle w:val="Hipercze"/>
                  <w:rFonts w:eastAsia="Times New Roman" w:cs="Calibri"/>
                  <w:kern w:val="0"/>
                  <w:sz w:val="16"/>
                  <w:szCs w:val="16"/>
                  <w:lang w:eastAsia="pl-PL"/>
                  <w14:ligatures w14:val="none"/>
                </w:rPr>
                <w:t>https://www.kpk.gov.pl/inne-programy/instrument-laczac-europe</w:t>
              </w:r>
            </w:hyperlink>
          </w:p>
          <w:p w14:paraId="41A6769E" w14:textId="7C72E830" w:rsidR="0078152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hyperlink r:id="rId17" w:history="1">
              <w:r w:rsidRPr="00AF3ED3">
                <w:rPr>
                  <w:rStyle w:val="Hipercze"/>
                  <w:rFonts w:eastAsia="Times New Roman" w:cs="Calibri"/>
                  <w:kern w:val="0"/>
                  <w:sz w:val="16"/>
                  <w:szCs w:val="16"/>
                  <w:lang w:eastAsia="pl-PL"/>
                  <w14:ligatures w14:val="none"/>
                </w:rPr>
                <w:t>https://cinea.ec.europa.eu/programmes/connecting-europe-facility_en</w:t>
              </w:r>
            </w:hyperlink>
          </w:p>
          <w:p w14:paraId="029EE53F" w14:textId="0BF7AD20" w:rsidR="00781523" w:rsidRPr="00706AA0"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p>
        </w:tc>
      </w:tr>
      <w:tr w:rsidR="00EC3492" w:rsidRPr="00ED52BB" w14:paraId="011B635F" w14:textId="77777777" w:rsidTr="00300186">
        <w:trPr>
          <w:trHeight w:val="2244"/>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766FEA04" w14:textId="4CF6FC48"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3E71803B" w14:textId="6F84179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Program Fundusze europejskie na Infrastrukturę, Klimat</w:t>
            </w:r>
            <w:r>
              <w:rPr>
                <w:rFonts w:eastAsia="Times New Roman" w:cs="Calibri"/>
                <w:color w:val="000000"/>
                <w:kern w:val="0"/>
                <w:sz w:val="16"/>
                <w:szCs w:val="16"/>
                <w:lang w:eastAsia="pl-PL"/>
                <w14:ligatures w14:val="none"/>
              </w:rPr>
              <w:t>,</w:t>
            </w:r>
            <w:r w:rsidRPr="003416D6">
              <w:rPr>
                <w:rFonts w:eastAsia="Times New Roman" w:cs="Calibri"/>
                <w:color w:val="000000"/>
                <w:kern w:val="0"/>
                <w:sz w:val="16"/>
                <w:szCs w:val="16"/>
                <w:lang w:eastAsia="pl-PL"/>
                <w14:ligatures w14:val="none"/>
              </w:rPr>
              <w:t xml:space="preserve"> Środowisko 2021–2027 (</w:t>
            </w:r>
            <w:proofErr w:type="spellStart"/>
            <w:r w:rsidRPr="003416D6">
              <w:rPr>
                <w:rFonts w:eastAsia="Times New Roman" w:cs="Calibri"/>
                <w:color w:val="000000"/>
                <w:kern w:val="0"/>
                <w:sz w:val="16"/>
                <w:szCs w:val="16"/>
                <w:lang w:eastAsia="pl-PL"/>
                <w14:ligatures w14:val="none"/>
              </w:rPr>
              <w:t>FEnIKS</w:t>
            </w:r>
            <w:proofErr w:type="spellEnd"/>
            <w:r w:rsidRPr="003416D6">
              <w:rPr>
                <w:rFonts w:eastAsia="Times New Roman" w:cs="Calibri"/>
                <w:color w:val="000000"/>
                <w:kern w:val="0"/>
                <w:sz w:val="16"/>
                <w:szCs w:val="16"/>
                <w:lang w:eastAsia="pl-PL"/>
                <w14:ligatures w14:val="none"/>
              </w:rPr>
              <w:t>)</w:t>
            </w:r>
          </w:p>
        </w:tc>
        <w:tc>
          <w:tcPr>
            <w:tcW w:w="1559" w:type="dxa"/>
            <w:tcBorders>
              <w:top w:val="single" w:sz="4" w:space="0" w:color="3A7C22" w:themeColor="accent6" w:themeShade="BF"/>
              <w:bottom w:val="dashSmallGap" w:sz="4" w:space="0" w:color="3A7C22" w:themeColor="accent6" w:themeShade="BF"/>
            </w:tcBorders>
            <w:hideMark/>
          </w:tcPr>
          <w:p w14:paraId="23513D1D"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Elektroenergetyka/Transport/Ciepłownictwo/Środowisko</w:t>
            </w:r>
          </w:p>
        </w:tc>
        <w:tc>
          <w:tcPr>
            <w:tcW w:w="1701" w:type="dxa"/>
            <w:tcBorders>
              <w:top w:val="single" w:sz="4" w:space="0" w:color="3A7C22" w:themeColor="accent6" w:themeShade="BF"/>
            </w:tcBorders>
            <w:hideMark/>
          </w:tcPr>
          <w:p w14:paraId="7EA247AA" w14:textId="35BF0D49"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Łącznie ok 24 mld euro</w:t>
            </w:r>
            <w:r>
              <w:rPr>
                <w:rFonts w:eastAsia="Times New Roman" w:cs="Calibri"/>
                <w:color w:val="000000"/>
                <w:kern w:val="0"/>
                <w:sz w:val="16"/>
                <w:szCs w:val="16"/>
                <w:lang w:eastAsia="pl-PL"/>
                <w14:ligatures w14:val="none"/>
              </w:rPr>
              <w:t xml:space="preserve"> ze środków UE</w:t>
            </w:r>
            <w:r w:rsidRPr="003416D6">
              <w:rPr>
                <w:rFonts w:eastAsia="Times New Roman" w:cs="Calibri"/>
                <w:color w:val="000000"/>
                <w:kern w:val="0"/>
                <w:sz w:val="16"/>
                <w:szCs w:val="16"/>
                <w:lang w:eastAsia="pl-PL"/>
                <w14:ligatures w14:val="none"/>
              </w:rPr>
              <w:t>. Podział środków pomiędzy poszczególne obszary wsparcia:</w:t>
            </w:r>
            <w:r w:rsidRPr="003416D6">
              <w:rPr>
                <w:rFonts w:eastAsia="Times New Roman" w:cs="Calibri"/>
                <w:color w:val="000000"/>
                <w:kern w:val="0"/>
                <w:sz w:val="16"/>
                <w:szCs w:val="16"/>
                <w:lang w:eastAsia="pl-PL"/>
                <w14:ligatures w14:val="none"/>
              </w:rPr>
              <w:br/>
              <w:t>sektor energia</w:t>
            </w:r>
            <w:r>
              <w:rPr>
                <w:rFonts w:eastAsia="Times New Roman" w:cs="Calibri"/>
                <w:color w:val="000000"/>
                <w:kern w:val="0"/>
                <w:sz w:val="16"/>
                <w:szCs w:val="16"/>
                <w:lang w:eastAsia="pl-PL"/>
                <w14:ligatures w14:val="none"/>
              </w:rPr>
              <w:t xml:space="preserve"> – </w:t>
            </w:r>
            <w:r w:rsidR="00820FBA">
              <w:rPr>
                <w:rFonts w:eastAsia="Times New Roman" w:cs="Calibri"/>
                <w:color w:val="000000"/>
                <w:kern w:val="0"/>
                <w:sz w:val="16"/>
                <w:szCs w:val="16"/>
                <w:lang w:eastAsia="pl-PL"/>
                <w14:ligatures w14:val="none"/>
              </w:rPr>
              <w:t>5,964</w:t>
            </w:r>
            <w:r w:rsidRPr="003416D6">
              <w:rPr>
                <w:rFonts w:eastAsia="Times New Roman" w:cs="Calibri"/>
                <w:color w:val="000000"/>
                <w:kern w:val="0"/>
                <w:sz w:val="16"/>
                <w:szCs w:val="16"/>
                <w:lang w:eastAsia="pl-PL"/>
                <w14:ligatures w14:val="none"/>
              </w:rPr>
              <w:t>ml</w:t>
            </w:r>
            <w:r>
              <w:rPr>
                <w:rFonts w:eastAsia="Times New Roman" w:cs="Calibri"/>
                <w:color w:val="000000"/>
                <w:kern w:val="0"/>
                <w:sz w:val="16"/>
                <w:szCs w:val="16"/>
                <w:lang w:eastAsia="pl-PL"/>
                <w14:ligatures w14:val="none"/>
              </w:rPr>
              <w:t>d</w:t>
            </w:r>
            <w:r w:rsidRPr="003416D6">
              <w:rPr>
                <w:rFonts w:eastAsia="Times New Roman" w:cs="Calibri"/>
                <w:color w:val="000000"/>
                <w:kern w:val="0"/>
                <w:sz w:val="16"/>
                <w:szCs w:val="16"/>
                <w:lang w:eastAsia="pl-PL"/>
                <w14:ligatures w14:val="none"/>
              </w:rPr>
              <w:t xml:space="preserve"> euro</w:t>
            </w:r>
            <w:r w:rsidRPr="003416D6">
              <w:rPr>
                <w:rFonts w:eastAsia="Times New Roman" w:cs="Calibri"/>
                <w:color w:val="000000"/>
                <w:kern w:val="0"/>
                <w:sz w:val="16"/>
                <w:szCs w:val="16"/>
                <w:lang w:eastAsia="pl-PL"/>
                <w14:ligatures w14:val="none"/>
              </w:rPr>
              <w:br/>
              <w:t>sektor środowisko</w:t>
            </w:r>
            <w:r>
              <w:rPr>
                <w:rFonts w:eastAsia="Times New Roman" w:cs="Calibri"/>
                <w:color w:val="000000"/>
                <w:kern w:val="0"/>
                <w:sz w:val="16"/>
                <w:szCs w:val="16"/>
                <w:lang w:eastAsia="pl-PL"/>
                <w14:ligatures w14:val="none"/>
              </w:rPr>
              <w:t xml:space="preserve"> –</w:t>
            </w:r>
            <w:r w:rsidR="00820FBA">
              <w:rPr>
                <w:rFonts w:eastAsia="Times New Roman" w:cs="Calibri"/>
                <w:color w:val="000000"/>
                <w:kern w:val="0"/>
                <w:sz w:val="16"/>
                <w:szCs w:val="16"/>
                <w:lang w:eastAsia="pl-PL"/>
                <w14:ligatures w14:val="none"/>
              </w:rPr>
              <w:t>3,782</w:t>
            </w:r>
            <w:r w:rsidRPr="003416D6">
              <w:rPr>
                <w:rFonts w:eastAsia="Times New Roman" w:cs="Calibri"/>
                <w:color w:val="000000"/>
                <w:kern w:val="0"/>
                <w:sz w:val="16"/>
                <w:szCs w:val="16"/>
                <w:lang w:eastAsia="pl-PL"/>
                <w14:ligatures w14:val="none"/>
              </w:rPr>
              <w:t>ml</w:t>
            </w:r>
            <w:r>
              <w:rPr>
                <w:rFonts w:eastAsia="Times New Roman" w:cs="Calibri"/>
                <w:color w:val="000000"/>
                <w:kern w:val="0"/>
                <w:sz w:val="16"/>
                <w:szCs w:val="16"/>
                <w:lang w:eastAsia="pl-PL"/>
                <w14:ligatures w14:val="none"/>
              </w:rPr>
              <w:t>d</w:t>
            </w:r>
            <w:r w:rsidRPr="003416D6">
              <w:rPr>
                <w:rFonts w:eastAsia="Times New Roman" w:cs="Calibri"/>
                <w:color w:val="000000"/>
                <w:kern w:val="0"/>
                <w:sz w:val="16"/>
                <w:szCs w:val="16"/>
                <w:lang w:eastAsia="pl-PL"/>
                <w14:ligatures w14:val="none"/>
              </w:rPr>
              <w:t xml:space="preserve"> euro</w:t>
            </w:r>
            <w:r w:rsidRPr="003416D6">
              <w:rPr>
                <w:rFonts w:eastAsia="Times New Roman" w:cs="Calibri"/>
                <w:color w:val="000000"/>
                <w:kern w:val="0"/>
                <w:sz w:val="16"/>
                <w:szCs w:val="16"/>
                <w:lang w:eastAsia="pl-PL"/>
                <w14:ligatures w14:val="none"/>
              </w:rPr>
              <w:br/>
              <w:t>sektor transport</w:t>
            </w:r>
            <w:r>
              <w:rPr>
                <w:rFonts w:eastAsia="Times New Roman" w:cs="Calibri"/>
                <w:color w:val="000000"/>
                <w:kern w:val="0"/>
                <w:sz w:val="16"/>
                <w:szCs w:val="16"/>
                <w:lang w:eastAsia="pl-PL"/>
                <w14:ligatures w14:val="none"/>
              </w:rPr>
              <w:t xml:space="preserve"> –</w:t>
            </w:r>
            <w:r w:rsidRPr="003416D6">
              <w:rPr>
                <w:rFonts w:eastAsia="Times New Roman" w:cs="Calibri"/>
                <w:color w:val="000000"/>
                <w:kern w:val="0"/>
                <w:sz w:val="16"/>
                <w:szCs w:val="16"/>
                <w:lang w:eastAsia="pl-PL"/>
                <w14:ligatures w14:val="none"/>
              </w:rPr>
              <w:t xml:space="preserve"> 12</w:t>
            </w:r>
            <w:r>
              <w:rPr>
                <w:rFonts w:eastAsia="Times New Roman" w:cs="Calibri"/>
                <w:color w:val="000000"/>
                <w:kern w:val="0"/>
                <w:sz w:val="16"/>
                <w:szCs w:val="16"/>
                <w:lang w:eastAsia="pl-PL"/>
                <w14:ligatures w14:val="none"/>
              </w:rPr>
              <w:t>,</w:t>
            </w:r>
            <w:r w:rsidRPr="003416D6">
              <w:rPr>
                <w:rFonts w:eastAsia="Times New Roman" w:cs="Calibri"/>
                <w:color w:val="000000"/>
                <w:kern w:val="0"/>
                <w:sz w:val="16"/>
                <w:szCs w:val="16"/>
                <w:lang w:eastAsia="pl-PL"/>
                <w14:ligatures w14:val="none"/>
              </w:rPr>
              <w:t>911 ml</w:t>
            </w:r>
            <w:r>
              <w:rPr>
                <w:rFonts w:eastAsia="Times New Roman" w:cs="Calibri"/>
                <w:color w:val="000000"/>
                <w:kern w:val="0"/>
                <w:sz w:val="16"/>
                <w:szCs w:val="16"/>
                <w:lang w:eastAsia="pl-PL"/>
                <w14:ligatures w14:val="none"/>
              </w:rPr>
              <w:t>d</w:t>
            </w:r>
            <w:r w:rsidRPr="003416D6">
              <w:rPr>
                <w:rFonts w:eastAsia="Times New Roman" w:cs="Calibri"/>
                <w:color w:val="000000"/>
                <w:kern w:val="0"/>
                <w:sz w:val="16"/>
                <w:szCs w:val="16"/>
                <w:lang w:eastAsia="pl-PL"/>
                <w14:ligatures w14:val="none"/>
              </w:rPr>
              <w:t xml:space="preserve"> euro</w:t>
            </w:r>
            <w:r w:rsidRPr="003416D6">
              <w:rPr>
                <w:rFonts w:eastAsia="Times New Roman" w:cs="Calibri"/>
                <w:color w:val="000000"/>
                <w:kern w:val="0"/>
                <w:sz w:val="16"/>
                <w:szCs w:val="16"/>
                <w:lang w:eastAsia="pl-PL"/>
                <w14:ligatures w14:val="none"/>
              </w:rPr>
              <w:br/>
            </w:r>
            <w:r w:rsidR="00A35366">
              <w:rPr>
                <w:rFonts w:eastAsia="Times New Roman" w:cs="Calibri"/>
                <w:color w:val="000000"/>
                <w:kern w:val="0"/>
                <w:sz w:val="16"/>
                <w:szCs w:val="16"/>
                <w:lang w:eastAsia="pl-PL"/>
                <w14:ligatures w14:val="none"/>
              </w:rPr>
              <w:t>inne sektory (w tym m.in. zdrowie, kultura</w:t>
            </w:r>
            <w:r w:rsidR="00716134">
              <w:rPr>
                <w:rFonts w:eastAsia="Times New Roman" w:cs="Calibri"/>
                <w:color w:val="000000"/>
                <w:kern w:val="0"/>
                <w:sz w:val="16"/>
                <w:szCs w:val="16"/>
                <w:lang w:eastAsia="pl-PL"/>
                <w14:ligatures w14:val="none"/>
              </w:rPr>
              <w:t xml:space="preserve">) – </w:t>
            </w:r>
            <w:r w:rsidR="00DC43BD">
              <w:rPr>
                <w:rFonts w:eastAsia="Times New Roman" w:cs="Calibri"/>
                <w:color w:val="000000"/>
                <w:kern w:val="0"/>
                <w:sz w:val="16"/>
                <w:szCs w:val="16"/>
                <w:lang w:eastAsia="pl-PL"/>
                <w14:ligatures w14:val="none"/>
              </w:rPr>
              <w:t xml:space="preserve">ponad 0,9 </w:t>
            </w:r>
            <w:r w:rsidRPr="003416D6">
              <w:rPr>
                <w:rFonts w:eastAsia="Times New Roman" w:cs="Calibri"/>
                <w:color w:val="000000"/>
                <w:kern w:val="0"/>
                <w:sz w:val="16"/>
                <w:szCs w:val="16"/>
                <w:lang w:eastAsia="pl-PL"/>
                <w14:ligatures w14:val="none"/>
              </w:rPr>
              <w:t>ml</w:t>
            </w:r>
            <w:r>
              <w:rPr>
                <w:rFonts w:eastAsia="Times New Roman" w:cs="Calibri"/>
                <w:color w:val="000000"/>
                <w:kern w:val="0"/>
                <w:sz w:val="16"/>
                <w:szCs w:val="16"/>
                <w:lang w:eastAsia="pl-PL"/>
                <w14:ligatures w14:val="none"/>
              </w:rPr>
              <w:t>d</w:t>
            </w:r>
            <w:r w:rsidRPr="003416D6">
              <w:rPr>
                <w:rFonts w:eastAsia="Times New Roman" w:cs="Calibri"/>
                <w:color w:val="000000"/>
                <w:kern w:val="0"/>
                <w:sz w:val="16"/>
                <w:szCs w:val="16"/>
                <w:lang w:eastAsia="pl-PL"/>
                <w14:ligatures w14:val="none"/>
              </w:rPr>
              <w:t xml:space="preserve"> euro</w:t>
            </w:r>
          </w:p>
        </w:tc>
        <w:tc>
          <w:tcPr>
            <w:tcW w:w="1559" w:type="dxa"/>
            <w:tcBorders>
              <w:top w:val="single" w:sz="4" w:space="0" w:color="3A7C22" w:themeColor="accent6" w:themeShade="BF"/>
            </w:tcBorders>
            <w:hideMark/>
          </w:tcPr>
          <w:p w14:paraId="32A44590" w14:textId="6DF43806"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2021</w:t>
            </w:r>
            <w:r>
              <w:rPr>
                <w:rFonts w:eastAsia="Times New Roman" w:cs="Calibri"/>
                <w:color w:val="000000"/>
                <w:kern w:val="0"/>
                <w:sz w:val="16"/>
                <w:szCs w:val="16"/>
                <w:lang w:eastAsia="pl-PL"/>
                <w14:ligatures w14:val="none"/>
              </w:rPr>
              <w:t>–2</w:t>
            </w:r>
            <w:r w:rsidRPr="003416D6">
              <w:rPr>
                <w:rFonts w:eastAsia="Times New Roman" w:cs="Calibri"/>
                <w:color w:val="000000"/>
                <w:kern w:val="0"/>
                <w:sz w:val="16"/>
                <w:szCs w:val="16"/>
                <w:lang w:eastAsia="pl-PL"/>
                <w14:ligatures w14:val="none"/>
              </w:rPr>
              <w:t>029</w:t>
            </w:r>
          </w:p>
        </w:tc>
        <w:tc>
          <w:tcPr>
            <w:tcW w:w="1281" w:type="dxa"/>
            <w:tcBorders>
              <w:top w:val="single" w:sz="4" w:space="0" w:color="3A7C22" w:themeColor="accent6" w:themeShade="BF"/>
            </w:tcBorders>
            <w:hideMark/>
          </w:tcPr>
          <w:p w14:paraId="630D6214" w14:textId="18B1A798"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Fundusz Spójności i </w:t>
            </w:r>
            <w:r>
              <w:rPr>
                <w:rFonts w:eastAsia="Times New Roman" w:cs="Calibri"/>
                <w:color w:val="000000"/>
                <w:kern w:val="0"/>
                <w:sz w:val="16"/>
                <w:szCs w:val="16"/>
                <w:lang w:eastAsia="pl-PL"/>
                <w14:ligatures w14:val="none"/>
              </w:rPr>
              <w:t>E</w:t>
            </w:r>
            <w:r w:rsidRPr="003416D6">
              <w:rPr>
                <w:rFonts w:eastAsia="Times New Roman" w:cs="Calibri"/>
                <w:color w:val="000000"/>
                <w:kern w:val="0"/>
                <w:sz w:val="16"/>
                <w:szCs w:val="16"/>
                <w:lang w:eastAsia="pl-PL"/>
                <w14:ligatures w14:val="none"/>
              </w:rPr>
              <w:t>uropejski Fundusz Rozwoju Regionalnego</w:t>
            </w:r>
          </w:p>
        </w:tc>
        <w:tc>
          <w:tcPr>
            <w:tcW w:w="1186" w:type="dxa"/>
            <w:tcBorders>
              <w:top w:val="single" w:sz="4" w:space="0" w:color="3A7C22" w:themeColor="accent6" w:themeShade="BF"/>
            </w:tcBorders>
            <w:hideMark/>
          </w:tcPr>
          <w:p w14:paraId="13787F05"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Mieszane</w:t>
            </w:r>
          </w:p>
        </w:tc>
        <w:tc>
          <w:tcPr>
            <w:tcW w:w="1413" w:type="dxa"/>
            <w:tcBorders>
              <w:top w:val="single" w:sz="4" w:space="0" w:color="3A7C22" w:themeColor="accent6" w:themeShade="BF"/>
            </w:tcBorders>
            <w:hideMark/>
          </w:tcPr>
          <w:p w14:paraId="10ADAFEC" w14:textId="27517132"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Ministerstwo Funduszy i Polityki Regionalnej/</w:t>
            </w:r>
            <w:r>
              <w:rPr>
                <w:rFonts w:eastAsia="Times New Roman" w:cs="Calibri"/>
                <w:color w:val="000000"/>
                <w:kern w:val="0"/>
                <w:sz w:val="16"/>
                <w:szCs w:val="16"/>
                <w:lang w:eastAsia="pl-PL"/>
                <w14:ligatures w14:val="none"/>
              </w:rPr>
              <w:t xml:space="preserve">Instytucje Pośredniczące (w tym </w:t>
            </w:r>
            <w:r w:rsidRPr="003416D6">
              <w:rPr>
                <w:rFonts w:eastAsia="Times New Roman" w:cs="Calibri"/>
                <w:color w:val="000000"/>
                <w:kern w:val="0"/>
                <w:sz w:val="16"/>
                <w:szCs w:val="16"/>
                <w:lang w:eastAsia="pl-PL"/>
                <w14:ligatures w14:val="none"/>
              </w:rPr>
              <w:t>Ministerstwo Klimatu i Środowiska</w:t>
            </w:r>
            <w:r>
              <w:rPr>
                <w:rFonts w:eastAsia="Times New Roman" w:cs="Calibri"/>
                <w:color w:val="000000"/>
                <w:kern w:val="0"/>
                <w:sz w:val="16"/>
                <w:szCs w:val="16"/>
                <w:lang w:eastAsia="pl-PL"/>
                <w14:ligatures w14:val="none"/>
              </w:rPr>
              <w:t>)</w:t>
            </w:r>
            <w:r w:rsidRPr="003416D6">
              <w:rPr>
                <w:rFonts w:eastAsia="Times New Roman" w:cs="Calibri"/>
                <w:color w:val="000000"/>
                <w:kern w:val="0"/>
                <w:sz w:val="16"/>
                <w:szCs w:val="16"/>
                <w:lang w:eastAsia="pl-PL"/>
                <w14:ligatures w14:val="none"/>
              </w:rPr>
              <w:t>/</w:t>
            </w:r>
            <w:r w:rsidR="00652240">
              <w:rPr>
                <w:rFonts w:eastAsia="Times New Roman" w:cs="Calibri"/>
                <w:color w:val="000000"/>
                <w:kern w:val="0"/>
                <w:sz w:val="16"/>
                <w:szCs w:val="16"/>
                <w:lang w:eastAsia="pl-PL"/>
                <w14:ligatures w14:val="none"/>
              </w:rPr>
              <w:t xml:space="preserve"> </w:t>
            </w:r>
            <w:r w:rsidRPr="003416D6">
              <w:rPr>
                <w:rFonts w:eastAsia="Times New Roman" w:cs="Calibri"/>
                <w:color w:val="000000"/>
                <w:kern w:val="0"/>
                <w:sz w:val="16"/>
                <w:szCs w:val="16"/>
                <w:lang w:eastAsia="pl-PL"/>
                <w14:ligatures w14:val="none"/>
              </w:rPr>
              <w:t>Instytucje Wdrażające</w:t>
            </w:r>
          </w:p>
        </w:tc>
        <w:tc>
          <w:tcPr>
            <w:tcW w:w="3548" w:type="dxa"/>
            <w:tcBorders>
              <w:top w:val="single" w:sz="4" w:space="0" w:color="3A7C22" w:themeColor="accent6" w:themeShade="BF"/>
            </w:tcBorders>
            <w:hideMark/>
          </w:tcPr>
          <w:p w14:paraId="7242A0B0" w14:textId="77777777" w:rsidR="00781523" w:rsidRPr="003416D6"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Jego głównym celem jest poprawa warunków rozwoju kraju poprzez budowę infrastruktury technicznej i społecznej zgodnie z założeniami zrównoważonego rozwoju:</w:t>
            </w:r>
            <w:r w:rsidRPr="003416D6">
              <w:rPr>
                <w:rFonts w:eastAsia="Times New Roman" w:cs="Calibri"/>
                <w:color w:val="000000"/>
                <w:kern w:val="0"/>
                <w:sz w:val="16"/>
                <w:szCs w:val="16"/>
                <w:lang w:eastAsia="pl-PL"/>
                <w14:ligatures w14:val="none"/>
              </w:rPr>
              <w:br/>
              <w:t>- adaptacja do zmian klimatu;</w:t>
            </w:r>
            <w:r w:rsidRPr="003416D6">
              <w:rPr>
                <w:rFonts w:eastAsia="Times New Roman" w:cs="Calibri"/>
                <w:color w:val="000000"/>
                <w:kern w:val="0"/>
                <w:sz w:val="16"/>
                <w:szCs w:val="16"/>
                <w:lang w:eastAsia="pl-PL"/>
                <w14:ligatures w14:val="none"/>
              </w:rPr>
              <w:br/>
              <w:t>- rozwój odnawialnych źródeł energii;</w:t>
            </w:r>
            <w:r w:rsidRPr="003416D6">
              <w:rPr>
                <w:rFonts w:eastAsia="Times New Roman" w:cs="Calibri"/>
                <w:color w:val="000000"/>
                <w:kern w:val="0"/>
                <w:sz w:val="16"/>
                <w:szCs w:val="16"/>
                <w:lang w:eastAsia="pl-PL"/>
                <w14:ligatures w14:val="none"/>
              </w:rPr>
              <w:br/>
              <w:t>- ochrona środowiska;</w:t>
            </w:r>
            <w:r w:rsidRPr="003416D6">
              <w:rPr>
                <w:rFonts w:eastAsia="Times New Roman" w:cs="Calibri"/>
                <w:color w:val="000000"/>
                <w:kern w:val="0"/>
                <w:sz w:val="16"/>
                <w:szCs w:val="16"/>
                <w:lang w:eastAsia="pl-PL"/>
                <w14:ligatures w14:val="none"/>
              </w:rPr>
              <w:br/>
              <w:t>- rozwój ochrony zdrowia;</w:t>
            </w:r>
            <w:r w:rsidRPr="003416D6">
              <w:rPr>
                <w:rFonts w:eastAsia="Times New Roman" w:cs="Calibri"/>
                <w:color w:val="000000"/>
                <w:kern w:val="0"/>
                <w:sz w:val="16"/>
                <w:szCs w:val="16"/>
                <w:lang w:eastAsia="pl-PL"/>
                <w14:ligatures w14:val="none"/>
              </w:rPr>
              <w:br/>
              <w:t>- rozwój transportu.</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https://www.feniks.gov.pl</w:t>
            </w:r>
          </w:p>
        </w:tc>
      </w:tr>
      <w:tr w:rsidR="00801275" w:rsidRPr="00ED52BB" w14:paraId="017A4963" w14:textId="77777777" w:rsidTr="00300186">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12BFE87D" w14:textId="3A3937CA"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6746C6FF"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Fundusz Modernizacyjny</w:t>
            </w:r>
          </w:p>
        </w:tc>
        <w:tc>
          <w:tcPr>
            <w:tcW w:w="1559" w:type="dxa"/>
            <w:tcBorders>
              <w:top w:val="single" w:sz="4" w:space="0" w:color="3A7C22" w:themeColor="accent6" w:themeShade="BF"/>
            </w:tcBorders>
            <w:hideMark/>
          </w:tcPr>
          <w:p w14:paraId="214D03D6"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Elektroenergetyka/Transport/Ciepłownictwo/</w:t>
            </w:r>
          </w:p>
        </w:tc>
        <w:tc>
          <w:tcPr>
            <w:tcW w:w="1701" w:type="dxa"/>
            <w:tcBorders>
              <w:top w:val="single" w:sz="4" w:space="0" w:color="3A7C22" w:themeColor="accent6" w:themeShade="BF"/>
            </w:tcBorders>
            <w:hideMark/>
          </w:tcPr>
          <w:p w14:paraId="2298E6C9" w14:textId="417B12D3" w:rsidR="00781523" w:rsidRPr="003416D6" w:rsidRDefault="00FA1D94"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xml:space="preserve">Polska jako jeden z Beneficjentów FM otrzyma środki ze sprzedaży </w:t>
            </w:r>
            <w:r w:rsidRPr="00FF5BA4">
              <w:rPr>
                <w:rFonts w:eastAsia="Times New Roman" w:cs="Calibri"/>
                <w:color w:val="000000"/>
                <w:kern w:val="0"/>
                <w:sz w:val="16"/>
                <w:szCs w:val="16"/>
                <w:lang w:eastAsia="pl-PL"/>
                <w14:ligatures w14:val="none"/>
              </w:rPr>
              <w:t>172 mln</w:t>
            </w:r>
            <w:r>
              <w:rPr>
                <w:rFonts w:eastAsia="Times New Roman" w:cs="Calibri"/>
                <w:color w:val="000000"/>
                <w:kern w:val="0"/>
                <w:sz w:val="16"/>
                <w:szCs w:val="16"/>
                <w:lang w:eastAsia="pl-PL"/>
                <w14:ligatures w14:val="none"/>
              </w:rPr>
              <w:t xml:space="preserve"> jednostek uprawnień do emisji CO2</w:t>
            </w:r>
            <w:r w:rsidRPr="00FF5BA4">
              <w:rPr>
                <w:rFonts w:eastAsia="Times New Roman" w:cs="Calibri"/>
                <w:color w:val="000000"/>
                <w:kern w:val="0"/>
                <w:sz w:val="16"/>
                <w:szCs w:val="16"/>
                <w:lang w:eastAsia="pl-PL"/>
                <w14:ligatures w14:val="none"/>
              </w:rPr>
              <w:t xml:space="preserve">  (pula 2% oraz od 2024 r. dodatkowa pula 2,5%)</w:t>
            </w:r>
            <w:r>
              <w:rPr>
                <w:rFonts w:eastAsia="Times New Roman" w:cs="Calibri"/>
                <w:color w:val="000000"/>
                <w:kern w:val="0"/>
                <w:sz w:val="16"/>
                <w:szCs w:val="16"/>
                <w:lang w:eastAsia="pl-PL"/>
                <w14:ligatures w14:val="none"/>
              </w:rPr>
              <w:t xml:space="preserve">. </w:t>
            </w:r>
            <w:r w:rsidR="00781523" w:rsidRPr="003416D6">
              <w:rPr>
                <w:rFonts w:eastAsia="Times New Roman" w:cs="Calibri"/>
                <w:color w:val="000000"/>
                <w:kern w:val="0"/>
                <w:sz w:val="16"/>
                <w:szCs w:val="16"/>
                <w:lang w:eastAsia="pl-PL"/>
                <w14:ligatures w14:val="none"/>
              </w:rPr>
              <w:t xml:space="preserve">. Szacowana całość środków dla Polski </w:t>
            </w:r>
            <w:r w:rsidR="00A31F69">
              <w:rPr>
                <w:rFonts w:eastAsia="Times New Roman" w:cs="Calibri"/>
                <w:color w:val="000000"/>
                <w:kern w:val="0"/>
                <w:sz w:val="16"/>
                <w:szCs w:val="16"/>
                <w:lang w:eastAsia="pl-PL"/>
                <w14:ligatures w14:val="none"/>
              </w:rPr>
              <w:t>ok.</w:t>
            </w:r>
            <w:r w:rsidR="00ED2351" w:rsidRPr="003416D6">
              <w:rPr>
                <w:rFonts w:eastAsia="Times New Roman" w:cs="Calibri"/>
                <w:color w:val="000000"/>
                <w:kern w:val="0"/>
                <w:sz w:val="16"/>
                <w:szCs w:val="16"/>
                <w:lang w:eastAsia="pl-PL"/>
                <w14:ligatures w14:val="none"/>
              </w:rPr>
              <w:t xml:space="preserve"> </w:t>
            </w:r>
            <w:r>
              <w:rPr>
                <w:rFonts w:eastAsia="Times New Roman" w:cs="Calibri"/>
                <w:color w:val="000000"/>
                <w:kern w:val="0"/>
                <w:sz w:val="16"/>
                <w:szCs w:val="16"/>
                <w:lang w:eastAsia="pl-PL"/>
                <w14:ligatures w14:val="none"/>
              </w:rPr>
              <w:t>55</w:t>
            </w:r>
            <w:r w:rsidR="00781523" w:rsidRPr="003416D6">
              <w:rPr>
                <w:rFonts w:eastAsia="Times New Roman" w:cs="Calibri"/>
                <w:color w:val="000000"/>
                <w:kern w:val="0"/>
                <w:sz w:val="16"/>
                <w:szCs w:val="16"/>
                <w:lang w:eastAsia="pl-PL"/>
                <w14:ligatures w14:val="none"/>
              </w:rPr>
              <w:t xml:space="preserve"> mld zł</w:t>
            </w:r>
            <w:r w:rsidR="00A31F69">
              <w:rPr>
                <w:rFonts w:eastAsia="Times New Roman" w:cs="Calibri"/>
                <w:color w:val="000000"/>
                <w:kern w:val="0"/>
                <w:sz w:val="16"/>
                <w:szCs w:val="16"/>
                <w:lang w:eastAsia="pl-PL"/>
                <w14:ligatures w14:val="none"/>
              </w:rPr>
              <w:t xml:space="preserve"> (zależnie od</w:t>
            </w:r>
            <w:r w:rsidR="00D71588">
              <w:rPr>
                <w:rFonts w:eastAsia="Times New Roman" w:cs="Calibri"/>
                <w:color w:val="000000"/>
                <w:kern w:val="0"/>
                <w:sz w:val="16"/>
                <w:szCs w:val="16"/>
                <w:lang w:eastAsia="pl-PL"/>
                <w14:ligatures w14:val="none"/>
              </w:rPr>
              <w:t xml:space="preserve"> bieżących</w:t>
            </w:r>
            <w:r w:rsidR="00A31F69">
              <w:rPr>
                <w:rFonts w:eastAsia="Times New Roman" w:cs="Calibri"/>
                <w:color w:val="000000"/>
                <w:kern w:val="0"/>
                <w:sz w:val="16"/>
                <w:szCs w:val="16"/>
                <w:lang w:eastAsia="pl-PL"/>
                <w14:ligatures w14:val="none"/>
              </w:rPr>
              <w:t xml:space="preserve"> cen uprawnień)</w:t>
            </w:r>
            <w:r w:rsidR="00ED2351" w:rsidRPr="003416D6">
              <w:rPr>
                <w:rFonts w:eastAsia="Times New Roman" w:cs="Calibri"/>
                <w:color w:val="000000"/>
                <w:kern w:val="0"/>
                <w:sz w:val="16"/>
                <w:szCs w:val="16"/>
                <w:lang w:eastAsia="pl-PL"/>
                <w14:ligatures w14:val="none"/>
              </w:rPr>
              <w:t>.</w:t>
            </w:r>
            <w:r w:rsidR="00781523" w:rsidRPr="003416D6">
              <w:rPr>
                <w:rFonts w:eastAsia="Times New Roman" w:cs="Calibri"/>
                <w:color w:val="000000"/>
                <w:kern w:val="0"/>
                <w:sz w:val="16"/>
                <w:szCs w:val="16"/>
                <w:lang w:eastAsia="pl-PL"/>
                <w14:ligatures w14:val="none"/>
              </w:rPr>
              <w:t xml:space="preserve"> </w:t>
            </w:r>
          </w:p>
        </w:tc>
        <w:tc>
          <w:tcPr>
            <w:tcW w:w="1559" w:type="dxa"/>
            <w:tcBorders>
              <w:top w:val="single" w:sz="4" w:space="0" w:color="3A7C22" w:themeColor="accent6" w:themeShade="BF"/>
            </w:tcBorders>
            <w:hideMark/>
          </w:tcPr>
          <w:p w14:paraId="5EDA6FC7" w14:textId="4686FE84"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202</w:t>
            </w:r>
            <w:r w:rsidR="00FA1D94">
              <w:rPr>
                <w:rFonts w:eastAsia="Times New Roman" w:cs="Calibri"/>
                <w:color w:val="000000"/>
                <w:kern w:val="0"/>
                <w:sz w:val="16"/>
                <w:szCs w:val="16"/>
                <w:lang w:eastAsia="pl-PL"/>
                <w14:ligatures w14:val="none"/>
              </w:rPr>
              <w:t>0</w:t>
            </w:r>
            <w:r>
              <w:rPr>
                <w:rFonts w:eastAsia="Times New Roman" w:cs="Calibri"/>
                <w:color w:val="000000"/>
                <w:kern w:val="0"/>
                <w:sz w:val="16"/>
                <w:szCs w:val="16"/>
                <w:lang w:eastAsia="pl-PL"/>
                <w14:ligatures w14:val="none"/>
              </w:rPr>
              <w:t>–2</w:t>
            </w:r>
            <w:r w:rsidRPr="003416D6">
              <w:rPr>
                <w:rFonts w:eastAsia="Times New Roman" w:cs="Calibri"/>
                <w:color w:val="000000"/>
                <w:kern w:val="0"/>
                <w:sz w:val="16"/>
                <w:szCs w:val="16"/>
                <w:lang w:eastAsia="pl-PL"/>
                <w14:ligatures w14:val="none"/>
              </w:rPr>
              <w:t>030</w:t>
            </w:r>
          </w:p>
        </w:tc>
        <w:tc>
          <w:tcPr>
            <w:tcW w:w="1281" w:type="dxa"/>
            <w:tcBorders>
              <w:top w:val="single" w:sz="4" w:space="0" w:color="3A7C22" w:themeColor="accent6" w:themeShade="BF"/>
            </w:tcBorders>
            <w:hideMark/>
          </w:tcPr>
          <w:p w14:paraId="7CFF1F6C" w14:textId="5A665D4B" w:rsidR="00781523" w:rsidRPr="003416D6" w:rsidRDefault="00FA1D94"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Od 2020 r. ś</w:t>
            </w:r>
            <w:r w:rsidR="00781523" w:rsidRPr="003416D6">
              <w:rPr>
                <w:rFonts w:eastAsia="Times New Roman" w:cs="Calibri"/>
                <w:color w:val="000000"/>
                <w:kern w:val="0"/>
                <w:sz w:val="16"/>
                <w:szCs w:val="16"/>
                <w:lang w:eastAsia="pl-PL"/>
                <w14:ligatures w14:val="none"/>
              </w:rPr>
              <w:t>rodki ze sprzedaży 2% ogólnej puli uprawnień do emisji CO2 w ramach unijnego systemu handlu emisjami, tzw. EU-ETS</w:t>
            </w:r>
            <w:r>
              <w:rPr>
                <w:rFonts w:eastAsia="Times New Roman" w:cs="Calibri"/>
                <w:color w:val="000000"/>
                <w:kern w:val="0"/>
                <w:sz w:val="16"/>
                <w:szCs w:val="16"/>
                <w:lang w:eastAsia="pl-PL"/>
                <w14:ligatures w14:val="none"/>
              </w:rPr>
              <w:t xml:space="preserve"> oraz od 2024 r. dodatkowa pula 2,5%</w:t>
            </w:r>
            <w:r w:rsidR="00781523" w:rsidRPr="003416D6">
              <w:rPr>
                <w:rFonts w:eastAsia="Times New Roman" w:cs="Calibri"/>
                <w:color w:val="000000"/>
                <w:kern w:val="0"/>
                <w:sz w:val="16"/>
                <w:szCs w:val="16"/>
                <w:lang w:eastAsia="pl-PL"/>
                <w14:ligatures w14:val="none"/>
              </w:rPr>
              <w:t>. Sprzedaż tych uprawnień będzie dokonywana w półrocznych transzach przez europejski Bank Inwestycyjny (EBI).</w:t>
            </w:r>
          </w:p>
        </w:tc>
        <w:tc>
          <w:tcPr>
            <w:tcW w:w="1186" w:type="dxa"/>
            <w:tcBorders>
              <w:top w:val="single" w:sz="4" w:space="0" w:color="3A7C22" w:themeColor="accent6" w:themeShade="BF"/>
            </w:tcBorders>
            <w:hideMark/>
          </w:tcPr>
          <w:p w14:paraId="62657548"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Mieszane</w:t>
            </w:r>
          </w:p>
        </w:tc>
        <w:tc>
          <w:tcPr>
            <w:tcW w:w="1413" w:type="dxa"/>
            <w:tcBorders>
              <w:top w:val="single" w:sz="4" w:space="0" w:color="3A7C22" w:themeColor="accent6" w:themeShade="BF"/>
            </w:tcBorders>
            <w:hideMark/>
          </w:tcPr>
          <w:p w14:paraId="69513F85"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Narodowy Fundusz Ochrony Środowiska i Gospodarki Wodnej</w:t>
            </w:r>
          </w:p>
        </w:tc>
        <w:tc>
          <w:tcPr>
            <w:tcW w:w="3548" w:type="dxa"/>
            <w:tcBorders>
              <w:top w:val="single" w:sz="4" w:space="0" w:color="3A7C22" w:themeColor="accent6" w:themeShade="BF"/>
            </w:tcBorders>
            <w:hideMark/>
          </w:tcPr>
          <w:p w14:paraId="6CFEAE86" w14:textId="7A924C00" w:rsidR="00781523" w:rsidRPr="003416D6"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Fundusz Modernizacyjny służy modernizacji sektora energii w państwach o największych wyzwaniach związanych z realizacją unijnych celów redukcji emisji CO2. W ramach </w:t>
            </w:r>
            <w:r w:rsidR="00FA1D94">
              <w:rPr>
                <w:rFonts w:eastAsia="Times New Roman" w:cs="Calibri"/>
                <w:color w:val="000000"/>
                <w:kern w:val="0"/>
                <w:sz w:val="16"/>
                <w:szCs w:val="16"/>
                <w:lang w:eastAsia="pl-PL"/>
                <w14:ligatures w14:val="none"/>
              </w:rPr>
              <w:t>k</w:t>
            </w:r>
            <w:r w:rsidRPr="003416D6">
              <w:rPr>
                <w:rFonts w:eastAsia="Times New Roman" w:cs="Calibri"/>
                <w:color w:val="000000"/>
                <w:kern w:val="0"/>
                <w:sz w:val="16"/>
                <w:szCs w:val="16"/>
                <w:lang w:eastAsia="pl-PL"/>
                <w14:ligatures w14:val="none"/>
              </w:rPr>
              <w:t xml:space="preserve">rajowego systemu wdrażania Funduszu Modernizacyjnego środki </w:t>
            </w:r>
            <w:r w:rsidR="00FA1D94">
              <w:rPr>
                <w:rFonts w:eastAsia="Times New Roman" w:cs="Calibri"/>
                <w:color w:val="000000"/>
                <w:kern w:val="0"/>
                <w:sz w:val="16"/>
                <w:szCs w:val="16"/>
                <w:lang w:eastAsia="pl-PL"/>
                <w14:ligatures w14:val="none"/>
              </w:rPr>
              <w:t xml:space="preserve">przydzielone Polsce </w:t>
            </w:r>
            <w:r w:rsidR="00ED2351">
              <w:rPr>
                <w:rFonts w:eastAsia="Times New Roman" w:cs="Calibri"/>
                <w:color w:val="000000"/>
                <w:kern w:val="0"/>
                <w:sz w:val="16"/>
                <w:szCs w:val="16"/>
                <w:lang w:eastAsia="pl-PL"/>
                <w14:ligatures w14:val="none"/>
              </w:rPr>
              <w:t>są</w:t>
            </w:r>
            <w:r w:rsidR="007B3BA5">
              <w:rPr>
                <w:rFonts w:eastAsia="Times New Roman" w:cs="Calibri"/>
                <w:color w:val="000000"/>
                <w:kern w:val="0"/>
                <w:sz w:val="16"/>
                <w:szCs w:val="16"/>
                <w:lang w:eastAsia="pl-PL"/>
                <w14:ligatures w14:val="none"/>
              </w:rPr>
              <w:t xml:space="preserve"> </w:t>
            </w:r>
            <w:r w:rsidRPr="003416D6">
              <w:rPr>
                <w:rFonts w:eastAsia="Times New Roman" w:cs="Calibri"/>
                <w:color w:val="000000"/>
                <w:kern w:val="0"/>
                <w:sz w:val="16"/>
                <w:szCs w:val="16"/>
                <w:lang w:eastAsia="pl-PL"/>
                <w14:ligatures w14:val="none"/>
              </w:rPr>
              <w:t xml:space="preserve">przeznaczane na dofinansowanie realizacji na terytorium Rzeczypospolitej Polskiej inwestycji mających na celu modernizację krajowego systemu energetycznego oraz poprawę efektywności energetycznej, przez: wspieranie inwestycji w wytwarzanie i wykorzystywanie energii elektrycznej ze źródeł odnawialnych,  wspieranie inwestycji w magazynowanie energii i modernizację sieci energetycznych, w tym  rurociągów należących do systemów ciepłowniczych, sieci </w:t>
            </w:r>
            <w:proofErr w:type="spellStart"/>
            <w:r w:rsidRPr="003416D6">
              <w:rPr>
                <w:rFonts w:eastAsia="Times New Roman" w:cs="Calibri"/>
                <w:color w:val="000000"/>
                <w:kern w:val="0"/>
                <w:sz w:val="16"/>
                <w:szCs w:val="16"/>
                <w:lang w:eastAsia="pl-PL"/>
                <w14:ligatures w14:val="none"/>
              </w:rPr>
              <w:t>przesyłu</w:t>
            </w:r>
            <w:proofErr w:type="spellEnd"/>
            <w:r w:rsidRPr="003416D6">
              <w:rPr>
                <w:rFonts w:eastAsia="Times New Roman" w:cs="Calibri"/>
                <w:color w:val="000000"/>
                <w:kern w:val="0"/>
                <w:sz w:val="16"/>
                <w:szCs w:val="16"/>
                <w:lang w:eastAsia="pl-PL"/>
                <w14:ligatures w14:val="none"/>
              </w:rPr>
              <w:t xml:space="preserve"> energii elektrycznej oraz zwiększanie połączeń międzysystemowych między państwami członkowskimi Unii europejskiej, wspieranie we współpracy z partnerami społecznymi w regionach uzależnionych od stałych paliw kopalnych,  sprawiedliwych przemian mających na celu ułatwienie pracownikom zmiany miejsca zatrudnienia oraz zdobywanie nowych i specjalistycznych umiejętności, wspieranie edukacji oraz inicjatyw zatrudnieniowych, a także nowych inicjatyw gospodarczych działających na zasadzie startup, wspieranie inwestycji w efektywność energetyczną, w tym </w:t>
            </w:r>
            <w:r w:rsidRPr="003416D6">
              <w:rPr>
                <w:rFonts w:eastAsia="Times New Roman" w:cs="Calibri"/>
                <w:color w:val="000000"/>
                <w:kern w:val="0"/>
                <w:sz w:val="16"/>
                <w:szCs w:val="16"/>
                <w:lang w:eastAsia="pl-PL"/>
                <w14:ligatures w14:val="none"/>
              </w:rPr>
              <w:lastRenderedPageBreak/>
              <w:t>w sektorach transportu, budownictwa, rolnictwa i odpadów, realizację inwestycji mających na celu modernizację krajowego systemu energetycznego oraz poprawę efektywności energetycznej.</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https://www.gov.pl/web/funduszmodernizacyjny</w:t>
            </w:r>
          </w:p>
        </w:tc>
      </w:tr>
      <w:tr w:rsidR="00781523" w:rsidRPr="00ED52BB" w14:paraId="7774194C" w14:textId="77777777" w:rsidTr="00300186">
        <w:trPr>
          <w:trHeight w:val="408"/>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4B5E146F" w14:textId="401E0DDC"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7342CC60"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Fundusz wsparcia energetyki</w:t>
            </w:r>
          </w:p>
        </w:tc>
        <w:tc>
          <w:tcPr>
            <w:tcW w:w="1559" w:type="dxa"/>
            <w:tcBorders>
              <w:top w:val="single" w:sz="4" w:space="0" w:color="3A7C22" w:themeColor="accent6" w:themeShade="BF"/>
            </w:tcBorders>
            <w:hideMark/>
          </w:tcPr>
          <w:p w14:paraId="64A77350"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tcBorders>
            <w:hideMark/>
          </w:tcPr>
          <w:p w14:paraId="06FFA865" w14:textId="4E4619F7" w:rsidR="00781523" w:rsidRPr="003416D6" w:rsidRDefault="00820FBA"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16,496</w:t>
            </w:r>
            <w:r w:rsidR="00781523" w:rsidRPr="003416D6">
              <w:rPr>
                <w:rFonts w:eastAsia="Times New Roman" w:cs="Calibri"/>
                <w:color w:val="000000"/>
                <w:kern w:val="0"/>
                <w:sz w:val="16"/>
                <w:szCs w:val="16"/>
                <w:lang w:eastAsia="pl-PL"/>
                <w14:ligatures w14:val="none"/>
              </w:rPr>
              <w:t>mld euro</w:t>
            </w:r>
          </w:p>
        </w:tc>
        <w:tc>
          <w:tcPr>
            <w:tcW w:w="1559" w:type="dxa"/>
            <w:tcBorders>
              <w:top w:val="single" w:sz="4" w:space="0" w:color="3A7C22" w:themeColor="accent6" w:themeShade="BF"/>
            </w:tcBorders>
            <w:hideMark/>
          </w:tcPr>
          <w:p w14:paraId="18EBE67D" w14:textId="7211CBC5"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2024</w:t>
            </w:r>
            <w:r>
              <w:rPr>
                <w:rFonts w:eastAsia="Times New Roman" w:cs="Calibri"/>
                <w:color w:val="000000"/>
                <w:kern w:val="0"/>
                <w:sz w:val="16"/>
                <w:szCs w:val="16"/>
                <w:lang w:eastAsia="pl-PL"/>
                <w14:ligatures w14:val="none"/>
              </w:rPr>
              <w:t>–2</w:t>
            </w:r>
            <w:r w:rsidRPr="003416D6">
              <w:rPr>
                <w:rFonts w:eastAsia="Times New Roman" w:cs="Calibri"/>
                <w:color w:val="000000"/>
                <w:kern w:val="0"/>
                <w:sz w:val="16"/>
                <w:szCs w:val="16"/>
                <w:lang w:eastAsia="pl-PL"/>
                <w14:ligatures w14:val="none"/>
              </w:rPr>
              <w:t>026</w:t>
            </w:r>
          </w:p>
        </w:tc>
        <w:tc>
          <w:tcPr>
            <w:tcW w:w="1281" w:type="dxa"/>
            <w:tcBorders>
              <w:top w:val="single" w:sz="4" w:space="0" w:color="3A7C22" w:themeColor="accent6" w:themeShade="BF"/>
            </w:tcBorders>
            <w:hideMark/>
          </w:tcPr>
          <w:p w14:paraId="2CF5FAF0" w14:textId="725F0839" w:rsidR="00781523" w:rsidRPr="003416D6" w:rsidRDefault="00CB4B7C"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CB4B7C">
              <w:rPr>
                <w:rFonts w:eastAsia="Times New Roman" w:cs="Calibri"/>
                <w:color w:val="000000"/>
                <w:kern w:val="0"/>
                <w:sz w:val="16"/>
                <w:szCs w:val="16"/>
                <w:lang w:eastAsia="pl-PL"/>
                <w14:ligatures w14:val="none"/>
              </w:rPr>
              <w:t>Krajowy Plan Odbudowy i Zwiększenia Odporności (KPO)</w:t>
            </w:r>
          </w:p>
        </w:tc>
        <w:tc>
          <w:tcPr>
            <w:tcW w:w="1186" w:type="dxa"/>
            <w:tcBorders>
              <w:top w:val="single" w:sz="4" w:space="0" w:color="3A7C22" w:themeColor="accent6" w:themeShade="BF"/>
            </w:tcBorders>
            <w:hideMark/>
          </w:tcPr>
          <w:p w14:paraId="73A8A57F"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Inwestycyjne</w:t>
            </w:r>
          </w:p>
        </w:tc>
        <w:tc>
          <w:tcPr>
            <w:tcW w:w="1413" w:type="dxa"/>
            <w:tcBorders>
              <w:top w:val="single" w:sz="4" w:space="0" w:color="3A7C22" w:themeColor="accent6" w:themeShade="BF"/>
            </w:tcBorders>
            <w:hideMark/>
          </w:tcPr>
          <w:p w14:paraId="27E1F0F3"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Bank Gospodarstwa Krajowego</w:t>
            </w:r>
          </w:p>
        </w:tc>
        <w:tc>
          <w:tcPr>
            <w:tcW w:w="3548" w:type="dxa"/>
            <w:tcBorders>
              <w:top w:val="single" w:sz="4" w:space="0" w:color="3A7C22" w:themeColor="accent6" w:themeShade="BF"/>
            </w:tcBorders>
            <w:hideMark/>
          </w:tcPr>
          <w:p w14:paraId="56EF32E9" w14:textId="29B7AF65" w:rsidR="00781523" w:rsidRPr="00C3554A"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C3554A">
              <w:rPr>
                <w:rFonts w:eastAsia="Times New Roman" w:cs="Calibri"/>
                <w:color w:val="000000"/>
                <w:kern w:val="0"/>
                <w:sz w:val="16"/>
                <w:szCs w:val="16"/>
                <w:lang w:eastAsia="pl-PL"/>
                <w14:ligatures w14:val="none"/>
              </w:rPr>
              <w:t>Instrument pn. Wsparcie krajowego systemu energetycznego</w:t>
            </w:r>
            <w:r>
              <w:rPr>
                <w:rFonts w:eastAsia="Times New Roman" w:cs="Calibri"/>
                <w:color w:val="000000"/>
                <w:kern w:val="0"/>
                <w:sz w:val="16"/>
                <w:szCs w:val="16"/>
                <w:lang w:eastAsia="pl-PL"/>
                <w14:ligatures w14:val="none"/>
              </w:rPr>
              <w:t xml:space="preserve"> – </w:t>
            </w:r>
            <w:r w:rsidRPr="00C3554A">
              <w:rPr>
                <w:rFonts w:eastAsia="Times New Roman" w:cs="Calibri"/>
                <w:color w:val="000000"/>
                <w:kern w:val="0"/>
                <w:sz w:val="16"/>
                <w:szCs w:val="16"/>
                <w:lang w:eastAsia="pl-PL"/>
                <w14:ligatures w14:val="none"/>
              </w:rPr>
              <w:t>FWE (Fundusz wsparcia</w:t>
            </w:r>
          </w:p>
          <w:p w14:paraId="3180FD52" w14:textId="42CB5756" w:rsidR="00781523" w:rsidRPr="00C3554A"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C3554A">
              <w:rPr>
                <w:rFonts w:eastAsia="Times New Roman" w:cs="Calibri"/>
                <w:color w:val="000000"/>
                <w:kern w:val="0"/>
                <w:sz w:val="16"/>
                <w:szCs w:val="16"/>
                <w:lang w:eastAsia="pl-PL"/>
                <w14:ligatures w14:val="none"/>
              </w:rPr>
              <w:t>energetyki) będzie realizowany przez przekazanie środków KPO.</w:t>
            </w:r>
          </w:p>
          <w:p w14:paraId="3C830E94" w14:textId="77777777" w:rsidR="00781523" w:rsidRPr="00C3554A"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C3554A">
              <w:rPr>
                <w:rFonts w:eastAsia="Times New Roman" w:cs="Calibri"/>
                <w:color w:val="000000"/>
                <w:kern w:val="0"/>
                <w:sz w:val="16"/>
                <w:szCs w:val="16"/>
                <w:lang w:eastAsia="pl-PL"/>
                <w14:ligatures w14:val="none"/>
              </w:rPr>
              <w:t>Fundusz będzie wspierał dłużnie przedsięwzięcia inwestycyjne w zakresie efektywności</w:t>
            </w:r>
            <w:r>
              <w:rPr>
                <w:rFonts w:eastAsia="Times New Roman" w:cs="Calibri"/>
                <w:color w:val="000000"/>
                <w:kern w:val="0"/>
                <w:sz w:val="16"/>
                <w:szCs w:val="16"/>
                <w:lang w:eastAsia="pl-PL"/>
                <w14:ligatures w14:val="none"/>
              </w:rPr>
              <w:t xml:space="preserve"> </w:t>
            </w:r>
            <w:r w:rsidRPr="00C3554A">
              <w:rPr>
                <w:rFonts w:eastAsia="Times New Roman" w:cs="Calibri"/>
                <w:color w:val="000000"/>
                <w:kern w:val="0"/>
                <w:sz w:val="16"/>
                <w:szCs w:val="16"/>
                <w:lang w:eastAsia="pl-PL"/>
                <w14:ligatures w14:val="none"/>
              </w:rPr>
              <w:t>energetycznej, budowy odnawialnych źródeł energii i infrastruktury niezbędnej do jej</w:t>
            </w:r>
            <w:r>
              <w:rPr>
                <w:rFonts w:eastAsia="Times New Roman" w:cs="Calibri"/>
                <w:color w:val="000000"/>
                <w:kern w:val="0"/>
                <w:sz w:val="16"/>
                <w:szCs w:val="16"/>
                <w:lang w:eastAsia="pl-PL"/>
                <w14:ligatures w14:val="none"/>
              </w:rPr>
              <w:t xml:space="preserve"> </w:t>
            </w:r>
            <w:r w:rsidRPr="00C3554A">
              <w:rPr>
                <w:rFonts w:eastAsia="Times New Roman" w:cs="Calibri"/>
                <w:color w:val="000000"/>
                <w:kern w:val="0"/>
                <w:sz w:val="16"/>
                <w:szCs w:val="16"/>
                <w:lang w:eastAsia="pl-PL"/>
                <w14:ligatures w14:val="none"/>
              </w:rPr>
              <w:t>transportu we wszystkich podsektorach energetyki oraz w sektorze końcowych odbiorców</w:t>
            </w:r>
            <w:r>
              <w:rPr>
                <w:rFonts w:eastAsia="Times New Roman" w:cs="Calibri"/>
                <w:color w:val="000000"/>
                <w:kern w:val="0"/>
                <w:sz w:val="16"/>
                <w:szCs w:val="16"/>
                <w:lang w:eastAsia="pl-PL"/>
                <w14:ligatures w14:val="none"/>
              </w:rPr>
              <w:t xml:space="preserve"> </w:t>
            </w:r>
            <w:r w:rsidRPr="00C3554A">
              <w:rPr>
                <w:rFonts w:eastAsia="Times New Roman" w:cs="Calibri"/>
                <w:color w:val="000000"/>
                <w:kern w:val="0"/>
                <w:sz w:val="16"/>
                <w:szCs w:val="16"/>
                <w:lang w:eastAsia="pl-PL"/>
                <w14:ligatures w14:val="none"/>
              </w:rPr>
              <w:t>energii, w szczególności w sektorze przedsiębiorstw.</w:t>
            </w:r>
          </w:p>
          <w:p w14:paraId="0AD30ACD" w14:textId="77777777" w:rsidR="00781523" w:rsidRPr="00C3554A"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C3554A">
              <w:rPr>
                <w:rFonts w:eastAsia="Times New Roman" w:cs="Calibri"/>
                <w:color w:val="000000"/>
                <w:kern w:val="0"/>
                <w:sz w:val="16"/>
                <w:szCs w:val="16"/>
                <w:lang w:eastAsia="pl-PL"/>
                <w14:ligatures w14:val="none"/>
              </w:rPr>
              <w:t>Do wspieranych typów inwestycji na poziomie Ostatecznego odbiorcy wsparcia należą:</w:t>
            </w:r>
          </w:p>
          <w:p w14:paraId="5D521571" w14:textId="77777777" w:rsidR="00781523" w:rsidRPr="00C3554A"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C3554A">
              <w:rPr>
                <w:rFonts w:eastAsia="Times New Roman" w:cs="Calibri"/>
                <w:color w:val="000000"/>
                <w:kern w:val="0"/>
                <w:sz w:val="16"/>
                <w:szCs w:val="16"/>
                <w:lang w:eastAsia="pl-PL"/>
                <w14:ligatures w14:val="none"/>
              </w:rPr>
              <w:t>a) budowa i modernizacja sieci elektroenergetycznych, ciepłowniczych i gazowych (dla</w:t>
            </w:r>
            <w:r>
              <w:rPr>
                <w:rFonts w:eastAsia="Times New Roman" w:cs="Calibri"/>
                <w:color w:val="000000"/>
                <w:kern w:val="0"/>
                <w:sz w:val="16"/>
                <w:szCs w:val="16"/>
                <w:lang w:eastAsia="pl-PL"/>
                <w14:ligatures w14:val="none"/>
              </w:rPr>
              <w:t xml:space="preserve"> </w:t>
            </w:r>
            <w:r w:rsidRPr="00C3554A">
              <w:rPr>
                <w:rFonts w:eastAsia="Times New Roman" w:cs="Calibri"/>
                <w:color w:val="000000"/>
                <w:kern w:val="0"/>
                <w:sz w:val="16"/>
                <w:szCs w:val="16"/>
                <w:lang w:eastAsia="pl-PL"/>
                <w14:ligatures w14:val="none"/>
              </w:rPr>
              <w:t>gazów zdekarbonizowanych),</w:t>
            </w:r>
          </w:p>
          <w:p w14:paraId="310D6805" w14:textId="77777777" w:rsidR="00781523" w:rsidRPr="00C3554A"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C3554A">
              <w:rPr>
                <w:rFonts w:eastAsia="Times New Roman" w:cs="Calibri"/>
                <w:color w:val="000000"/>
                <w:kern w:val="0"/>
                <w:sz w:val="16"/>
                <w:szCs w:val="16"/>
                <w:lang w:eastAsia="pl-PL"/>
                <w14:ligatures w14:val="none"/>
              </w:rPr>
              <w:t>b) budowa odnawialnych źródeł energii (wraz z instalacjami do produkcji odnawialnego</w:t>
            </w:r>
            <w:r>
              <w:rPr>
                <w:rFonts w:eastAsia="Times New Roman" w:cs="Calibri"/>
                <w:color w:val="000000"/>
                <w:kern w:val="0"/>
                <w:sz w:val="16"/>
                <w:szCs w:val="16"/>
                <w:lang w:eastAsia="pl-PL"/>
                <w14:ligatures w14:val="none"/>
              </w:rPr>
              <w:t xml:space="preserve"> </w:t>
            </w:r>
            <w:r w:rsidRPr="00C3554A">
              <w:rPr>
                <w:rFonts w:eastAsia="Times New Roman" w:cs="Calibri"/>
                <w:color w:val="000000"/>
                <w:kern w:val="0"/>
                <w:sz w:val="16"/>
                <w:szCs w:val="16"/>
                <w:lang w:eastAsia="pl-PL"/>
                <w14:ligatures w14:val="none"/>
              </w:rPr>
              <w:t>wodoru i magazynami energii) w sektorze elektroenergetyki i ciepłownictwa,</w:t>
            </w:r>
          </w:p>
          <w:p w14:paraId="6A5C44BB" w14:textId="77777777" w:rsidR="00781523" w:rsidRPr="00C3554A"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C3554A">
              <w:rPr>
                <w:rFonts w:eastAsia="Times New Roman" w:cs="Calibri"/>
                <w:color w:val="000000"/>
                <w:kern w:val="0"/>
                <w:sz w:val="16"/>
                <w:szCs w:val="16"/>
                <w:lang w:eastAsia="pl-PL"/>
                <w14:ligatures w14:val="none"/>
              </w:rPr>
              <w:t>c) budowa magazynów energii elektrycznej sprzyjających integracji OZE w systemie</w:t>
            </w:r>
            <w:r>
              <w:rPr>
                <w:rFonts w:eastAsia="Times New Roman" w:cs="Calibri"/>
                <w:color w:val="000000"/>
                <w:kern w:val="0"/>
                <w:sz w:val="16"/>
                <w:szCs w:val="16"/>
                <w:lang w:eastAsia="pl-PL"/>
                <w14:ligatures w14:val="none"/>
              </w:rPr>
              <w:t xml:space="preserve"> </w:t>
            </w:r>
            <w:r w:rsidRPr="00C3554A">
              <w:rPr>
                <w:rFonts w:eastAsia="Times New Roman" w:cs="Calibri"/>
                <w:color w:val="000000"/>
                <w:kern w:val="0"/>
                <w:sz w:val="16"/>
                <w:szCs w:val="16"/>
                <w:lang w:eastAsia="pl-PL"/>
                <w14:ligatures w14:val="none"/>
              </w:rPr>
              <w:t>elektroenergetycznym,</w:t>
            </w:r>
          </w:p>
          <w:p w14:paraId="70C5AD9F" w14:textId="77777777" w:rsidR="00781523" w:rsidRPr="00C3554A"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C3554A">
              <w:rPr>
                <w:rFonts w:eastAsia="Times New Roman" w:cs="Calibri"/>
                <w:color w:val="000000"/>
                <w:kern w:val="0"/>
                <w:sz w:val="16"/>
                <w:szCs w:val="16"/>
                <w:lang w:eastAsia="pl-PL"/>
                <w14:ligatures w14:val="none"/>
              </w:rPr>
              <w:t>d) zwiększenie efektywności energetycznej przedsiębiorstw i budynków wraz z instalacją</w:t>
            </w:r>
            <w:r>
              <w:rPr>
                <w:rFonts w:eastAsia="Times New Roman" w:cs="Calibri"/>
                <w:color w:val="000000"/>
                <w:kern w:val="0"/>
                <w:sz w:val="16"/>
                <w:szCs w:val="16"/>
                <w:lang w:eastAsia="pl-PL"/>
                <w14:ligatures w14:val="none"/>
              </w:rPr>
              <w:t xml:space="preserve"> </w:t>
            </w:r>
            <w:r w:rsidRPr="00C3554A">
              <w:rPr>
                <w:rFonts w:eastAsia="Times New Roman" w:cs="Calibri"/>
                <w:color w:val="000000"/>
                <w:kern w:val="0"/>
                <w:sz w:val="16"/>
                <w:szCs w:val="16"/>
                <w:lang w:eastAsia="pl-PL"/>
                <w14:ligatures w14:val="none"/>
              </w:rPr>
              <w:t>odnawialnych źródeł energii i systemami magazynowania energii,</w:t>
            </w:r>
          </w:p>
          <w:p w14:paraId="6AA297FB" w14:textId="77777777" w:rsidR="00781523" w:rsidRPr="00C3554A"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C3554A">
              <w:rPr>
                <w:rFonts w:eastAsia="Times New Roman" w:cs="Calibri"/>
                <w:color w:val="000000"/>
                <w:kern w:val="0"/>
                <w:sz w:val="16"/>
                <w:szCs w:val="16"/>
                <w:lang w:eastAsia="pl-PL"/>
                <w14:ligatures w14:val="none"/>
              </w:rPr>
              <w:t>e) instalacje zmniejszające emisyjność i energochłonność przedsiębiorstw,</w:t>
            </w:r>
          </w:p>
          <w:p w14:paraId="21E55ED7" w14:textId="6B063FE8" w:rsidR="00781523" w:rsidRPr="003416D6"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C3554A">
              <w:rPr>
                <w:rFonts w:eastAsia="Times New Roman" w:cs="Calibri"/>
                <w:color w:val="000000"/>
                <w:kern w:val="0"/>
                <w:sz w:val="16"/>
                <w:szCs w:val="16"/>
                <w:lang w:eastAsia="pl-PL"/>
                <w14:ligatures w14:val="none"/>
              </w:rPr>
              <w:t xml:space="preserve">f) budowa infrastruktury do produkcji </w:t>
            </w:r>
            <w:proofErr w:type="spellStart"/>
            <w:r w:rsidRPr="00C3554A">
              <w:rPr>
                <w:rFonts w:eastAsia="Times New Roman" w:cs="Calibri"/>
                <w:color w:val="000000"/>
                <w:kern w:val="0"/>
                <w:sz w:val="16"/>
                <w:szCs w:val="16"/>
                <w:lang w:eastAsia="pl-PL"/>
                <w14:ligatures w14:val="none"/>
              </w:rPr>
              <w:t>biometanu</w:t>
            </w:r>
            <w:proofErr w:type="spellEnd"/>
            <w:r w:rsidRPr="00C3554A">
              <w:rPr>
                <w:rFonts w:eastAsia="Times New Roman" w:cs="Calibri"/>
                <w:color w:val="000000"/>
                <w:kern w:val="0"/>
                <w:sz w:val="16"/>
                <w:szCs w:val="16"/>
                <w:lang w:eastAsia="pl-PL"/>
                <w14:ligatures w14:val="none"/>
              </w:rPr>
              <w:t>, biopaliw II generacji i odnawialnego</w:t>
            </w:r>
            <w:r>
              <w:rPr>
                <w:rFonts w:eastAsia="Times New Roman" w:cs="Calibri"/>
                <w:color w:val="000000"/>
                <w:kern w:val="0"/>
                <w:sz w:val="16"/>
                <w:szCs w:val="16"/>
                <w:lang w:eastAsia="pl-PL"/>
                <w14:ligatures w14:val="none"/>
              </w:rPr>
              <w:t xml:space="preserve"> </w:t>
            </w:r>
            <w:r w:rsidRPr="00C3554A">
              <w:rPr>
                <w:rFonts w:eastAsia="Times New Roman" w:cs="Calibri"/>
                <w:color w:val="000000"/>
                <w:kern w:val="0"/>
                <w:sz w:val="16"/>
                <w:szCs w:val="16"/>
                <w:lang w:eastAsia="pl-PL"/>
                <w14:ligatures w14:val="none"/>
              </w:rPr>
              <w:t>wodoru na cele transportowe</w:t>
            </w:r>
            <w:r>
              <w:rPr>
                <w:rFonts w:eastAsia="Times New Roman" w:cs="Calibri"/>
                <w:color w:val="000000"/>
                <w:kern w:val="0"/>
                <w:sz w:val="16"/>
                <w:szCs w:val="16"/>
                <w:lang w:eastAsia="pl-PL"/>
                <w14:ligatures w14:val="none"/>
              </w:rPr>
              <w:t>.</w:t>
            </w:r>
          </w:p>
        </w:tc>
      </w:tr>
      <w:tr w:rsidR="00801275" w:rsidRPr="00ED52BB" w14:paraId="596CA587" w14:textId="77777777" w:rsidTr="00300186">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3BFB657B" w14:textId="5C0683B7"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3670F6AD" w14:textId="06C3ACC0"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Program Uzupełniania Lokalnej i Regionalnej Infrastruktury </w:t>
            </w:r>
            <w:r w:rsidRPr="003416D6">
              <w:rPr>
                <w:rFonts w:eastAsia="Times New Roman" w:cs="Calibri"/>
                <w:color w:val="000000"/>
                <w:kern w:val="0"/>
                <w:sz w:val="16"/>
                <w:szCs w:val="16"/>
                <w:lang w:eastAsia="pl-PL"/>
                <w14:ligatures w14:val="none"/>
              </w:rPr>
              <w:lastRenderedPageBreak/>
              <w:t>Kolejowej</w:t>
            </w:r>
            <w:r>
              <w:rPr>
                <w:rFonts w:eastAsia="Times New Roman" w:cs="Calibri"/>
                <w:color w:val="000000"/>
                <w:kern w:val="0"/>
                <w:sz w:val="16"/>
                <w:szCs w:val="16"/>
                <w:lang w:eastAsia="pl-PL"/>
                <w14:ligatures w14:val="none"/>
              </w:rPr>
              <w:t xml:space="preserve"> – </w:t>
            </w:r>
            <w:r w:rsidRPr="003416D6">
              <w:rPr>
                <w:rFonts w:eastAsia="Times New Roman" w:cs="Calibri"/>
                <w:color w:val="000000"/>
                <w:kern w:val="0"/>
                <w:sz w:val="16"/>
                <w:szCs w:val="16"/>
                <w:lang w:eastAsia="pl-PL"/>
                <w14:ligatures w14:val="none"/>
              </w:rPr>
              <w:t>Kolej + do 2029 r.</w:t>
            </w:r>
          </w:p>
        </w:tc>
        <w:tc>
          <w:tcPr>
            <w:tcW w:w="1559" w:type="dxa"/>
            <w:tcBorders>
              <w:top w:val="single" w:sz="4" w:space="0" w:color="3A7C22" w:themeColor="accent6" w:themeShade="BF"/>
            </w:tcBorders>
            <w:hideMark/>
          </w:tcPr>
          <w:p w14:paraId="26B42045"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lastRenderedPageBreak/>
              <w:t>Transport</w:t>
            </w:r>
          </w:p>
        </w:tc>
        <w:tc>
          <w:tcPr>
            <w:tcW w:w="1701" w:type="dxa"/>
            <w:tcBorders>
              <w:top w:val="single" w:sz="4" w:space="0" w:color="3A7C22" w:themeColor="accent6" w:themeShade="BF"/>
            </w:tcBorders>
            <w:hideMark/>
          </w:tcPr>
          <w:p w14:paraId="6746AD3D"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13,2 mld zł</w:t>
            </w:r>
          </w:p>
        </w:tc>
        <w:tc>
          <w:tcPr>
            <w:tcW w:w="1559" w:type="dxa"/>
            <w:tcBorders>
              <w:top w:val="single" w:sz="4" w:space="0" w:color="3A7C22" w:themeColor="accent6" w:themeShade="BF"/>
            </w:tcBorders>
            <w:hideMark/>
          </w:tcPr>
          <w:p w14:paraId="1D70E384" w14:textId="71182C8D"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2019</w:t>
            </w:r>
            <w:r>
              <w:rPr>
                <w:rFonts w:eastAsia="Times New Roman" w:cs="Calibri"/>
                <w:color w:val="000000"/>
                <w:kern w:val="0"/>
                <w:sz w:val="16"/>
                <w:szCs w:val="16"/>
                <w:lang w:eastAsia="pl-PL"/>
                <w14:ligatures w14:val="none"/>
              </w:rPr>
              <w:t>–2</w:t>
            </w:r>
            <w:r w:rsidRPr="003416D6">
              <w:rPr>
                <w:rFonts w:eastAsia="Times New Roman" w:cs="Calibri"/>
                <w:color w:val="000000"/>
                <w:kern w:val="0"/>
                <w:sz w:val="16"/>
                <w:szCs w:val="16"/>
                <w:lang w:eastAsia="pl-PL"/>
                <w14:ligatures w14:val="none"/>
              </w:rPr>
              <w:t>029</w:t>
            </w:r>
          </w:p>
        </w:tc>
        <w:tc>
          <w:tcPr>
            <w:tcW w:w="1281" w:type="dxa"/>
            <w:tcBorders>
              <w:top w:val="single" w:sz="4" w:space="0" w:color="3A7C22" w:themeColor="accent6" w:themeShade="BF"/>
            </w:tcBorders>
            <w:hideMark/>
          </w:tcPr>
          <w:p w14:paraId="0ED4F714"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Dokapitalizowanie PKP PLK S.A. na Program Kolej +, Środki </w:t>
            </w:r>
            <w:r w:rsidRPr="003416D6">
              <w:rPr>
                <w:rFonts w:eastAsia="Times New Roman" w:cs="Calibri"/>
                <w:color w:val="000000"/>
                <w:kern w:val="0"/>
                <w:sz w:val="16"/>
                <w:szCs w:val="16"/>
                <w:lang w:eastAsia="pl-PL"/>
                <w14:ligatures w14:val="none"/>
              </w:rPr>
              <w:lastRenderedPageBreak/>
              <w:t>jednostek samorządów terytorialnego.</w:t>
            </w:r>
          </w:p>
        </w:tc>
        <w:tc>
          <w:tcPr>
            <w:tcW w:w="1186" w:type="dxa"/>
            <w:tcBorders>
              <w:top w:val="single" w:sz="4" w:space="0" w:color="3A7C22" w:themeColor="accent6" w:themeShade="BF"/>
            </w:tcBorders>
            <w:hideMark/>
          </w:tcPr>
          <w:p w14:paraId="1B176F9E"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lastRenderedPageBreak/>
              <w:t>Inwestycyjne</w:t>
            </w:r>
          </w:p>
        </w:tc>
        <w:tc>
          <w:tcPr>
            <w:tcW w:w="1413" w:type="dxa"/>
            <w:tcBorders>
              <w:top w:val="single" w:sz="4" w:space="0" w:color="3A7C22" w:themeColor="accent6" w:themeShade="BF"/>
            </w:tcBorders>
            <w:hideMark/>
          </w:tcPr>
          <w:p w14:paraId="6D21C076"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PKP Polskie Linie Kolejowe S.A.</w:t>
            </w:r>
          </w:p>
        </w:tc>
        <w:tc>
          <w:tcPr>
            <w:tcW w:w="3548" w:type="dxa"/>
            <w:tcBorders>
              <w:top w:val="single" w:sz="4" w:space="0" w:color="3A7C22" w:themeColor="accent6" w:themeShade="BF"/>
            </w:tcBorders>
            <w:hideMark/>
          </w:tcPr>
          <w:p w14:paraId="42E15452" w14:textId="77777777" w:rsidR="00781523" w:rsidRPr="003416D6"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Program ma na celu uzupełnienie sieci kolejowej o połączenia miast liczących powyżej 10 tys. mieszkańców ze stolicami województw. </w:t>
            </w:r>
          </w:p>
        </w:tc>
      </w:tr>
      <w:tr w:rsidR="00781523" w:rsidRPr="00ED52BB" w14:paraId="0F8DD171" w14:textId="77777777" w:rsidTr="00300186">
        <w:trPr>
          <w:trHeight w:val="1632"/>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381720C8" w14:textId="00F7F8AC"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6A517258" w14:textId="3B589CA1"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FENG</w:t>
            </w:r>
            <w:r>
              <w:rPr>
                <w:rFonts w:eastAsia="Times New Roman" w:cs="Calibri"/>
                <w:color w:val="000000"/>
                <w:kern w:val="0"/>
                <w:sz w:val="16"/>
                <w:szCs w:val="16"/>
                <w:lang w:eastAsia="pl-PL"/>
                <w14:ligatures w14:val="none"/>
              </w:rPr>
              <w:t xml:space="preserve"> – </w:t>
            </w:r>
            <w:r w:rsidRPr="00303AEA">
              <w:rPr>
                <w:rFonts w:eastAsia="Times New Roman" w:cs="Calibri"/>
                <w:color w:val="000000"/>
                <w:kern w:val="0"/>
                <w:sz w:val="16"/>
                <w:szCs w:val="16"/>
                <w:lang w:eastAsia="pl-PL"/>
                <w14:ligatures w14:val="none"/>
              </w:rPr>
              <w:t>Fundusze Europejskie dla Nowoczesnej Gospodarki</w:t>
            </w:r>
          </w:p>
        </w:tc>
        <w:tc>
          <w:tcPr>
            <w:tcW w:w="1559" w:type="dxa"/>
            <w:tcBorders>
              <w:top w:val="single" w:sz="4" w:space="0" w:color="3A7C22" w:themeColor="accent6" w:themeShade="BF"/>
              <w:bottom w:val="single" w:sz="4" w:space="0" w:color="3A7C22" w:themeColor="accent6" w:themeShade="BF"/>
            </w:tcBorders>
            <w:hideMark/>
          </w:tcPr>
          <w:p w14:paraId="519C8411"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Badania i rozwój</w:t>
            </w:r>
          </w:p>
        </w:tc>
        <w:tc>
          <w:tcPr>
            <w:tcW w:w="1701" w:type="dxa"/>
            <w:tcBorders>
              <w:top w:val="single" w:sz="4" w:space="0" w:color="3A7C22" w:themeColor="accent6" w:themeShade="BF"/>
              <w:bottom w:val="single" w:sz="4" w:space="0" w:color="3A7C22" w:themeColor="accent6" w:themeShade="BF"/>
            </w:tcBorders>
            <w:hideMark/>
          </w:tcPr>
          <w:p w14:paraId="7C8361CE" w14:textId="44F93C08" w:rsidR="00781523" w:rsidRPr="003416D6" w:rsidRDefault="00714865"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xml:space="preserve">Łącznie </w:t>
            </w:r>
            <w:r w:rsidR="00781523" w:rsidRPr="003416D6">
              <w:rPr>
                <w:rFonts w:eastAsia="Times New Roman" w:cs="Calibri"/>
                <w:color w:val="000000"/>
                <w:kern w:val="0"/>
                <w:sz w:val="16"/>
                <w:szCs w:val="16"/>
                <w:lang w:eastAsia="pl-PL"/>
                <w14:ligatures w14:val="none"/>
              </w:rPr>
              <w:t>7,9 mld euro</w:t>
            </w:r>
            <w:r>
              <w:rPr>
                <w:rFonts w:eastAsia="Times New Roman" w:cs="Calibri"/>
                <w:color w:val="000000"/>
                <w:kern w:val="0"/>
                <w:sz w:val="16"/>
                <w:szCs w:val="16"/>
                <w:lang w:eastAsia="pl-PL"/>
                <w14:ligatures w14:val="none"/>
              </w:rPr>
              <w:t xml:space="preserve">, w tym </w:t>
            </w:r>
            <w:r w:rsidR="007314F3">
              <w:rPr>
                <w:rFonts w:eastAsia="Times New Roman" w:cs="Calibri"/>
                <w:color w:val="000000"/>
                <w:kern w:val="0"/>
                <w:sz w:val="16"/>
                <w:szCs w:val="16"/>
                <w:lang w:eastAsia="pl-PL"/>
                <w14:ligatures w14:val="none"/>
              </w:rPr>
              <w:t>na efektywność energetyczną 633,3 mln euro</w:t>
            </w:r>
          </w:p>
        </w:tc>
        <w:tc>
          <w:tcPr>
            <w:tcW w:w="1559" w:type="dxa"/>
            <w:tcBorders>
              <w:top w:val="single" w:sz="4" w:space="0" w:color="3A7C22" w:themeColor="accent6" w:themeShade="BF"/>
              <w:bottom w:val="single" w:sz="4" w:space="0" w:color="3A7C22" w:themeColor="accent6" w:themeShade="BF"/>
            </w:tcBorders>
            <w:hideMark/>
          </w:tcPr>
          <w:p w14:paraId="574C0FAD" w14:textId="7BF47D8D"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2021</w:t>
            </w:r>
            <w:r>
              <w:rPr>
                <w:rFonts w:eastAsia="Times New Roman" w:cs="Calibri"/>
                <w:color w:val="000000"/>
                <w:kern w:val="0"/>
                <w:sz w:val="16"/>
                <w:szCs w:val="16"/>
                <w:lang w:eastAsia="pl-PL"/>
                <w14:ligatures w14:val="none"/>
              </w:rPr>
              <w:t>–2</w:t>
            </w:r>
            <w:r w:rsidRPr="003416D6">
              <w:rPr>
                <w:rFonts w:eastAsia="Times New Roman" w:cs="Calibri"/>
                <w:color w:val="000000"/>
                <w:kern w:val="0"/>
                <w:sz w:val="16"/>
                <w:szCs w:val="16"/>
                <w:lang w:eastAsia="pl-PL"/>
                <w14:ligatures w14:val="none"/>
              </w:rPr>
              <w:t>027</w:t>
            </w:r>
          </w:p>
        </w:tc>
        <w:tc>
          <w:tcPr>
            <w:tcW w:w="1281" w:type="dxa"/>
            <w:tcBorders>
              <w:top w:val="single" w:sz="4" w:space="0" w:color="3A7C22" w:themeColor="accent6" w:themeShade="BF"/>
              <w:bottom w:val="single" w:sz="4" w:space="0" w:color="3A7C22" w:themeColor="accent6" w:themeShade="BF"/>
            </w:tcBorders>
            <w:hideMark/>
          </w:tcPr>
          <w:p w14:paraId="1C0232CC"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Europejski Fundusz Rozwoju Regionalnego i Fundusz Spójności</w:t>
            </w:r>
          </w:p>
        </w:tc>
        <w:tc>
          <w:tcPr>
            <w:tcW w:w="1186" w:type="dxa"/>
            <w:tcBorders>
              <w:top w:val="single" w:sz="4" w:space="0" w:color="3A7C22" w:themeColor="accent6" w:themeShade="BF"/>
              <w:bottom w:val="single" w:sz="4" w:space="0" w:color="3A7C22" w:themeColor="accent6" w:themeShade="BF"/>
            </w:tcBorders>
            <w:hideMark/>
          </w:tcPr>
          <w:p w14:paraId="1B637283"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Inwestycyjne</w:t>
            </w:r>
          </w:p>
        </w:tc>
        <w:tc>
          <w:tcPr>
            <w:tcW w:w="1413" w:type="dxa"/>
            <w:tcBorders>
              <w:top w:val="single" w:sz="4" w:space="0" w:color="3A7C22" w:themeColor="accent6" w:themeShade="BF"/>
              <w:bottom w:val="single" w:sz="4" w:space="0" w:color="3A7C22" w:themeColor="accent6" w:themeShade="BF"/>
            </w:tcBorders>
            <w:hideMark/>
          </w:tcPr>
          <w:p w14:paraId="512CBA1F"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Ministerstwo Funduszy i Polityki Regionalnej </w:t>
            </w:r>
          </w:p>
        </w:tc>
        <w:tc>
          <w:tcPr>
            <w:tcW w:w="3548" w:type="dxa"/>
            <w:tcBorders>
              <w:top w:val="single" w:sz="4" w:space="0" w:color="3A7C22" w:themeColor="accent6" w:themeShade="BF"/>
              <w:bottom w:val="single" w:sz="4" w:space="0" w:color="3A7C22" w:themeColor="accent6" w:themeShade="BF"/>
            </w:tcBorders>
            <w:hideMark/>
          </w:tcPr>
          <w:p w14:paraId="3BED0962" w14:textId="77777777" w:rsidR="00781523" w:rsidRPr="003416D6"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Przeznaczenie funduszu: </w:t>
            </w:r>
            <w:r w:rsidRPr="003416D6">
              <w:rPr>
                <w:rFonts w:eastAsia="Times New Roman" w:cs="Calibri"/>
                <w:color w:val="000000"/>
                <w:kern w:val="0"/>
                <w:sz w:val="16"/>
                <w:szCs w:val="16"/>
                <w:lang w:eastAsia="pl-PL"/>
                <w14:ligatures w14:val="none"/>
              </w:rPr>
              <w:br/>
              <w:t>- Badania i rozwój</w:t>
            </w:r>
            <w:r w:rsidRPr="003416D6">
              <w:rPr>
                <w:rFonts w:eastAsia="Times New Roman" w:cs="Calibri"/>
                <w:color w:val="000000"/>
                <w:kern w:val="0"/>
                <w:sz w:val="16"/>
                <w:szCs w:val="16"/>
                <w:lang w:eastAsia="pl-PL"/>
                <w14:ligatures w14:val="none"/>
              </w:rPr>
              <w:br/>
              <w:t>- Innowacje w przedsiębiorstwach</w:t>
            </w:r>
            <w:r w:rsidRPr="003416D6">
              <w:rPr>
                <w:rFonts w:eastAsia="Times New Roman" w:cs="Calibri"/>
                <w:color w:val="000000"/>
                <w:kern w:val="0"/>
                <w:sz w:val="16"/>
                <w:szCs w:val="16"/>
                <w:lang w:eastAsia="pl-PL"/>
                <w14:ligatures w14:val="none"/>
              </w:rPr>
              <w:br/>
              <w:t>- Transformacja cyfrowa</w:t>
            </w:r>
            <w:r w:rsidRPr="003416D6">
              <w:rPr>
                <w:rFonts w:eastAsia="Times New Roman" w:cs="Calibri"/>
                <w:color w:val="000000"/>
                <w:kern w:val="0"/>
                <w:sz w:val="16"/>
                <w:szCs w:val="16"/>
                <w:lang w:eastAsia="pl-PL"/>
                <w14:ligatures w14:val="none"/>
              </w:rPr>
              <w:br/>
              <w:t>- Zielona gospodarka</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https://www.nowoczesnagospodarka.gov.pl/strony/dowiedz-sie-wiecej-o-programie/o-programie/</w:t>
            </w:r>
          </w:p>
        </w:tc>
      </w:tr>
      <w:tr w:rsidR="00801275" w:rsidRPr="00ED52BB" w14:paraId="52E3024D" w14:textId="77777777" w:rsidTr="00300186">
        <w:trPr>
          <w:cnfStyle w:val="000000100000" w:firstRow="0" w:lastRow="0" w:firstColumn="0" w:lastColumn="0" w:oddVBand="0" w:evenVBand="0" w:oddHBand="1" w:evenHBand="0" w:firstRowFirstColumn="0" w:firstRowLastColumn="0" w:lastRowFirstColumn="0" w:lastRowLastColumn="0"/>
          <w:trHeight w:val="816"/>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4EA8918D" w14:textId="440B9542"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33E49C39"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Program Ramowy Unii europejskiej Horyzont Europa</w:t>
            </w:r>
          </w:p>
        </w:tc>
        <w:tc>
          <w:tcPr>
            <w:tcW w:w="1559" w:type="dxa"/>
            <w:tcBorders>
              <w:top w:val="single" w:sz="4" w:space="0" w:color="3A7C22" w:themeColor="accent6" w:themeShade="BF"/>
              <w:bottom w:val="single" w:sz="4" w:space="0" w:color="3A7C22" w:themeColor="accent6" w:themeShade="BF"/>
            </w:tcBorders>
            <w:hideMark/>
          </w:tcPr>
          <w:p w14:paraId="644A13EA"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Badania i rozwój</w:t>
            </w:r>
          </w:p>
        </w:tc>
        <w:tc>
          <w:tcPr>
            <w:tcW w:w="1701" w:type="dxa"/>
            <w:tcBorders>
              <w:top w:val="single" w:sz="4" w:space="0" w:color="3A7C22" w:themeColor="accent6" w:themeShade="BF"/>
              <w:bottom w:val="single" w:sz="4" w:space="0" w:color="3A7C22" w:themeColor="accent6" w:themeShade="BF"/>
            </w:tcBorders>
            <w:hideMark/>
          </w:tcPr>
          <w:p w14:paraId="08EAF6B7" w14:textId="1CBF73E6"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Około 60 mld euro (cały program na lata 2021</w:t>
            </w:r>
            <w:r>
              <w:rPr>
                <w:rFonts w:eastAsia="Times New Roman" w:cs="Calibri"/>
                <w:color w:val="000000"/>
                <w:kern w:val="0"/>
                <w:sz w:val="16"/>
                <w:szCs w:val="16"/>
                <w:lang w:eastAsia="pl-PL"/>
                <w14:ligatures w14:val="none"/>
              </w:rPr>
              <w:t>–2</w:t>
            </w:r>
            <w:r w:rsidRPr="003416D6">
              <w:rPr>
                <w:rFonts w:eastAsia="Times New Roman" w:cs="Calibri"/>
                <w:color w:val="000000"/>
                <w:kern w:val="0"/>
                <w:sz w:val="16"/>
                <w:szCs w:val="16"/>
                <w:lang w:eastAsia="pl-PL"/>
                <w14:ligatures w14:val="none"/>
              </w:rPr>
              <w:t>027 to ok. 95 mld euro, do tej pory wydane zostało ponad 30 mld euro)</w:t>
            </w:r>
            <w:r>
              <w:rPr>
                <w:rFonts w:eastAsia="Times New Roman" w:cs="Calibri"/>
                <w:color w:val="000000"/>
                <w:kern w:val="0"/>
                <w:sz w:val="16"/>
                <w:szCs w:val="16"/>
                <w:lang w:eastAsia="pl-PL"/>
                <w14:ligatures w14:val="none"/>
              </w:rPr>
              <w:t xml:space="preserve"> – </w:t>
            </w:r>
            <w:r w:rsidRPr="003416D6">
              <w:rPr>
                <w:rFonts w:eastAsia="Times New Roman" w:cs="Calibri"/>
                <w:color w:val="000000"/>
                <w:kern w:val="0"/>
                <w:sz w:val="16"/>
                <w:szCs w:val="16"/>
                <w:lang w:eastAsia="pl-PL"/>
                <w14:ligatures w14:val="none"/>
              </w:rPr>
              <w:t>dla całej UE.</w:t>
            </w:r>
            <w:r w:rsidRPr="003416D6">
              <w:rPr>
                <w:rFonts w:eastAsia="Times New Roman" w:cs="Calibri"/>
                <w:color w:val="000000"/>
                <w:kern w:val="0"/>
                <w:sz w:val="16"/>
                <w:szCs w:val="16"/>
                <w:lang w:eastAsia="pl-PL"/>
                <w14:ligatures w14:val="none"/>
              </w:rPr>
              <w:br/>
              <w:t xml:space="preserve"> </w:t>
            </w:r>
            <w:r w:rsidRPr="003416D6">
              <w:rPr>
                <w:rFonts w:eastAsia="Times New Roman" w:cs="Calibri"/>
                <w:color w:val="000000"/>
                <w:kern w:val="0"/>
                <w:sz w:val="16"/>
                <w:szCs w:val="16"/>
                <w:lang w:eastAsia="pl-PL"/>
                <w14:ligatures w14:val="none"/>
              </w:rPr>
              <w:br/>
              <w:t>Dla Polski jeszcze brak danych</w:t>
            </w:r>
            <w:r>
              <w:rPr>
                <w:rFonts w:eastAsia="Times New Roman" w:cs="Calibri"/>
                <w:color w:val="000000"/>
                <w:kern w:val="0"/>
                <w:sz w:val="16"/>
                <w:szCs w:val="16"/>
                <w:lang w:eastAsia="pl-PL"/>
                <w14:ligatures w14:val="none"/>
              </w:rPr>
              <w:t xml:space="preserve"> – </w:t>
            </w:r>
            <w:r w:rsidRPr="003416D6">
              <w:rPr>
                <w:rFonts w:eastAsia="Times New Roman" w:cs="Calibri"/>
                <w:color w:val="000000"/>
                <w:kern w:val="0"/>
                <w:sz w:val="16"/>
                <w:szCs w:val="16"/>
                <w:lang w:eastAsia="pl-PL"/>
                <w14:ligatures w14:val="none"/>
              </w:rPr>
              <w:t>polskie podmioty będą startować w konkursach.</w:t>
            </w:r>
          </w:p>
        </w:tc>
        <w:tc>
          <w:tcPr>
            <w:tcW w:w="1559" w:type="dxa"/>
            <w:tcBorders>
              <w:top w:val="single" w:sz="4" w:space="0" w:color="3A7C22" w:themeColor="accent6" w:themeShade="BF"/>
              <w:bottom w:val="single" w:sz="4" w:space="0" w:color="3A7C22" w:themeColor="accent6" w:themeShade="BF"/>
            </w:tcBorders>
            <w:hideMark/>
          </w:tcPr>
          <w:p w14:paraId="390783E0" w14:textId="331B6AF5"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2021</w:t>
            </w:r>
            <w:r>
              <w:rPr>
                <w:rFonts w:eastAsia="Times New Roman" w:cs="Calibri"/>
                <w:color w:val="000000"/>
                <w:kern w:val="0"/>
                <w:sz w:val="16"/>
                <w:szCs w:val="16"/>
                <w:lang w:eastAsia="pl-PL"/>
                <w14:ligatures w14:val="none"/>
              </w:rPr>
              <w:t>–2</w:t>
            </w:r>
            <w:r w:rsidRPr="003416D6">
              <w:rPr>
                <w:rFonts w:eastAsia="Times New Roman" w:cs="Calibri"/>
                <w:color w:val="000000"/>
                <w:kern w:val="0"/>
                <w:sz w:val="16"/>
                <w:szCs w:val="16"/>
                <w:lang w:eastAsia="pl-PL"/>
                <w14:ligatures w14:val="none"/>
              </w:rPr>
              <w:t>027</w:t>
            </w:r>
          </w:p>
        </w:tc>
        <w:tc>
          <w:tcPr>
            <w:tcW w:w="1281" w:type="dxa"/>
            <w:tcBorders>
              <w:top w:val="single" w:sz="4" w:space="0" w:color="3A7C22" w:themeColor="accent6" w:themeShade="BF"/>
              <w:bottom w:val="single" w:sz="4" w:space="0" w:color="3A7C22" w:themeColor="accent6" w:themeShade="BF"/>
            </w:tcBorders>
            <w:hideMark/>
          </w:tcPr>
          <w:p w14:paraId="705B0775"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Program Ramowy Unii europejskiej Horyzont Europa</w:t>
            </w:r>
          </w:p>
        </w:tc>
        <w:tc>
          <w:tcPr>
            <w:tcW w:w="1186" w:type="dxa"/>
            <w:tcBorders>
              <w:top w:val="single" w:sz="4" w:space="0" w:color="3A7C22" w:themeColor="accent6" w:themeShade="BF"/>
              <w:bottom w:val="single" w:sz="4" w:space="0" w:color="3A7C22" w:themeColor="accent6" w:themeShade="BF"/>
            </w:tcBorders>
            <w:hideMark/>
          </w:tcPr>
          <w:p w14:paraId="6F3A0099"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Mieszane</w:t>
            </w:r>
          </w:p>
        </w:tc>
        <w:tc>
          <w:tcPr>
            <w:tcW w:w="1413" w:type="dxa"/>
            <w:tcBorders>
              <w:top w:val="single" w:sz="4" w:space="0" w:color="3A7C22" w:themeColor="accent6" w:themeShade="BF"/>
              <w:bottom w:val="single" w:sz="4" w:space="0" w:color="3A7C22" w:themeColor="accent6" w:themeShade="BF"/>
            </w:tcBorders>
            <w:hideMark/>
          </w:tcPr>
          <w:p w14:paraId="1F35D968"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Komisja europejska</w:t>
            </w:r>
          </w:p>
        </w:tc>
        <w:tc>
          <w:tcPr>
            <w:tcW w:w="3548" w:type="dxa"/>
            <w:tcBorders>
              <w:top w:val="single" w:sz="4" w:space="0" w:color="3A7C22" w:themeColor="accent6" w:themeShade="BF"/>
              <w:bottom w:val="single" w:sz="4" w:space="0" w:color="3A7C22" w:themeColor="accent6" w:themeShade="BF"/>
            </w:tcBorders>
            <w:hideMark/>
          </w:tcPr>
          <w:p w14:paraId="6FE22CF1" w14:textId="77777777" w:rsidR="00781523" w:rsidRPr="003416D6"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https://research-and-innovation.ec.europa.eu/funding/funding-opportunities/funding-programmes-and-open-calls/horizon-europe_en oraz </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t>www.kpk.gov.pl</w:t>
            </w:r>
          </w:p>
        </w:tc>
      </w:tr>
      <w:tr w:rsidR="00781523" w:rsidRPr="00ED52BB" w14:paraId="0F5B746F" w14:textId="77777777" w:rsidTr="00300186">
        <w:trPr>
          <w:trHeight w:val="612"/>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69DC1B69" w14:textId="0B69D65A"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3C148A60"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Fundusz Morskiej Energetyki Wiatrowej</w:t>
            </w:r>
          </w:p>
        </w:tc>
        <w:tc>
          <w:tcPr>
            <w:tcW w:w="1559" w:type="dxa"/>
            <w:tcBorders>
              <w:top w:val="single" w:sz="4" w:space="0" w:color="3A7C22" w:themeColor="accent6" w:themeShade="BF"/>
            </w:tcBorders>
            <w:hideMark/>
          </w:tcPr>
          <w:p w14:paraId="7B0D48AF"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tcBorders>
            <w:hideMark/>
          </w:tcPr>
          <w:p w14:paraId="47AA4A2D"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4,785 mld euro </w:t>
            </w:r>
          </w:p>
        </w:tc>
        <w:tc>
          <w:tcPr>
            <w:tcW w:w="1559" w:type="dxa"/>
            <w:tcBorders>
              <w:top w:val="single" w:sz="4" w:space="0" w:color="3A7C22" w:themeColor="accent6" w:themeShade="BF"/>
            </w:tcBorders>
            <w:hideMark/>
          </w:tcPr>
          <w:p w14:paraId="6AEC69B3" w14:textId="4B3FBB2D"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2020</w:t>
            </w:r>
            <w:r>
              <w:rPr>
                <w:rFonts w:eastAsia="Times New Roman" w:cs="Calibri"/>
                <w:color w:val="000000"/>
                <w:kern w:val="0"/>
                <w:sz w:val="16"/>
                <w:szCs w:val="16"/>
                <w:lang w:eastAsia="pl-PL"/>
                <w14:ligatures w14:val="none"/>
              </w:rPr>
              <w:t>–2</w:t>
            </w:r>
            <w:r w:rsidRPr="003416D6">
              <w:rPr>
                <w:rFonts w:eastAsia="Times New Roman" w:cs="Calibri"/>
                <w:color w:val="000000"/>
                <w:kern w:val="0"/>
                <w:sz w:val="16"/>
                <w:szCs w:val="16"/>
                <w:lang w:eastAsia="pl-PL"/>
                <w14:ligatures w14:val="none"/>
              </w:rPr>
              <w:t>026</w:t>
            </w:r>
          </w:p>
        </w:tc>
        <w:tc>
          <w:tcPr>
            <w:tcW w:w="1281" w:type="dxa"/>
            <w:tcBorders>
              <w:top w:val="single" w:sz="4" w:space="0" w:color="3A7C22" w:themeColor="accent6" w:themeShade="BF"/>
            </w:tcBorders>
            <w:hideMark/>
          </w:tcPr>
          <w:p w14:paraId="0A9FF191"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 xml:space="preserve">KPO rozdział dot. </w:t>
            </w:r>
            <w:proofErr w:type="spellStart"/>
            <w:r w:rsidRPr="003416D6">
              <w:rPr>
                <w:rFonts w:eastAsia="Times New Roman" w:cs="Calibri"/>
                <w:color w:val="000000"/>
                <w:kern w:val="0"/>
                <w:sz w:val="16"/>
                <w:szCs w:val="16"/>
                <w:lang w:eastAsia="pl-PL"/>
                <w14:ligatures w14:val="none"/>
              </w:rPr>
              <w:t>REPowerEU</w:t>
            </w:r>
            <w:proofErr w:type="spellEnd"/>
          </w:p>
        </w:tc>
        <w:tc>
          <w:tcPr>
            <w:tcW w:w="1186" w:type="dxa"/>
            <w:tcBorders>
              <w:top w:val="single" w:sz="4" w:space="0" w:color="3A7C22" w:themeColor="accent6" w:themeShade="BF"/>
            </w:tcBorders>
            <w:hideMark/>
          </w:tcPr>
          <w:p w14:paraId="3502ECC4"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Operacyjne</w:t>
            </w:r>
          </w:p>
        </w:tc>
        <w:tc>
          <w:tcPr>
            <w:tcW w:w="1413" w:type="dxa"/>
            <w:tcBorders>
              <w:top w:val="single" w:sz="4" w:space="0" w:color="3A7C22" w:themeColor="accent6" w:themeShade="BF"/>
            </w:tcBorders>
            <w:hideMark/>
          </w:tcPr>
          <w:p w14:paraId="4C41F1AC" w14:textId="77777777" w:rsidR="00781523" w:rsidRPr="003416D6"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Ministerstwo Aktywów Państwowych/Bank Gospodarstwa Krajowego</w:t>
            </w:r>
          </w:p>
        </w:tc>
        <w:tc>
          <w:tcPr>
            <w:tcW w:w="3548" w:type="dxa"/>
            <w:tcBorders>
              <w:top w:val="single" w:sz="4" w:space="0" w:color="3A7C22" w:themeColor="accent6" w:themeShade="BF"/>
            </w:tcBorders>
            <w:hideMark/>
          </w:tcPr>
          <w:p w14:paraId="18E11E7E" w14:textId="77777777" w:rsidR="00781523" w:rsidRPr="003416D6"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Zachęcenie do inwestycji prywatnych i poprawy dostępu do finansowania w sektorze morskiej energetyki wiatrowej w Polsce.</w:t>
            </w:r>
          </w:p>
        </w:tc>
      </w:tr>
      <w:tr w:rsidR="00801275" w:rsidRPr="00ED52BB" w14:paraId="78FAB4AE" w14:textId="77777777" w:rsidTr="00300186">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428E83B1" w14:textId="765103AC"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705EEE12"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PFR Green Hub</w:t>
            </w:r>
          </w:p>
        </w:tc>
        <w:tc>
          <w:tcPr>
            <w:tcW w:w="1559" w:type="dxa"/>
            <w:tcBorders>
              <w:top w:val="single" w:sz="4" w:space="0" w:color="3A7C22" w:themeColor="accent6" w:themeShade="BF"/>
            </w:tcBorders>
            <w:hideMark/>
          </w:tcPr>
          <w:p w14:paraId="04E02167"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Mieszane</w:t>
            </w:r>
          </w:p>
        </w:tc>
        <w:tc>
          <w:tcPr>
            <w:tcW w:w="1701" w:type="dxa"/>
            <w:tcBorders>
              <w:top w:val="single" w:sz="4" w:space="0" w:color="3A7C22" w:themeColor="accent6" w:themeShade="BF"/>
            </w:tcBorders>
            <w:hideMark/>
          </w:tcPr>
          <w:p w14:paraId="256E1F72"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4,55 mld zł</w:t>
            </w:r>
          </w:p>
        </w:tc>
        <w:tc>
          <w:tcPr>
            <w:tcW w:w="1559" w:type="dxa"/>
            <w:tcBorders>
              <w:top w:val="single" w:sz="4" w:space="0" w:color="3A7C22" w:themeColor="accent6" w:themeShade="BF"/>
            </w:tcBorders>
            <w:hideMark/>
          </w:tcPr>
          <w:p w14:paraId="0CB926A5"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2024-do wyczerpania środków</w:t>
            </w:r>
          </w:p>
        </w:tc>
        <w:tc>
          <w:tcPr>
            <w:tcW w:w="1281" w:type="dxa"/>
            <w:tcBorders>
              <w:top w:val="single" w:sz="4" w:space="0" w:color="3A7C22" w:themeColor="accent6" w:themeShade="BF"/>
            </w:tcBorders>
            <w:hideMark/>
          </w:tcPr>
          <w:p w14:paraId="360C2D55"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Środki własne</w:t>
            </w:r>
          </w:p>
        </w:tc>
        <w:tc>
          <w:tcPr>
            <w:tcW w:w="1186" w:type="dxa"/>
            <w:tcBorders>
              <w:top w:val="single" w:sz="4" w:space="0" w:color="3A7C22" w:themeColor="accent6" w:themeShade="BF"/>
            </w:tcBorders>
            <w:hideMark/>
          </w:tcPr>
          <w:p w14:paraId="0C33E1DC"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Inwestycyjne</w:t>
            </w:r>
          </w:p>
        </w:tc>
        <w:tc>
          <w:tcPr>
            <w:tcW w:w="1413" w:type="dxa"/>
            <w:tcBorders>
              <w:top w:val="single" w:sz="4" w:space="0" w:color="3A7C22" w:themeColor="accent6" w:themeShade="BF"/>
            </w:tcBorders>
            <w:hideMark/>
          </w:tcPr>
          <w:p w14:paraId="3D6C6F71" w14:textId="77777777" w:rsidR="00781523" w:rsidRPr="003416D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Polski Fundusz Rozwoju S.A.</w:t>
            </w:r>
            <w:r w:rsidRPr="003416D6">
              <w:rPr>
                <w:rFonts w:eastAsia="Times New Roman" w:cs="Calibri"/>
                <w:color w:val="000000"/>
                <w:kern w:val="0"/>
                <w:sz w:val="16"/>
                <w:szCs w:val="16"/>
                <w:lang w:eastAsia="pl-PL"/>
                <w14:ligatures w14:val="none"/>
              </w:rPr>
              <w:br/>
              <w:t xml:space="preserve">PFR </w:t>
            </w:r>
            <w:proofErr w:type="spellStart"/>
            <w:r w:rsidRPr="003416D6">
              <w:rPr>
                <w:rFonts w:eastAsia="Times New Roman" w:cs="Calibri"/>
                <w:color w:val="000000"/>
                <w:kern w:val="0"/>
                <w:sz w:val="16"/>
                <w:szCs w:val="16"/>
                <w:lang w:eastAsia="pl-PL"/>
                <w14:ligatures w14:val="none"/>
              </w:rPr>
              <w:t>Ventures</w:t>
            </w:r>
            <w:proofErr w:type="spellEnd"/>
            <w:r w:rsidRPr="003416D6">
              <w:rPr>
                <w:rFonts w:eastAsia="Times New Roman" w:cs="Calibri"/>
                <w:color w:val="000000"/>
                <w:kern w:val="0"/>
                <w:sz w:val="16"/>
                <w:szCs w:val="16"/>
                <w:lang w:eastAsia="pl-PL"/>
                <w14:ligatures w14:val="none"/>
              </w:rPr>
              <w:t xml:space="preserve"> Sp. z o.o.</w:t>
            </w:r>
          </w:p>
        </w:tc>
        <w:tc>
          <w:tcPr>
            <w:tcW w:w="3548" w:type="dxa"/>
            <w:tcBorders>
              <w:top w:val="single" w:sz="4" w:space="0" w:color="3A7C22" w:themeColor="accent6" w:themeShade="BF"/>
            </w:tcBorders>
            <w:hideMark/>
          </w:tcPr>
          <w:p w14:paraId="03FC1693" w14:textId="7FFAD831" w:rsidR="00781523" w:rsidRPr="003416D6"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PFR Green Hub to strategiczny program Polskiego Funduszu Rozwoju, którego celem jest wsparcie transformacji energetycznej Polski poprzez finansowanie kapitałowe i dłużne. PFR Green Hub dzieli się na cztery segmenty:</w:t>
            </w:r>
            <w:r w:rsidRPr="003416D6">
              <w:rPr>
                <w:rFonts w:eastAsia="Times New Roman" w:cs="Calibri"/>
                <w:color w:val="000000"/>
                <w:kern w:val="0"/>
                <w:sz w:val="16"/>
                <w:szCs w:val="16"/>
                <w:lang w:eastAsia="pl-PL"/>
                <w14:ligatures w14:val="none"/>
              </w:rPr>
              <w:br/>
              <w:t>- inwestycje bezpośrednie,</w:t>
            </w:r>
            <w:r w:rsidRPr="003416D6">
              <w:rPr>
                <w:rFonts w:eastAsia="Times New Roman" w:cs="Calibri"/>
                <w:color w:val="000000"/>
                <w:kern w:val="0"/>
                <w:sz w:val="16"/>
                <w:szCs w:val="16"/>
                <w:lang w:eastAsia="pl-PL"/>
                <w14:ligatures w14:val="none"/>
              </w:rPr>
              <w:br/>
              <w:t>- inwestycje pośrednie,</w:t>
            </w:r>
            <w:r w:rsidRPr="003416D6">
              <w:rPr>
                <w:rFonts w:eastAsia="Times New Roman" w:cs="Calibri"/>
                <w:color w:val="000000"/>
                <w:kern w:val="0"/>
                <w:sz w:val="16"/>
                <w:szCs w:val="16"/>
                <w:lang w:eastAsia="pl-PL"/>
                <w14:ligatures w14:val="none"/>
              </w:rPr>
              <w:br/>
              <w:t>- inwestycje samorządowe,</w:t>
            </w:r>
            <w:r w:rsidRPr="003416D6">
              <w:rPr>
                <w:rFonts w:eastAsia="Times New Roman" w:cs="Calibri"/>
                <w:color w:val="000000"/>
                <w:kern w:val="0"/>
                <w:sz w:val="16"/>
                <w:szCs w:val="16"/>
                <w:lang w:eastAsia="pl-PL"/>
                <w14:ligatures w14:val="none"/>
              </w:rPr>
              <w:br/>
              <w:t>- zielony ekosystem innowacji.</w:t>
            </w:r>
            <w:r w:rsidRPr="003416D6">
              <w:rPr>
                <w:rFonts w:eastAsia="Times New Roman" w:cs="Calibri"/>
                <w:color w:val="000000"/>
                <w:kern w:val="0"/>
                <w:sz w:val="16"/>
                <w:szCs w:val="16"/>
                <w:lang w:eastAsia="pl-PL"/>
                <w14:ligatures w14:val="none"/>
              </w:rPr>
              <w:br/>
            </w:r>
            <w:r w:rsidRPr="003416D6">
              <w:rPr>
                <w:rFonts w:eastAsia="Times New Roman" w:cs="Calibri"/>
                <w:color w:val="000000"/>
                <w:kern w:val="0"/>
                <w:sz w:val="16"/>
                <w:szCs w:val="16"/>
                <w:lang w:eastAsia="pl-PL"/>
                <w14:ligatures w14:val="none"/>
              </w:rPr>
              <w:br/>
            </w:r>
            <w:r>
              <w:rPr>
                <w:rFonts w:eastAsia="Times New Roman" w:cs="Calibri"/>
                <w:color w:val="000000"/>
                <w:kern w:val="0"/>
                <w:sz w:val="16"/>
                <w:szCs w:val="16"/>
                <w:lang w:eastAsia="pl-PL"/>
                <w14:ligatures w14:val="none"/>
              </w:rPr>
              <w:t xml:space="preserve"> – </w:t>
            </w:r>
            <w:r w:rsidRPr="003416D6">
              <w:rPr>
                <w:rFonts w:eastAsia="Times New Roman" w:cs="Calibri"/>
                <w:color w:val="000000"/>
                <w:kern w:val="0"/>
                <w:sz w:val="16"/>
                <w:szCs w:val="16"/>
                <w:lang w:eastAsia="pl-PL"/>
                <w14:ligatures w14:val="none"/>
              </w:rPr>
              <w:t>dane wewnętrzne PFR</w:t>
            </w:r>
            <w:r w:rsidRPr="003416D6">
              <w:rPr>
                <w:rFonts w:eastAsia="Times New Roman" w:cs="Calibri"/>
                <w:color w:val="000000"/>
                <w:kern w:val="0"/>
                <w:sz w:val="16"/>
                <w:szCs w:val="16"/>
                <w:lang w:eastAsia="pl-PL"/>
                <w14:ligatures w14:val="none"/>
              </w:rPr>
              <w:br/>
            </w:r>
            <w:r>
              <w:rPr>
                <w:rFonts w:eastAsia="Times New Roman" w:cs="Calibri"/>
                <w:color w:val="000000"/>
                <w:kern w:val="0"/>
                <w:sz w:val="16"/>
                <w:szCs w:val="16"/>
                <w:lang w:eastAsia="pl-PL"/>
                <w14:ligatures w14:val="none"/>
              </w:rPr>
              <w:t xml:space="preserve"> – </w:t>
            </w:r>
            <w:r w:rsidRPr="003416D6">
              <w:rPr>
                <w:rFonts w:eastAsia="Times New Roman" w:cs="Calibri"/>
                <w:color w:val="000000"/>
                <w:kern w:val="0"/>
                <w:sz w:val="16"/>
                <w:szCs w:val="16"/>
                <w:lang w:eastAsia="pl-PL"/>
                <w14:ligatures w14:val="none"/>
              </w:rPr>
              <w:t>https://pfr.pl/pfr-green-hub.html</w:t>
            </w:r>
            <w:r w:rsidRPr="003416D6">
              <w:rPr>
                <w:rFonts w:eastAsia="Times New Roman" w:cs="Calibri"/>
                <w:color w:val="000000"/>
                <w:kern w:val="0"/>
                <w:sz w:val="16"/>
                <w:szCs w:val="16"/>
                <w:lang w:eastAsia="pl-PL"/>
                <w14:ligatures w14:val="none"/>
              </w:rPr>
              <w:br/>
            </w:r>
            <w:r>
              <w:rPr>
                <w:rFonts w:eastAsia="Times New Roman" w:cs="Calibri"/>
                <w:color w:val="000000"/>
                <w:kern w:val="0"/>
                <w:sz w:val="16"/>
                <w:szCs w:val="16"/>
                <w:lang w:eastAsia="pl-PL"/>
                <w14:ligatures w14:val="none"/>
              </w:rPr>
              <w:t xml:space="preserve"> – </w:t>
            </w:r>
            <w:r w:rsidRPr="003416D6">
              <w:rPr>
                <w:rFonts w:eastAsia="Times New Roman" w:cs="Calibri"/>
                <w:color w:val="000000"/>
                <w:kern w:val="0"/>
                <w:sz w:val="16"/>
                <w:szCs w:val="16"/>
                <w:lang w:eastAsia="pl-PL"/>
                <w14:ligatures w14:val="none"/>
              </w:rPr>
              <w:t>https://pfrventures.pl/aktualnosci/pfr-</w:t>
            </w:r>
            <w:r w:rsidRPr="003416D6">
              <w:rPr>
                <w:rFonts w:eastAsia="Times New Roman" w:cs="Calibri"/>
                <w:color w:val="000000"/>
                <w:kern w:val="0"/>
                <w:sz w:val="16"/>
                <w:szCs w:val="16"/>
                <w:lang w:eastAsia="pl-PL"/>
                <w14:ligatures w14:val="none"/>
              </w:rPr>
              <w:lastRenderedPageBreak/>
              <w:t>ventures-inwestuje-okolo</w:t>
            </w:r>
            <w:r>
              <w:rPr>
                <w:rFonts w:eastAsia="Times New Roman" w:cs="Calibri"/>
                <w:color w:val="000000"/>
                <w:kern w:val="0"/>
                <w:sz w:val="16"/>
                <w:szCs w:val="16"/>
                <w:lang w:eastAsia="pl-PL"/>
                <w14:ligatures w14:val="none"/>
              </w:rPr>
              <w:t>–2</w:t>
            </w:r>
            <w:r w:rsidRPr="003416D6">
              <w:rPr>
                <w:rFonts w:eastAsia="Times New Roman" w:cs="Calibri"/>
                <w:color w:val="000000"/>
                <w:kern w:val="0"/>
                <w:sz w:val="16"/>
                <w:szCs w:val="16"/>
                <w:lang w:eastAsia="pl-PL"/>
                <w14:ligatures w14:val="none"/>
              </w:rPr>
              <w:t>50-mln-pln-w-4-zielone-fundusze.html</w:t>
            </w:r>
          </w:p>
        </w:tc>
      </w:tr>
      <w:tr w:rsidR="00781523" w:rsidRPr="00ED52BB" w14:paraId="36595594" w14:textId="77777777" w:rsidTr="00300186">
        <w:trPr>
          <w:trHeight w:val="1632"/>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44F268A7" w14:textId="1D06DA8B"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22A5A8CF"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Programy regionalne</w:t>
            </w:r>
          </w:p>
        </w:tc>
        <w:tc>
          <w:tcPr>
            <w:tcW w:w="1559" w:type="dxa"/>
            <w:tcBorders>
              <w:top w:val="single" w:sz="4" w:space="0" w:color="3A7C22" w:themeColor="accent6" w:themeShade="BF"/>
              <w:bottom w:val="single" w:sz="4" w:space="0" w:color="3A7C22" w:themeColor="accent6" w:themeShade="BF"/>
            </w:tcBorders>
            <w:hideMark/>
          </w:tcPr>
          <w:p w14:paraId="4849D462"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Różne sektory</w:t>
            </w:r>
          </w:p>
        </w:tc>
        <w:tc>
          <w:tcPr>
            <w:tcW w:w="1701" w:type="dxa"/>
            <w:tcBorders>
              <w:top w:val="single" w:sz="4" w:space="0" w:color="3A7C22" w:themeColor="accent6" w:themeShade="BF"/>
              <w:bottom w:val="single" w:sz="4" w:space="0" w:color="3A7C22" w:themeColor="accent6" w:themeShade="BF"/>
            </w:tcBorders>
            <w:hideMark/>
          </w:tcPr>
          <w:p w14:paraId="53657C82" w14:textId="0DE255FD" w:rsidR="00781523" w:rsidRPr="006844D3" w:rsidRDefault="0021295A"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8</w:t>
            </w:r>
            <w:r w:rsidRPr="006844D3">
              <w:rPr>
                <w:rFonts w:eastAsia="Times New Roman" w:cs="Calibri"/>
                <w:color w:val="000000"/>
                <w:kern w:val="0"/>
                <w:sz w:val="16"/>
                <w:szCs w:val="16"/>
                <w:lang w:eastAsia="pl-PL"/>
                <w14:ligatures w14:val="none"/>
              </w:rPr>
              <w:t xml:space="preserve"> </w:t>
            </w:r>
            <w:r w:rsidR="00781523" w:rsidRPr="006844D3">
              <w:rPr>
                <w:rFonts w:eastAsia="Times New Roman" w:cs="Calibri"/>
                <w:color w:val="000000"/>
                <w:kern w:val="0"/>
                <w:sz w:val="16"/>
                <w:szCs w:val="16"/>
                <w:lang w:eastAsia="pl-PL"/>
                <w14:ligatures w14:val="none"/>
              </w:rPr>
              <w:t>mld euro</w:t>
            </w:r>
          </w:p>
        </w:tc>
        <w:tc>
          <w:tcPr>
            <w:tcW w:w="1559" w:type="dxa"/>
            <w:tcBorders>
              <w:top w:val="single" w:sz="4" w:space="0" w:color="3A7C22" w:themeColor="accent6" w:themeShade="BF"/>
              <w:bottom w:val="single" w:sz="4" w:space="0" w:color="3A7C22" w:themeColor="accent6" w:themeShade="BF"/>
            </w:tcBorders>
            <w:hideMark/>
          </w:tcPr>
          <w:p w14:paraId="776656F2" w14:textId="4E08EFCC"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2021</w:t>
            </w:r>
            <w:r>
              <w:rPr>
                <w:rFonts w:eastAsia="Times New Roman" w:cs="Calibri"/>
                <w:color w:val="000000"/>
                <w:kern w:val="0"/>
                <w:sz w:val="16"/>
                <w:szCs w:val="16"/>
                <w:lang w:eastAsia="pl-PL"/>
                <w14:ligatures w14:val="none"/>
              </w:rPr>
              <w:t>–2</w:t>
            </w:r>
            <w:r w:rsidRPr="006844D3">
              <w:rPr>
                <w:rFonts w:eastAsia="Times New Roman" w:cs="Calibri"/>
                <w:color w:val="000000"/>
                <w:kern w:val="0"/>
                <w:sz w:val="16"/>
                <w:szCs w:val="16"/>
                <w:lang w:eastAsia="pl-PL"/>
                <w14:ligatures w14:val="none"/>
              </w:rPr>
              <w:t>027</w:t>
            </w:r>
          </w:p>
        </w:tc>
        <w:tc>
          <w:tcPr>
            <w:tcW w:w="1281" w:type="dxa"/>
            <w:tcBorders>
              <w:top w:val="single" w:sz="4" w:space="0" w:color="3A7C22" w:themeColor="accent6" w:themeShade="BF"/>
              <w:bottom w:val="single" w:sz="4" w:space="0" w:color="3A7C22" w:themeColor="accent6" w:themeShade="BF"/>
            </w:tcBorders>
            <w:hideMark/>
          </w:tcPr>
          <w:p w14:paraId="2C228C4F"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Europejski Fundusz Rozwoju Regionalnego i Fundusz na rzecz Sprawiedliwej Transformacji</w:t>
            </w:r>
          </w:p>
        </w:tc>
        <w:tc>
          <w:tcPr>
            <w:tcW w:w="1186" w:type="dxa"/>
            <w:tcBorders>
              <w:top w:val="single" w:sz="4" w:space="0" w:color="3A7C22" w:themeColor="accent6" w:themeShade="BF"/>
              <w:bottom w:val="single" w:sz="4" w:space="0" w:color="3A7C22" w:themeColor="accent6" w:themeShade="BF"/>
            </w:tcBorders>
            <w:hideMark/>
          </w:tcPr>
          <w:p w14:paraId="446D790F"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Inwestycyjne</w:t>
            </w:r>
          </w:p>
        </w:tc>
        <w:tc>
          <w:tcPr>
            <w:tcW w:w="1413" w:type="dxa"/>
            <w:tcBorders>
              <w:top w:val="single" w:sz="4" w:space="0" w:color="3A7C22" w:themeColor="accent6" w:themeShade="BF"/>
              <w:bottom w:val="single" w:sz="4" w:space="0" w:color="3A7C22" w:themeColor="accent6" w:themeShade="BF"/>
            </w:tcBorders>
            <w:hideMark/>
          </w:tcPr>
          <w:p w14:paraId="36C9FD6E"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Marszałkowie Województw</w:t>
            </w:r>
          </w:p>
        </w:tc>
        <w:tc>
          <w:tcPr>
            <w:tcW w:w="3548" w:type="dxa"/>
            <w:tcBorders>
              <w:top w:val="single" w:sz="4" w:space="0" w:color="3A7C22" w:themeColor="accent6" w:themeShade="BF"/>
              <w:bottom w:val="single" w:sz="4" w:space="0" w:color="3A7C22" w:themeColor="accent6" w:themeShade="BF"/>
            </w:tcBorders>
            <w:hideMark/>
          </w:tcPr>
          <w:p w14:paraId="7E0C3BA6" w14:textId="295F9656" w:rsidR="00781523" w:rsidRPr="00F84C85" w:rsidRDefault="00993E16"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BD689B">
              <w:rPr>
                <w:rFonts w:eastAsia="Times New Roman" w:cs="Calibri"/>
                <w:color w:val="000000"/>
                <w:kern w:val="0"/>
                <w:sz w:val="16"/>
                <w:szCs w:val="16"/>
                <w:lang w:eastAsia="pl-PL"/>
                <w14:ligatures w14:val="none"/>
              </w:rPr>
              <w:t>Programy regionalne 2021</w:t>
            </w:r>
            <w:r>
              <w:rPr>
                <w:rFonts w:eastAsia="Times New Roman" w:cs="Calibri"/>
                <w:color w:val="000000"/>
                <w:kern w:val="0"/>
                <w:sz w:val="16"/>
                <w:szCs w:val="16"/>
                <w:lang w:eastAsia="pl-PL"/>
                <w14:ligatures w14:val="none"/>
              </w:rPr>
              <w:t>–2</w:t>
            </w:r>
            <w:r w:rsidRPr="00BD689B">
              <w:rPr>
                <w:rFonts w:eastAsia="Times New Roman" w:cs="Calibri"/>
                <w:color w:val="000000"/>
                <w:kern w:val="0"/>
                <w:sz w:val="16"/>
                <w:szCs w:val="16"/>
                <w:lang w:eastAsia="pl-PL"/>
                <w14:ligatures w14:val="none"/>
              </w:rPr>
              <w:t xml:space="preserve">027 znajdują się </w:t>
            </w:r>
            <w:r w:rsidR="00ED2351" w:rsidRPr="00BD689B">
              <w:rPr>
                <w:rFonts w:eastAsia="Times New Roman" w:cs="Calibri"/>
                <w:color w:val="000000"/>
                <w:kern w:val="0"/>
                <w:sz w:val="16"/>
                <w:szCs w:val="16"/>
                <w:lang w:eastAsia="pl-PL"/>
                <w14:ligatures w14:val="none"/>
              </w:rPr>
              <w:t>w</w:t>
            </w:r>
            <w:r w:rsidR="00DD4040">
              <w:rPr>
                <w:rFonts w:eastAsia="Times New Roman" w:cs="Calibri"/>
                <w:color w:val="000000"/>
                <w:kern w:val="0"/>
                <w:sz w:val="16"/>
                <w:szCs w:val="16"/>
                <w:lang w:eastAsia="pl-PL"/>
                <w14:ligatures w14:val="none"/>
              </w:rPr>
              <w:t xml:space="preserve"> początkowej </w:t>
            </w:r>
            <w:r w:rsidRPr="00BD689B">
              <w:rPr>
                <w:rFonts w:eastAsia="Times New Roman" w:cs="Calibri"/>
                <w:color w:val="000000"/>
                <w:kern w:val="0"/>
                <w:sz w:val="16"/>
                <w:szCs w:val="16"/>
                <w:lang w:eastAsia="pl-PL"/>
                <w14:ligatures w14:val="none"/>
              </w:rPr>
              <w:t>fazie wdrażania, tj. Instytucje Zarządzające opracowują szczegółową dokumentację konkursową oraz kryteria wyboru projektów i nie we wszystkich obszarach interwencji rozstrzygnięte zostały nabory i podpisane umowy. W związku z powyższym na ten moment nie dysponujemy jeszcze pełnymi kwotami przeznaczonymi na energetykę w poszczególnych województwach. Informacją finansową, jaka obecnie jest dostępna, są alokacje na Cel Polityki 2, cel szczegółowy i oraz ii, jakie zostały zaprogramowane w programach regionalnych 2021</w:t>
            </w:r>
            <w:r>
              <w:rPr>
                <w:rFonts w:eastAsia="Times New Roman" w:cs="Calibri"/>
                <w:color w:val="000000"/>
                <w:kern w:val="0"/>
                <w:sz w:val="16"/>
                <w:szCs w:val="16"/>
                <w:lang w:eastAsia="pl-PL"/>
                <w14:ligatures w14:val="none"/>
              </w:rPr>
              <w:t>–2</w:t>
            </w:r>
            <w:r w:rsidRPr="00BD689B">
              <w:rPr>
                <w:rFonts w:eastAsia="Times New Roman" w:cs="Calibri"/>
                <w:color w:val="000000"/>
                <w:kern w:val="0"/>
                <w:sz w:val="16"/>
                <w:szCs w:val="16"/>
                <w:lang w:eastAsia="pl-PL"/>
                <w14:ligatures w14:val="none"/>
              </w:rPr>
              <w:t>027, które zatwierdziła Komisja europejska w grudniu 2022 r.</w:t>
            </w:r>
          </w:p>
        </w:tc>
      </w:tr>
      <w:tr w:rsidR="00801275" w:rsidRPr="00ED52BB" w14:paraId="782C76A7" w14:textId="77777777" w:rsidTr="00300186">
        <w:trPr>
          <w:cnfStyle w:val="000000100000" w:firstRow="0" w:lastRow="0" w:firstColumn="0" w:lastColumn="0" w:oddVBand="0" w:evenVBand="0" w:oddHBand="1" w:evenHBand="0" w:firstRowFirstColumn="0" w:firstRowLastColumn="0" w:lastRowFirstColumn="0" w:lastRowLastColumn="0"/>
          <w:trHeight w:val="3060"/>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1C34D56D" w14:textId="2AFAC01E"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31EC7517" w14:textId="58DD4A2F"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Fundusze</w:t>
            </w:r>
            <w:r w:rsidRPr="006844D3">
              <w:rPr>
                <w:rFonts w:eastAsia="Times New Roman" w:cs="Calibri"/>
                <w:color w:val="000000"/>
                <w:kern w:val="0"/>
                <w:sz w:val="16"/>
                <w:szCs w:val="16"/>
                <w:lang w:eastAsia="pl-PL"/>
                <w14:ligatures w14:val="none"/>
              </w:rPr>
              <w:br/>
              <w:t>europejskie dla Polski Wschodniej 2021</w:t>
            </w:r>
            <w:r>
              <w:rPr>
                <w:rFonts w:eastAsia="Times New Roman" w:cs="Calibri"/>
                <w:color w:val="000000"/>
                <w:kern w:val="0"/>
                <w:sz w:val="16"/>
                <w:szCs w:val="16"/>
                <w:lang w:eastAsia="pl-PL"/>
                <w14:ligatures w14:val="none"/>
              </w:rPr>
              <w:t>–2</w:t>
            </w:r>
            <w:r w:rsidRPr="006844D3">
              <w:rPr>
                <w:rFonts w:eastAsia="Times New Roman" w:cs="Calibri"/>
                <w:color w:val="000000"/>
                <w:kern w:val="0"/>
                <w:sz w:val="16"/>
                <w:szCs w:val="16"/>
                <w:lang w:eastAsia="pl-PL"/>
                <w14:ligatures w14:val="none"/>
              </w:rPr>
              <w:t>027</w:t>
            </w:r>
          </w:p>
        </w:tc>
        <w:tc>
          <w:tcPr>
            <w:tcW w:w="1559" w:type="dxa"/>
            <w:tcBorders>
              <w:top w:val="single" w:sz="4" w:space="0" w:color="3A7C22" w:themeColor="accent6" w:themeShade="BF"/>
            </w:tcBorders>
            <w:hideMark/>
          </w:tcPr>
          <w:p w14:paraId="5754B990" w14:textId="46BF3BBE"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Różne sektory</w:t>
            </w:r>
          </w:p>
        </w:tc>
        <w:tc>
          <w:tcPr>
            <w:tcW w:w="1701" w:type="dxa"/>
            <w:tcBorders>
              <w:top w:val="single" w:sz="4" w:space="0" w:color="3A7C22" w:themeColor="accent6" w:themeShade="BF"/>
            </w:tcBorders>
            <w:hideMark/>
          </w:tcPr>
          <w:p w14:paraId="2CF3F113" w14:textId="5389DFAD" w:rsidR="0078152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2,65</w:t>
            </w:r>
            <w:r w:rsidRPr="006844D3">
              <w:rPr>
                <w:rFonts w:eastAsia="Times New Roman" w:cs="Calibri"/>
                <w:color w:val="000000"/>
                <w:kern w:val="0"/>
                <w:sz w:val="16"/>
                <w:szCs w:val="16"/>
                <w:lang w:eastAsia="pl-PL"/>
                <w14:ligatures w14:val="none"/>
              </w:rPr>
              <w:t xml:space="preserve"> mld </w:t>
            </w:r>
            <w:r>
              <w:rPr>
                <w:rFonts w:eastAsia="Times New Roman" w:cs="Calibri"/>
                <w:color w:val="000000"/>
                <w:kern w:val="0"/>
                <w:sz w:val="16"/>
                <w:szCs w:val="16"/>
                <w:lang w:eastAsia="pl-PL"/>
                <w14:ligatures w14:val="none"/>
              </w:rPr>
              <w:t xml:space="preserve">euro ze środków UE. </w:t>
            </w:r>
            <w:r w:rsidRPr="003416D6">
              <w:rPr>
                <w:rFonts w:eastAsia="Times New Roman" w:cs="Calibri"/>
                <w:color w:val="000000"/>
                <w:kern w:val="0"/>
                <w:sz w:val="16"/>
                <w:szCs w:val="16"/>
                <w:lang w:eastAsia="pl-PL"/>
                <w14:ligatures w14:val="none"/>
              </w:rPr>
              <w:t>Podział środków pomiędzy poszczególne obszary wsparcia</w:t>
            </w:r>
            <w:r>
              <w:rPr>
                <w:rFonts w:eastAsia="Times New Roman" w:cs="Calibri"/>
                <w:color w:val="000000"/>
                <w:kern w:val="0"/>
                <w:sz w:val="16"/>
                <w:szCs w:val="16"/>
                <w:lang w:eastAsia="pl-PL"/>
                <w14:ligatures w14:val="none"/>
              </w:rPr>
              <w:t>:</w:t>
            </w:r>
          </w:p>
          <w:p w14:paraId="3C960F08" w14:textId="76D1364F" w:rsidR="00781523" w:rsidRPr="007B1F45"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p</w:t>
            </w:r>
            <w:r w:rsidRPr="007B1F45">
              <w:rPr>
                <w:rFonts w:eastAsia="Times New Roman" w:cs="Calibri"/>
                <w:color w:val="000000"/>
                <w:kern w:val="0"/>
                <w:sz w:val="16"/>
                <w:szCs w:val="16"/>
                <w:lang w:eastAsia="pl-PL"/>
                <w14:ligatures w14:val="none"/>
              </w:rPr>
              <w:t xml:space="preserve">rzedsiębiorczość i </w:t>
            </w:r>
            <w:r>
              <w:rPr>
                <w:rFonts w:eastAsia="Times New Roman" w:cs="Calibri"/>
                <w:color w:val="000000"/>
                <w:kern w:val="0"/>
                <w:sz w:val="16"/>
                <w:szCs w:val="16"/>
                <w:lang w:eastAsia="pl-PL"/>
                <w14:ligatures w14:val="none"/>
              </w:rPr>
              <w:t>i</w:t>
            </w:r>
            <w:r w:rsidRPr="007B1F45">
              <w:rPr>
                <w:rFonts w:eastAsia="Times New Roman" w:cs="Calibri"/>
                <w:color w:val="000000"/>
                <w:kern w:val="0"/>
                <w:sz w:val="16"/>
                <w:szCs w:val="16"/>
                <w:lang w:eastAsia="pl-PL"/>
                <w14:ligatures w14:val="none"/>
              </w:rPr>
              <w:t>nnowacj</w:t>
            </w:r>
            <w:r>
              <w:rPr>
                <w:rFonts w:eastAsia="Times New Roman" w:cs="Calibri"/>
                <w:color w:val="000000"/>
                <w:kern w:val="0"/>
                <w:sz w:val="16"/>
                <w:szCs w:val="16"/>
                <w:lang w:eastAsia="pl-PL"/>
                <w14:ligatures w14:val="none"/>
              </w:rPr>
              <w:t xml:space="preserve">e – </w:t>
            </w:r>
            <w:r w:rsidRPr="007B1F45">
              <w:rPr>
                <w:rFonts w:eastAsia="Times New Roman" w:cs="Calibri"/>
                <w:color w:val="000000"/>
                <w:kern w:val="0"/>
                <w:sz w:val="16"/>
                <w:szCs w:val="16"/>
                <w:lang w:eastAsia="pl-PL"/>
                <w14:ligatures w14:val="none"/>
              </w:rPr>
              <w:t>500 mln euro</w:t>
            </w:r>
          </w:p>
          <w:p w14:paraId="63CB73FB" w14:textId="2CF22A0B" w:rsidR="00781523" w:rsidRPr="007B1F45"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e</w:t>
            </w:r>
            <w:r w:rsidRPr="007B1F45">
              <w:rPr>
                <w:rFonts w:eastAsia="Times New Roman" w:cs="Calibri"/>
                <w:color w:val="000000"/>
                <w:kern w:val="0"/>
                <w:sz w:val="16"/>
                <w:szCs w:val="16"/>
                <w:lang w:eastAsia="pl-PL"/>
                <w14:ligatures w14:val="none"/>
              </w:rPr>
              <w:t>nergia i klimat</w:t>
            </w:r>
            <w:r>
              <w:rPr>
                <w:rFonts w:eastAsia="Times New Roman" w:cs="Calibri"/>
                <w:color w:val="000000"/>
                <w:kern w:val="0"/>
                <w:sz w:val="16"/>
                <w:szCs w:val="16"/>
                <w:lang w:eastAsia="pl-PL"/>
                <w14:ligatures w14:val="none"/>
              </w:rPr>
              <w:t xml:space="preserve"> – </w:t>
            </w:r>
            <w:r w:rsidRPr="007B1F45">
              <w:rPr>
                <w:rFonts w:eastAsia="Times New Roman" w:cs="Calibri"/>
                <w:color w:val="000000"/>
                <w:kern w:val="0"/>
                <w:sz w:val="16"/>
                <w:szCs w:val="16"/>
                <w:lang w:eastAsia="pl-PL"/>
                <w14:ligatures w14:val="none"/>
              </w:rPr>
              <w:t>430 mln euro</w:t>
            </w:r>
          </w:p>
          <w:p w14:paraId="0F2D485E" w14:textId="7B624F19" w:rsidR="00781523" w:rsidRPr="007B1F45"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z</w:t>
            </w:r>
            <w:r w:rsidRPr="007B1F45">
              <w:rPr>
                <w:rFonts w:eastAsia="Times New Roman" w:cs="Calibri"/>
                <w:color w:val="000000"/>
                <w:kern w:val="0"/>
                <w:sz w:val="16"/>
                <w:szCs w:val="16"/>
                <w:lang w:eastAsia="pl-PL"/>
                <w14:ligatures w14:val="none"/>
              </w:rPr>
              <w:t>równoważona mobilność miejska</w:t>
            </w:r>
            <w:r>
              <w:rPr>
                <w:rFonts w:eastAsia="Times New Roman" w:cs="Calibri"/>
                <w:color w:val="000000"/>
                <w:kern w:val="0"/>
                <w:sz w:val="16"/>
                <w:szCs w:val="16"/>
                <w:lang w:eastAsia="pl-PL"/>
                <w14:ligatures w14:val="none"/>
              </w:rPr>
              <w:t xml:space="preserve"> – </w:t>
            </w:r>
            <w:r w:rsidRPr="007B1F45">
              <w:rPr>
                <w:rFonts w:eastAsia="Times New Roman" w:cs="Calibri"/>
                <w:color w:val="000000"/>
                <w:kern w:val="0"/>
                <w:sz w:val="16"/>
                <w:szCs w:val="16"/>
                <w:lang w:eastAsia="pl-PL"/>
                <w14:ligatures w14:val="none"/>
              </w:rPr>
              <w:t>420 mln euro</w:t>
            </w:r>
          </w:p>
          <w:p w14:paraId="573DEC01" w14:textId="50B41B95" w:rsidR="00781523" w:rsidRPr="007B1F45"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s</w:t>
            </w:r>
            <w:r w:rsidRPr="007B1F45">
              <w:rPr>
                <w:rFonts w:eastAsia="Times New Roman" w:cs="Calibri"/>
                <w:color w:val="000000"/>
                <w:kern w:val="0"/>
                <w:sz w:val="16"/>
                <w:szCs w:val="16"/>
                <w:lang w:eastAsia="pl-PL"/>
                <w14:ligatures w14:val="none"/>
              </w:rPr>
              <w:t>pójna sieć transportowa</w:t>
            </w:r>
            <w:r>
              <w:rPr>
                <w:rFonts w:eastAsia="Times New Roman" w:cs="Calibri"/>
                <w:color w:val="000000"/>
                <w:kern w:val="0"/>
                <w:sz w:val="16"/>
                <w:szCs w:val="16"/>
                <w:lang w:eastAsia="pl-PL"/>
                <w14:ligatures w14:val="none"/>
              </w:rPr>
              <w:t xml:space="preserve"> – </w:t>
            </w:r>
            <w:r w:rsidRPr="007B1F45">
              <w:rPr>
                <w:rFonts w:eastAsia="Times New Roman" w:cs="Calibri"/>
                <w:color w:val="000000"/>
                <w:kern w:val="0"/>
                <w:sz w:val="16"/>
                <w:szCs w:val="16"/>
                <w:lang w:eastAsia="pl-PL"/>
                <w14:ligatures w14:val="none"/>
              </w:rPr>
              <w:t>1,1 mld euro</w:t>
            </w:r>
          </w:p>
          <w:p w14:paraId="7D93C27E" w14:textId="28AF36E6" w:rsidR="00781523" w:rsidRPr="007B1F45"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z</w:t>
            </w:r>
            <w:r w:rsidRPr="007B1F45">
              <w:rPr>
                <w:rFonts w:eastAsia="Times New Roman" w:cs="Calibri"/>
                <w:color w:val="000000"/>
                <w:kern w:val="0"/>
                <w:sz w:val="16"/>
                <w:szCs w:val="16"/>
                <w:lang w:eastAsia="pl-PL"/>
                <w14:ligatures w14:val="none"/>
              </w:rPr>
              <w:t>równoważona turystyka</w:t>
            </w:r>
            <w:r>
              <w:rPr>
                <w:rFonts w:eastAsia="Times New Roman" w:cs="Calibri"/>
                <w:color w:val="000000"/>
                <w:kern w:val="0"/>
                <w:sz w:val="16"/>
                <w:szCs w:val="16"/>
                <w:lang w:eastAsia="pl-PL"/>
                <w14:ligatures w14:val="none"/>
              </w:rPr>
              <w:t xml:space="preserve"> – </w:t>
            </w:r>
            <w:r w:rsidRPr="007B1F45">
              <w:rPr>
                <w:rFonts w:eastAsia="Times New Roman" w:cs="Calibri"/>
                <w:color w:val="000000"/>
                <w:kern w:val="0"/>
                <w:sz w:val="16"/>
                <w:szCs w:val="16"/>
                <w:lang w:eastAsia="pl-PL"/>
                <w14:ligatures w14:val="none"/>
              </w:rPr>
              <w:t>140 mln euro</w:t>
            </w:r>
          </w:p>
          <w:p w14:paraId="28995DB3" w14:textId="153544B9" w:rsidR="00781523" w:rsidRPr="007B1F45"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p</w:t>
            </w:r>
            <w:r w:rsidRPr="007B1F45">
              <w:rPr>
                <w:rFonts w:eastAsia="Times New Roman" w:cs="Calibri"/>
                <w:color w:val="000000"/>
                <w:kern w:val="0"/>
                <w:sz w:val="16"/>
                <w:szCs w:val="16"/>
                <w:lang w:eastAsia="pl-PL"/>
                <w14:ligatures w14:val="none"/>
              </w:rPr>
              <w:t>omoc techniczna</w:t>
            </w:r>
            <w:r>
              <w:rPr>
                <w:rFonts w:eastAsia="Times New Roman" w:cs="Calibri"/>
                <w:color w:val="000000"/>
                <w:kern w:val="0"/>
                <w:sz w:val="16"/>
                <w:szCs w:val="16"/>
                <w:lang w:eastAsia="pl-PL"/>
                <w14:ligatures w14:val="none"/>
              </w:rPr>
              <w:t xml:space="preserve"> – </w:t>
            </w:r>
            <w:r w:rsidRPr="007B1F45">
              <w:rPr>
                <w:rFonts w:eastAsia="Times New Roman" w:cs="Calibri"/>
                <w:color w:val="000000"/>
                <w:kern w:val="0"/>
                <w:sz w:val="16"/>
                <w:szCs w:val="16"/>
                <w:lang w:eastAsia="pl-PL"/>
                <w14:ligatures w14:val="none"/>
              </w:rPr>
              <w:t>40 mln euro</w:t>
            </w:r>
          </w:p>
          <w:p w14:paraId="685FAAB8" w14:textId="72C641F1"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p>
        </w:tc>
        <w:tc>
          <w:tcPr>
            <w:tcW w:w="1559" w:type="dxa"/>
            <w:tcBorders>
              <w:top w:val="single" w:sz="4" w:space="0" w:color="3A7C22" w:themeColor="accent6" w:themeShade="BF"/>
            </w:tcBorders>
            <w:hideMark/>
          </w:tcPr>
          <w:p w14:paraId="392533C7" w14:textId="43CD6C36"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2021</w:t>
            </w:r>
            <w:r>
              <w:rPr>
                <w:rFonts w:eastAsia="Times New Roman" w:cs="Calibri"/>
                <w:color w:val="000000"/>
                <w:kern w:val="0"/>
                <w:sz w:val="16"/>
                <w:szCs w:val="16"/>
                <w:lang w:eastAsia="pl-PL"/>
                <w14:ligatures w14:val="none"/>
              </w:rPr>
              <w:t>–2</w:t>
            </w:r>
            <w:r w:rsidRPr="006844D3">
              <w:rPr>
                <w:rFonts w:eastAsia="Times New Roman" w:cs="Calibri"/>
                <w:color w:val="000000"/>
                <w:kern w:val="0"/>
                <w:sz w:val="16"/>
                <w:szCs w:val="16"/>
                <w:lang w:eastAsia="pl-PL"/>
                <w14:ligatures w14:val="none"/>
              </w:rPr>
              <w:t>0</w:t>
            </w:r>
            <w:r>
              <w:rPr>
                <w:rFonts w:eastAsia="Times New Roman" w:cs="Calibri"/>
                <w:color w:val="000000"/>
                <w:kern w:val="0"/>
                <w:sz w:val="16"/>
                <w:szCs w:val="16"/>
                <w:lang w:eastAsia="pl-PL"/>
                <w14:ligatures w14:val="none"/>
              </w:rPr>
              <w:t>29</w:t>
            </w:r>
          </w:p>
        </w:tc>
        <w:tc>
          <w:tcPr>
            <w:tcW w:w="1281" w:type="dxa"/>
            <w:tcBorders>
              <w:top w:val="single" w:sz="4" w:space="0" w:color="3A7C22" w:themeColor="accent6" w:themeShade="BF"/>
            </w:tcBorders>
            <w:hideMark/>
          </w:tcPr>
          <w:p w14:paraId="63403873"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Europejski Fundusz Rozwoju Regionalnego</w:t>
            </w:r>
          </w:p>
        </w:tc>
        <w:tc>
          <w:tcPr>
            <w:tcW w:w="1186" w:type="dxa"/>
            <w:tcBorders>
              <w:top w:val="single" w:sz="4" w:space="0" w:color="3A7C22" w:themeColor="accent6" w:themeShade="BF"/>
            </w:tcBorders>
            <w:hideMark/>
          </w:tcPr>
          <w:p w14:paraId="31C287D8"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Inwestycyjne</w:t>
            </w:r>
          </w:p>
        </w:tc>
        <w:tc>
          <w:tcPr>
            <w:tcW w:w="1413" w:type="dxa"/>
            <w:tcBorders>
              <w:top w:val="single" w:sz="4" w:space="0" w:color="3A7C22" w:themeColor="accent6" w:themeShade="BF"/>
            </w:tcBorders>
            <w:hideMark/>
          </w:tcPr>
          <w:p w14:paraId="0EE22ACF" w14:textId="251846A8" w:rsidR="00781523" w:rsidRPr="00706AA0"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3416D6">
              <w:rPr>
                <w:rFonts w:eastAsia="Times New Roman" w:cs="Calibri"/>
                <w:color w:val="000000"/>
                <w:kern w:val="0"/>
                <w:sz w:val="16"/>
                <w:szCs w:val="16"/>
                <w:lang w:eastAsia="pl-PL"/>
                <w14:ligatures w14:val="none"/>
              </w:rPr>
              <w:t>Ministerstwo Funduszy i Polityki Regionalnej/</w:t>
            </w:r>
            <w:r>
              <w:rPr>
                <w:rFonts w:eastAsia="Times New Roman" w:cs="Calibri"/>
                <w:color w:val="000000"/>
                <w:kern w:val="0"/>
                <w:sz w:val="16"/>
                <w:szCs w:val="16"/>
                <w:lang w:eastAsia="pl-PL"/>
                <w14:ligatures w14:val="none"/>
              </w:rPr>
              <w:t xml:space="preserve">Instytucje Pośredniczące (w tym </w:t>
            </w:r>
            <w:r w:rsidRPr="003416D6">
              <w:rPr>
                <w:rFonts w:eastAsia="Times New Roman" w:cs="Calibri"/>
                <w:color w:val="000000"/>
                <w:kern w:val="0"/>
                <w:sz w:val="16"/>
                <w:szCs w:val="16"/>
                <w:lang w:eastAsia="pl-PL"/>
                <w14:ligatures w14:val="none"/>
              </w:rPr>
              <w:t>Ministerstwo Klimatu i Środowiska</w:t>
            </w:r>
            <w:r>
              <w:rPr>
                <w:rFonts w:eastAsia="Times New Roman" w:cs="Calibri"/>
                <w:color w:val="000000"/>
                <w:kern w:val="0"/>
                <w:sz w:val="16"/>
                <w:szCs w:val="16"/>
                <w:lang w:eastAsia="pl-PL"/>
                <w14:ligatures w14:val="none"/>
              </w:rPr>
              <w:t>)</w:t>
            </w:r>
            <w:r w:rsidRPr="003416D6">
              <w:rPr>
                <w:rFonts w:eastAsia="Times New Roman" w:cs="Calibri"/>
                <w:color w:val="000000"/>
                <w:kern w:val="0"/>
                <w:sz w:val="16"/>
                <w:szCs w:val="16"/>
                <w:lang w:eastAsia="pl-PL"/>
                <w14:ligatures w14:val="none"/>
              </w:rPr>
              <w:t>/Instytucje Wdrażające</w:t>
            </w:r>
          </w:p>
        </w:tc>
        <w:tc>
          <w:tcPr>
            <w:tcW w:w="3548" w:type="dxa"/>
            <w:tcBorders>
              <w:top w:val="single" w:sz="4" w:space="0" w:color="3A7C22" w:themeColor="accent6" w:themeShade="BF"/>
            </w:tcBorders>
            <w:hideMark/>
          </w:tcPr>
          <w:p w14:paraId="3137B971" w14:textId="3FF827AF" w:rsidR="0078152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87F49">
              <w:rPr>
                <w:rFonts w:eastAsia="Times New Roman" w:cs="Calibri"/>
                <w:color w:val="000000"/>
                <w:kern w:val="0"/>
                <w:sz w:val="16"/>
                <w:szCs w:val="16"/>
                <w:lang w:eastAsia="pl-PL"/>
                <w14:ligatures w14:val="none"/>
              </w:rPr>
              <w:t xml:space="preserve">Z Programu dofinansowywane będą projekty nastawione na </w:t>
            </w:r>
            <w:r>
              <w:rPr>
                <w:rFonts w:eastAsia="Times New Roman" w:cs="Calibri"/>
                <w:color w:val="000000"/>
                <w:kern w:val="0"/>
                <w:sz w:val="16"/>
                <w:szCs w:val="16"/>
                <w:lang w:eastAsia="pl-PL"/>
                <w14:ligatures w14:val="none"/>
              </w:rPr>
              <w:t>rozwój przedsiębiorczości</w:t>
            </w:r>
            <w:r w:rsidRPr="00187F49">
              <w:rPr>
                <w:rFonts w:eastAsia="Times New Roman" w:cs="Calibri"/>
                <w:color w:val="000000"/>
                <w:kern w:val="0"/>
                <w:sz w:val="16"/>
                <w:szCs w:val="16"/>
                <w:lang w:eastAsia="pl-PL"/>
                <w14:ligatures w14:val="none"/>
              </w:rPr>
              <w:t>, adaptację miast do zmian klimatu, rozwój niskoemisyjnej mobilności miejskiej, ochronę bioróżnorodności, rozwój inteligentnych sieci dystrybucji energii, zwiększenie dostępności kolejowej i drogowej oraz rozwój zrównoważonej turystyki</w:t>
            </w:r>
            <w:r>
              <w:rPr>
                <w:rFonts w:eastAsia="Times New Roman" w:cs="Calibri"/>
                <w:color w:val="000000"/>
                <w:kern w:val="0"/>
                <w:sz w:val="16"/>
                <w:szCs w:val="16"/>
                <w:lang w:eastAsia="pl-PL"/>
                <w14:ligatures w14:val="none"/>
              </w:rPr>
              <w:t xml:space="preserve">. </w:t>
            </w:r>
          </w:p>
          <w:p w14:paraId="2F0BD0C1" w14:textId="77777777" w:rsidR="0078152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p>
          <w:p w14:paraId="616D73F9" w14:textId="3109B28C" w:rsidR="00781523" w:rsidRPr="001E5B2E"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xml:space="preserve">Wsparcie w sektorze energetyki dotyczy działania 02.01 – </w:t>
            </w:r>
            <w:r w:rsidRPr="001E5B2E">
              <w:rPr>
                <w:rFonts w:eastAsia="Times New Roman" w:cs="Calibri"/>
                <w:color w:val="000000"/>
                <w:kern w:val="0"/>
                <w:sz w:val="16"/>
                <w:szCs w:val="16"/>
                <w:lang w:eastAsia="pl-PL"/>
                <w14:ligatures w14:val="none"/>
              </w:rPr>
              <w:t>Rozwój inteligentnych systemów i sieci energetycznych oraz systemów magazynowania</w:t>
            </w:r>
          </w:p>
          <w:p w14:paraId="1525DD9D" w14:textId="77777777" w:rsidR="0078152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E5B2E">
              <w:rPr>
                <w:rFonts w:eastAsia="Times New Roman" w:cs="Calibri"/>
                <w:color w:val="000000"/>
                <w:kern w:val="0"/>
                <w:sz w:val="16"/>
                <w:szCs w:val="16"/>
                <w:lang w:eastAsia="pl-PL"/>
                <w14:ligatures w14:val="none"/>
              </w:rPr>
              <w:t>energii poza transeuropejską siecią energetyczną (TEN-E)</w:t>
            </w:r>
          </w:p>
          <w:p w14:paraId="159109AA" w14:textId="68D6D7E8" w:rsidR="00781523" w:rsidRPr="006844D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br/>
              <w:t>www.fepw.gov.pl</w:t>
            </w:r>
          </w:p>
        </w:tc>
      </w:tr>
      <w:tr w:rsidR="00EC3492" w:rsidRPr="00ED52BB" w14:paraId="301F829B" w14:textId="77777777" w:rsidTr="00300186">
        <w:trPr>
          <w:trHeight w:val="2244"/>
        </w:trPr>
        <w:tc>
          <w:tcPr>
            <w:cnfStyle w:val="001000000000" w:firstRow="0" w:lastRow="0" w:firstColumn="1" w:lastColumn="0" w:oddVBand="0" w:evenVBand="0" w:oddHBand="0" w:evenHBand="0" w:firstRowFirstColumn="0" w:firstRowLastColumn="0" w:lastRowFirstColumn="0" w:lastRowLastColumn="0"/>
            <w:tcW w:w="454" w:type="dxa"/>
            <w:tcBorders>
              <w:bottom w:val="single" w:sz="4" w:space="0" w:color="3A7C22" w:themeColor="accent6" w:themeShade="BF"/>
            </w:tcBorders>
            <w:noWrap/>
          </w:tcPr>
          <w:p w14:paraId="5CD0D1D6" w14:textId="70A90C86"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bottom w:val="single" w:sz="4" w:space="0" w:color="3A7C22" w:themeColor="accent6" w:themeShade="BF"/>
            </w:tcBorders>
            <w:hideMark/>
          </w:tcPr>
          <w:p w14:paraId="520EF19B" w14:textId="04C5475B"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Plan Strategiczny WPR 2023</w:t>
            </w:r>
            <w:r>
              <w:rPr>
                <w:rFonts w:eastAsia="Times New Roman" w:cs="Calibri"/>
                <w:color w:val="000000"/>
                <w:kern w:val="0"/>
                <w:sz w:val="16"/>
                <w:szCs w:val="16"/>
                <w:lang w:eastAsia="pl-PL"/>
                <w14:ligatures w14:val="none"/>
              </w:rPr>
              <w:t>–2</w:t>
            </w:r>
            <w:r w:rsidRPr="006844D3">
              <w:rPr>
                <w:rFonts w:eastAsia="Times New Roman" w:cs="Calibri"/>
                <w:color w:val="000000"/>
                <w:kern w:val="0"/>
                <w:sz w:val="16"/>
                <w:szCs w:val="16"/>
                <w:lang w:eastAsia="pl-PL"/>
                <w14:ligatures w14:val="none"/>
              </w:rPr>
              <w:t>027</w:t>
            </w:r>
          </w:p>
        </w:tc>
        <w:tc>
          <w:tcPr>
            <w:tcW w:w="1559" w:type="dxa"/>
            <w:tcBorders>
              <w:bottom w:val="single" w:sz="4" w:space="0" w:color="3A7C22" w:themeColor="accent6" w:themeShade="BF"/>
            </w:tcBorders>
            <w:hideMark/>
          </w:tcPr>
          <w:p w14:paraId="2257B29C"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Rolnictwo/Elektroenergetyka</w:t>
            </w:r>
          </w:p>
        </w:tc>
        <w:tc>
          <w:tcPr>
            <w:tcW w:w="1701" w:type="dxa"/>
            <w:tcBorders>
              <w:bottom w:val="single" w:sz="4" w:space="0" w:color="3A7C22" w:themeColor="accent6" w:themeShade="BF"/>
            </w:tcBorders>
            <w:hideMark/>
          </w:tcPr>
          <w:p w14:paraId="196BC259" w14:textId="2137EAAA" w:rsidR="00781523" w:rsidRPr="006844D3" w:rsidRDefault="00C81D5A"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4</w:t>
            </w:r>
            <w:r w:rsidR="00781523" w:rsidRPr="006844D3">
              <w:rPr>
                <w:rFonts w:eastAsia="Times New Roman" w:cs="Calibri"/>
                <w:color w:val="000000"/>
                <w:kern w:val="0"/>
                <w:sz w:val="16"/>
                <w:szCs w:val="16"/>
                <w:lang w:eastAsia="pl-PL"/>
                <w14:ligatures w14:val="none"/>
              </w:rPr>
              <w:t>,</w:t>
            </w:r>
            <w:r>
              <w:rPr>
                <w:rFonts w:eastAsia="Times New Roman" w:cs="Calibri"/>
                <w:color w:val="000000"/>
                <w:kern w:val="0"/>
                <w:sz w:val="16"/>
                <w:szCs w:val="16"/>
                <w:lang w:eastAsia="pl-PL"/>
                <w14:ligatures w14:val="none"/>
              </w:rPr>
              <w:t>2</w:t>
            </w:r>
            <w:r w:rsidR="00781523" w:rsidRPr="006844D3">
              <w:rPr>
                <w:rFonts w:eastAsia="Times New Roman" w:cs="Calibri"/>
                <w:color w:val="000000"/>
                <w:kern w:val="0"/>
                <w:sz w:val="16"/>
                <w:szCs w:val="16"/>
                <w:lang w:eastAsia="pl-PL"/>
                <w14:ligatures w14:val="none"/>
              </w:rPr>
              <w:t xml:space="preserve"> mld zł</w:t>
            </w:r>
            <w:r w:rsidR="00781523">
              <w:rPr>
                <w:rFonts w:eastAsia="Times New Roman" w:cs="Calibri"/>
                <w:color w:val="000000"/>
                <w:kern w:val="0"/>
                <w:sz w:val="16"/>
                <w:szCs w:val="16"/>
                <w:lang w:eastAsia="pl-PL"/>
                <w14:ligatures w14:val="none"/>
              </w:rPr>
              <w:t xml:space="preserve"> </w:t>
            </w:r>
          </w:p>
        </w:tc>
        <w:tc>
          <w:tcPr>
            <w:tcW w:w="1559" w:type="dxa"/>
            <w:tcBorders>
              <w:bottom w:val="single" w:sz="4" w:space="0" w:color="3A7C22" w:themeColor="accent6" w:themeShade="BF"/>
            </w:tcBorders>
            <w:hideMark/>
          </w:tcPr>
          <w:p w14:paraId="560B823C" w14:textId="3850A741"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2023</w:t>
            </w:r>
            <w:r>
              <w:rPr>
                <w:rFonts w:eastAsia="Times New Roman" w:cs="Calibri"/>
                <w:color w:val="000000"/>
                <w:kern w:val="0"/>
                <w:sz w:val="16"/>
                <w:szCs w:val="16"/>
                <w:lang w:eastAsia="pl-PL"/>
                <w14:ligatures w14:val="none"/>
              </w:rPr>
              <w:t>–2</w:t>
            </w:r>
            <w:r w:rsidRPr="006844D3">
              <w:rPr>
                <w:rFonts w:eastAsia="Times New Roman" w:cs="Calibri"/>
                <w:color w:val="000000"/>
                <w:kern w:val="0"/>
                <w:sz w:val="16"/>
                <w:szCs w:val="16"/>
                <w:lang w:eastAsia="pl-PL"/>
                <w14:ligatures w14:val="none"/>
              </w:rPr>
              <w:t>027</w:t>
            </w:r>
          </w:p>
        </w:tc>
        <w:tc>
          <w:tcPr>
            <w:tcW w:w="1281" w:type="dxa"/>
            <w:tcBorders>
              <w:bottom w:val="single" w:sz="4" w:space="0" w:color="3A7C22" w:themeColor="accent6" w:themeShade="BF"/>
            </w:tcBorders>
            <w:hideMark/>
          </w:tcPr>
          <w:p w14:paraId="12901097"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Europejski Fundusz Rolny na rzecz Rozwoju Obszarów Wiejskich</w:t>
            </w:r>
          </w:p>
        </w:tc>
        <w:tc>
          <w:tcPr>
            <w:tcW w:w="1186" w:type="dxa"/>
            <w:tcBorders>
              <w:bottom w:val="single" w:sz="4" w:space="0" w:color="3A7C22" w:themeColor="accent6" w:themeShade="BF"/>
            </w:tcBorders>
            <w:hideMark/>
          </w:tcPr>
          <w:p w14:paraId="3BD92DB3"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Mieszane</w:t>
            </w:r>
          </w:p>
        </w:tc>
        <w:tc>
          <w:tcPr>
            <w:tcW w:w="1413" w:type="dxa"/>
            <w:tcBorders>
              <w:bottom w:val="single" w:sz="4" w:space="0" w:color="3A7C22" w:themeColor="accent6" w:themeShade="BF"/>
            </w:tcBorders>
            <w:hideMark/>
          </w:tcPr>
          <w:p w14:paraId="15BAF263"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Ministerstwo Rolnictwa i Rozwoju Wsi</w:t>
            </w:r>
            <w:r w:rsidRPr="006844D3">
              <w:rPr>
                <w:rFonts w:eastAsia="Times New Roman" w:cs="Calibri"/>
                <w:color w:val="000000"/>
                <w:kern w:val="0"/>
                <w:sz w:val="16"/>
                <w:szCs w:val="16"/>
                <w:lang w:eastAsia="pl-PL"/>
                <w14:ligatures w14:val="none"/>
              </w:rPr>
              <w:br/>
              <w:t>(agencja płatnicza: Agencja Restrukturyzacji i Modernizacji Rolnictwa)</w:t>
            </w:r>
          </w:p>
        </w:tc>
        <w:tc>
          <w:tcPr>
            <w:tcW w:w="3548" w:type="dxa"/>
            <w:tcBorders>
              <w:top w:val="single" w:sz="4" w:space="0" w:color="3A7C22" w:themeColor="accent6" w:themeShade="BF"/>
              <w:bottom w:val="single" w:sz="4" w:space="0" w:color="3A7C22" w:themeColor="accent6" w:themeShade="BF"/>
            </w:tcBorders>
            <w:hideMark/>
          </w:tcPr>
          <w:p w14:paraId="3FF188F2" w14:textId="0AB67858" w:rsidR="00781523" w:rsidRPr="006844D3" w:rsidRDefault="00652240"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O</w:t>
            </w:r>
            <w:r w:rsidR="00781523" w:rsidRPr="006844D3">
              <w:rPr>
                <w:rFonts w:eastAsia="Times New Roman" w:cs="Calibri"/>
                <w:color w:val="000000"/>
                <w:kern w:val="0"/>
                <w:sz w:val="16"/>
                <w:szCs w:val="16"/>
                <w:lang w:eastAsia="pl-PL"/>
                <w14:ligatures w14:val="none"/>
              </w:rPr>
              <w:t>bejmuje:</w:t>
            </w:r>
            <w:r w:rsidR="00781523" w:rsidRPr="006844D3">
              <w:rPr>
                <w:rFonts w:eastAsia="Times New Roman" w:cs="Calibri"/>
                <w:color w:val="000000"/>
                <w:kern w:val="0"/>
                <w:sz w:val="16"/>
                <w:szCs w:val="16"/>
                <w:lang w:eastAsia="pl-PL"/>
                <w14:ligatures w14:val="none"/>
              </w:rPr>
              <w:br/>
              <w:t xml:space="preserve">- Wykorzystanie energii ze źródeł odnawialnych, </w:t>
            </w:r>
            <w:r w:rsidR="00781523" w:rsidRPr="006844D3">
              <w:rPr>
                <w:rFonts w:eastAsia="Times New Roman" w:cs="Calibri"/>
                <w:color w:val="000000"/>
                <w:kern w:val="0"/>
                <w:sz w:val="16"/>
                <w:szCs w:val="16"/>
                <w:lang w:eastAsia="pl-PL"/>
                <w14:ligatures w14:val="none"/>
              </w:rPr>
              <w:br/>
              <w:t xml:space="preserve">- Właściwe zagospodarowanie odpadów i produktów ubocznych z rolnictwa  </w:t>
            </w:r>
            <w:r w:rsidR="00781523" w:rsidRPr="006844D3">
              <w:rPr>
                <w:rFonts w:eastAsia="Times New Roman" w:cs="Calibri"/>
                <w:color w:val="000000"/>
                <w:kern w:val="0"/>
                <w:sz w:val="16"/>
                <w:szCs w:val="16"/>
                <w:lang w:eastAsia="pl-PL"/>
                <w14:ligatures w14:val="none"/>
              </w:rPr>
              <w:br/>
              <w:t>- Poprawa efektywności energetycznej,</w:t>
            </w:r>
            <w:r w:rsidR="00781523" w:rsidRPr="006844D3">
              <w:rPr>
                <w:rFonts w:eastAsia="Times New Roman" w:cs="Calibri"/>
                <w:color w:val="000000"/>
                <w:kern w:val="0"/>
                <w:sz w:val="16"/>
                <w:szCs w:val="16"/>
                <w:lang w:eastAsia="pl-PL"/>
                <w14:ligatures w14:val="none"/>
              </w:rPr>
              <w:br/>
              <w:t xml:space="preserve">- Tworzenie </w:t>
            </w:r>
            <w:proofErr w:type="spellStart"/>
            <w:r w:rsidR="00781523" w:rsidRPr="006844D3">
              <w:rPr>
                <w:rFonts w:eastAsia="Times New Roman" w:cs="Calibri"/>
                <w:color w:val="000000"/>
                <w:kern w:val="0"/>
                <w:sz w:val="16"/>
                <w:szCs w:val="16"/>
                <w:lang w:eastAsia="pl-PL"/>
                <w14:ligatures w14:val="none"/>
              </w:rPr>
              <w:t>zadrzewień</w:t>
            </w:r>
            <w:proofErr w:type="spellEnd"/>
            <w:r w:rsidR="00781523" w:rsidRPr="006844D3">
              <w:rPr>
                <w:rFonts w:eastAsia="Times New Roman" w:cs="Calibri"/>
                <w:color w:val="000000"/>
                <w:kern w:val="0"/>
                <w:sz w:val="16"/>
                <w:szCs w:val="16"/>
                <w:lang w:eastAsia="pl-PL"/>
                <w14:ligatures w14:val="none"/>
              </w:rPr>
              <w:t xml:space="preserve"> śródpolnych,</w:t>
            </w:r>
            <w:r w:rsidR="00781523" w:rsidRPr="006844D3">
              <w:rPr>
                <w:rFonts w:eastAsia="Times New Roman" w:cs="Calibri"/>
                <w:color w:val="000000"/>
                <w:kern w:val="0"/>
                <w:sz w:val="16"/>
                <w:szCs w:val="16"/>
                <w:lang w:eastAsia="pl-PL"/>
                <w14:ligatures w14:val="none"/>
              </w:rPr>
              <w:br/>
              <w:t>- Zakładanie systemów rolno-leśnych,</w:t>
            </w:r>
            <w:r w:rsidR="00781523" w:rsidRPr="006844D3">
              <w:rPr>
                <w:rFonts w:eastAsia="Times New Roman" w:cs="Calibri"/>
                <w:color w:val="000000"/>
                <w:kern w:val="0"/>
                <w:sz w:val="16"/>
                <w:szCs w:val="16"/>
                <w:lang w:eastAsia="pl-PL"/>
                <w14:ligatures w14:val="none"/>
              </w:rPr>
              <w:br/>
              <w:t>- Zalesianie gruntów rolnych.</w:t>
            </w:r>
            <w:r w:rsidR="00781523" w:rsidRPr="006844D3">
              <w:rPr>
                <w:rFonts w:eastAsia="Times New Roman" w:cs="Calibri"/>
                <w:color w:val="000000"/>
                <w:kern w:val="0"/>
                <w:sz w:val="16"/>
                <w:szCs w:val="16"/>
                <w:lang w:eastAsia="pl-PL"/>
                <w14:ligatures w14:val="none"/>
              </w:rPr>
              <w:br/>
            </w:r>
            <w:r w:rsidR="00781523" w:rsidRPr="006844D3">
              <w:rPr>
                <w:rFonts w:eastAsia="Times New Roman" w:cs="Calibri"/>
                <w:color w:val="000000"/>
                <w:kern w:val="0"/>
                <w:sz w:val="16"/>
                <w:szCs w:val="16"/>
                <w:lang w:eastAsia="pl-PL"/>
                <w14:ligatures w14:val="none"/>
              </w:rPr>
              <w:br/>
              <w:t>Plan Strategiczny WPR 2023</w:t>
            </w:r>
            <w:r w:rsidR="00781523">
              <w:rPr>
                <w:rFonts w:eastAsia="Times New Roman" w:cs="Calibri"/>
                <w:color w:val="000000"/>
                <w:kern w:val="0"/>
                <w:sz w:val="16"/>
                <w:szCs w:val="16"/>
                <w:lang w:eastAsia="pl-PL"/>
                <w14:ligatures w14:val="none"/>
              </w:rPr>
              <w:t>–2</w:t>
            </w:r>
            <w:r w:rsidR="00781523" w:rsidRPr="006844D3">
              <w:rPr>
                <w:rFonts w:eastAsia="Times New Roman" w:cs="Calibri"/>
                <w:color w:val="000000"/>
                <w:kern w:val="0"/>
                <w:sz w:val="16"/>
                <w:szCs w:val="16"/>
                <w:lang w:eastAsia="pl-PL"/>
                <w14:ligatures w14:val="none"/>
              </w:rPr>
              <w:t>027:</w:t>
            </w:r>
            <w:r w:rsidR="00781523" w:rsidRPr="006844D3">
              <w:rPr>
                <w:rFonts w:eastAsia="Times New Roman" w:cs="Calibri"/>
                <w:color w:val="000000"/>
                <w:kern w:val="0"/>
                <w:sz w:val="16"/>
                <w:szCs w:val="16"/>
                <w:lang w:eastAsia="pl-PL"/>
                <w14:ligatures w14:val="none"/>
              </w:rPr>
              <w:br/>
              <w:t>https://www.gov.pl/web/wprpo2020/plan-strategiczny-dla-wspolnej-polityki-rolnej-na-lata</w:t>
            </w:r>
            <w:r w:rsidR="00781523">
              <w:rPr>
                <w:rFonts w:eastAsia="Times New Roman" w:cs="Calibri"/>
                <w:color w:val="000000"/>
                <w:kern w:val="0"/>
                <w:sz w:val="16"/>
                <w:szCs w:val="16"/>
                <w:lang w:eastAsia="pl-PL"/>
                <w14:ligatures w14:val="none"/>
              </w:rPr>
              <w:t>–2</w:t>
            </w:r>
            <w:r w:rsidR="00781523" w:rsidRPr="006844D3">
              <w:rPr>
                <w:rFonts w:eastAsia="Times New Roman" w:cs="Calibri"/>
                <w:color w:val="000000"/>
                <w:kern w:val="0"/>
                <w:sz w:val="16"/>
                <w:szCs w:val="16"/>
                <w:lang w:eastAsia="pl-PL"/>
                <w14:ligatures w14:val="none"/>
              </w:rPr>
              <w:t>023</w:t>
            </w:r>
            <w:r w:rsidR="00781523">
              <w:rPr>
                <w:rFonts w:eastAsia="Times New Roman" w:cs="Calibri"/>
                <w:color w:val="000000"/>
                <w:kern w:val="0"/>
                <w:sz w:val="16"/>
                <w:szCs w:val="16"/>
                <w:lang w:eastAsia="pl-PL"/>
                <w14:ligatures w14:val="none"/>
              </w:rPr>
              <w:t>–2</w:t>
            </w:r>
            <w:r w:rsidR="00781523" w:rsidRPr="006844D3">
              <w:rPr>
                <w:rFonts w:eastAsia="Times New Roman" w:cs="Calibri"/>
                <w:color w:val="000000"/>
                <w:kern w:val="0"/>
                <w:sz w:val="16"/>
                <w:szCs w:val="16"/>
                <w:lang w:eastAsia="pl-PL"/>
                <w14:ligatures w14:val="none"/>
              </w:rPr>
              <w:t>027-wersja-33</w:t>
            </w:r>
          </w:p>
        </w:tc>
      </w:tr>
      <w:tr w:rsidR="00801275" w:rsidRPr="00ED52BB" w14:paraId="78B59F9B" w14:textId="77777777" w:rsidTr="00300186">
        <w:trPr>
          <w:cnfStyle w:val="000000100000" w:firstRow="0" w:lastRow="0" w:firstColumn="0" w:lastColumn="0" w:oddVBand="0" w:evenVBand="0" w:oddHBand="1" w:evenHBand="0" w:firstRowFirstColumn="0" w:firstRowLastColumn="0" w:lastRowFirstColumn="0" w:lastRowLastColumn="0"/>
          <w:trHeight w:val="1428"/>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43E25438" w14:textId="2052516A"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5CC5AF00"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Rządowy program budowy lub modernizacji przystanków kolejowych na lata 2021–2025</w:t>
            </w:r>
          </w:p>
        </w:tc>
        <w:tc>
          <w:tcPr>
            <w:tcW w:w="1559" w:type="dxa"/>
            <w:tcBorders>
              <w:top w:val="single" w:sz="4" w:space="0" w:color="3A7C22" w:themeColor="accent6" w:themeShade="BF"/>
              <w:bottom w:val="single" w:sz="4" w:space="0" w:color="3A7C22" w:themeColor="accent6" w:themeShade="BF"/>
            </w:tcBorders>
            <w:hideMark/>
          </w:tcPr>
          <w:p w14:paraId="26D777DB"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Transport</w:t>
            </w:r>
          </w:p>
        </w:tc>
        <w:tc>
          <w:tcPr>
            <w:tcW w:w="1701" w:type="dxa"/>
            <w:tcBorders>
              <w:top w:val="single" w:sz="4" w:space="0" w:color="3A7C22" w:themeColor="accent6" w:themeShade="BF"/>
              <w:bottom w:val="single" w:sz="4" w:space="0" w:color="3A7C22" w:themeColor="accent6" w:themeShade="BF"/>
            </w:tcBorders>
            <w:hideMark/>
          </w:tcPr>
          <w:p w14:paraId="331DD2C4"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1 mld zł</w:t>
            </w:r>
          </w:p>
        </w:tc>
        <w:tc>
          <w:tcPr>
            <w:tcW w:w="1559" w:type="dxa"/>
            <w:tcBorders>
              <w:top w:val="single" w:sz="4" w:space="0" w:color="3A7C22" w:themeColor="accent6" w:themeShade="BF"/>
              <w:bottom w:val="single" w:sz="4" w:space="0" w:color="3A7C22" w:themeColor="accent6" w:themeShade="BF"/>
            </w:tcBorders>
            <w:hideMark/>
          </w:tcPr>
          <w:p w14:paraId="1A2B8A9D" w14:textId="56B036D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2021</w:t>
            </w:r>
            <w:r>
              <w:rPr>
                <w:rFonts w:eastAsia="Times New Roman" w:cs="Calibri"/>
                <w:color w:val="000000"/>
                <w:kern w:val="0"/>
                <w:sz w:val="16"/>
                <w:szCs w:val="16"/>
                <w:lang w:eastAsia="pl-PL"/>
                <w14:ligatures w14:val="none"/>
              </w:rPr>
              <w:t>–2</w:t>
            </w:r>
            <w:r w:rsidRPr="006844D3">
              <w:rPr>
                <w:rFonts w:eastAsia="Times New Roman" w:cs="Calibri"/>
                <w:color w:val="000000"/>
                <w:kern w:val="0"/>
                <w:sz w:val="16"/>
                <w:szCs w:val="16"/>
                <w:lang w:eastAsia="pl-PL"/>
                <w14:ligatures w14:val="none"/>
              </w:rPr>
              <w:t>025</w:t>
            </w:r>
          </w:p>
        </w:tc>
        <w:tc>
          <w:tcPr>
            <w:tcW w:w="1281" w:type="dxa"/>
            <w:tcBorders>
              <w:top w:val="single" w:sz="4" w:space="0" w:color="3A7C22" w:themeColor="accent6" w:themeShade="BF"/>
              <w:bottom w:val="single" w:sz="4" w:space="0" w:color="3A7C22" w:themeColor="accent6" w:themeShade="BF"/>
            </w:tcBorders>
            <w:hideMark/>
          </w:tcPr>
          <w:p w14:paraId="1371619C"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 xml:space="preserve">środki własne PKP PLK S.A pochodzące z: </w:t>
            </w:r>
            <w:r w:rsidRPr="006844D3">
              <w:rPr>
                <w:rFonts w:eastAsia="Times New Roman" w:cs="Calibri"/>
                <w:color w:val="000000"/>
                <w:kern w:val="0"/>
                <w:sz w:val="16"/>
                <w:szCs w:val="16"/>
                <w:lang w:eastAsia="pl-PL"/>
                <w14:ligatures w14:val="none"/>
              </w:rPr>
              <w:br/>
              <w:t>- dokapitalizowania przez Skarb Państwa oraz</w:t>
            </w:r>
            <w:r w:rsidRPr="006844D3">
              <w:rPr>
                <w:rFonts w:eastAsia="Times New Roman" w:cs="Calibri"/>
                <w:color w:val="000000"/>
                <w:kern w:val="0"/>
                <w:sz w:val="16"/>
                <w:szCs w:val="16"/>
                <w:lang w:eastAsia="pl-PL"/>
                <w14:ligatures w14:val="none"/>
              </w:rPr>
              <w:br/>
              <w:t>- uzyskanych przychodów spółki, w postaci odsetek od kwoty dokapitalizowania.</w:t>
            </w:r>
          </w:p>
        </w:tc>
        <w:tc>
          <w:tcPr>
            <w:tcW w:w="1186" w:type="dxa"/>
            <w:tcBorders>
              <w:top w:val="single" w:sz="4" w:space="0" w:color="3A7C22" w:themeColor="accent6" w:themeShade="BF"/>
              <w:bottom w:val="single" w:sz="4" w:space="0" w:color="3A7C22" w:themeColor="accent6" w:themeShade="BF"/>
            </w:tcBorders>
            <w:hideMark/>
          </w:tcPr>
          <w:p w14:paraId="7FBA5677"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Inwestycyjne</w:t>
            </w:r>
          </w:p>
        </w:tc>
        <w:tc>
          <w:tcPr>
            <w:tcW w:w="1413" w:type="dxa"/>
            <w:tcBorders>
              <w:top w:val="single" w:sz="4" w:space="0" w:color="3A7C22" w:themeColor="accent6" w:themeShade="BF"/>
              <w:bottom w:val="single" w:sz="4" w:space="0" w:color="3A7C22" w:themeColor="accent6" w:themeShade="BF"/>
            </w:tcBorders>
            <w:hideMark/>
          </w:tcPr>
          <w:p w14:paraId="2A94074C"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PKP Polskie Linie Kolejowe S.A.</w:t>
            </w:r>
          </w:p>
        </w:tc>
        <w:tc>
          <w:tcPr>
            <w:tcW w:w="3548" w:type="dxa"/>
            <w:tcBorders>
              <w:top w:val="single" w:sz="4" w:space="0" w:color="3A7C22" w:themeColor="accent6" w:themeShade="BF"/>
              <w:bottom w:val="single" w:sz="4" w:space="0" w:color="3A7C22" w:themeColor="accent6" w:themeShade="BF"/>
            </w:tcBorders>
            <w:hideMark/>
          </w:tcPr>
          <w:p w14:paraId="0BE8B006" w14:textId="77777777" w:rsidR="00781523" w:rsidRPr="006844D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Celem Programu jest zwiększenie lokalnym społecznościom dostępu do transportu kolejowego.</w:t>
            </w:r>
          </w:p>
        </w:tc>
      </w:tr>
      <w:tr w:rsidR="00781523" w:rsidRPr="00ED52BB" w14:paraId="7AA4FD56" w14:textId="77777777" w:rsidTr="00300186">
        <w:trPr>
          <w:trHeight w:val="1632"/>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6AB8FDCF" w14:textId="110A162B"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55EDDBD1"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Program Fundusze Europejskie dla Rybactwa</w:t>
            </w:r>
          </w:p>
        </w:tc>
        <w:tc>
          <w:tcPr>
            <w:tcW w:w="1559" w:type="dxa"/>
            <w:tcBorders>
              <w:top w:val="single" w:sz="4" w:space="0" w:color="3A7C22" w:themeColor="accent6" w:themeShade="BF"/>
            </w:tcBorders>
            <w:hideMark/>
          </w:tcPr>
          <w:p w14:paraId="2116D72A"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Mieszane</w:t>
            </w:r>
          </w:p>
        </w:tc>
        <w:tc>
          <w:tcPr>
            <w:tcW w:w="1701" w:type="dxa"/>
            <w:tcBorders>
              <w:top w:val="single" w:sz="4" w:space="0" w:color="3A7C22" w:themeColor="accent6" w:themeShade="BF"/>
            </w:tcBorders>
            <w:hideMark/>
          </w:tcPr>
          <w:p w14:paraId="044931DD"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901,4 mln zł</w:t>
            </w:r>
          </w:p>
        </w:tc>
        <w:tc>
          <w:tcPr>
            <w:tcW w:w="1559" w:type="dxa"/>
            <w:tcBorders>
              <w:top w:val="single" w:sz="4" w:space="0" w:color="3A7C22" w:themeColor="accent6" w:themeShade="BF"/>
            </w:tcBorders>
            <w:hideMark/>
          </w:tcPr>
          <w:p w14:paraId="070AA954" w14:textId="2053E5CD"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2021</w:t>
            </w:r>
            <w:r>
              <w:rPr>
                <w:rFonts w:eastAsia="Times New Roman" w:cs="Calibri"/>
                <w:color w:val="000000"/>
                <w:kern w:val="0"/>
                <w:sz w:val="16"/>
                <w:szCs w:val="16"/>
                <w:lang w:eastAsia="pl-PL"/>
                <w14:ligatures w14:val="none"/>
              </w:rPr>
              <w:t>–2</w:t>
            </w:r>
            <w:r w:rsidRPr="006844D3">
              <w:rPr>
                <w:rFonts w:eastAsia="Times New Roman" w:cs="Calibri"/>
                <w:color w:val="000000"/>
                <w:kern w:val="0"/>
                <w:sz w:val="16"/>
                <w:szCs w:val="16"/>
                <w:lang w:eastAsia="pl-PL"/>
                <w14:ligatures w14:val="none"/>
              </w:rPr>
              <w:t>027</w:t>
            </w:r>
          </w:p>
        </w:tc>
        <w:tc>
          <w:tcPr>
            <w:tcW w:w="1281" w:type="dxa"/>
            <w:tcBorders>
              <w:top w:val="single" w:sz="4" w:space="0" w:color="3A7C22" w:themeColor="accent6" w:themeShade="BF"/>
            </w:tcBorders>
            <w:hideMark/>
          </w:tcPr>
          <w:p w14:paraId="3F0EBE47"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Europejski Fundusz Morski, Rybacki i Akwakultury</w:t>
            </w:r>
            <w:r w:rsidRPr="006844D3">
              <w:rPr>
                <w:rFonts w:eastAsia="Times New Roman" w:cs="Calibri"/>
                <w:color w:val="000000"/>
                <w:kern w:val="0"/>
                <w:sz w:val="16"/>
                <w:szCs w:val="16"/>
                <w:lang w:eastAsia="pl-PL"/>
                <w14:ligatures w14:val="none"/>
              </w:rPr>
              <w:br/>
              <w:t>+ budżet państwa</w:t>
            </w:r>
          </w:p>
        </w:tc>
        <w:tc>
          <w:tcPr>
            <w:tcW w:w="1186" w:type="dxa"/>
            <w:tcBorders>
              <w:top w:val="single" w:sz="4" w:space="0" w:color="3A7C22" w:themeColor="accent6" w:themeShade="BF"/>
            </w:tcBorders>
            <w:hideMark/>
          </w:tcPr>
          <w:p w14:paraId="33A67D90"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Inwestycyjne</w:t>
            </w:r>
          </w:p>
        </w:tc>
        <w:tc>
          <w:tcPr>
            <w:tcW w:w="1413" w:type="dxa"/>
            <w:tcBorders>
              <w:top w:val="single" w:sz="4" w:space="0" w:color="3A7C22" w:themeColor="accent6" w:themeShade="BF"/>
            </w:tcBorders>
            <w:hideMark/>
          </w:tcPr>
          <w:p w14:paraId="152BDA00"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Ministerstwo Rolnictwa i Rozwoju Wsi</w:t>
            </w:r>
          </w:p>
        </w:tc>
        <w:tc>
          <w:tcPr>
            <w:tcW w:w="3548" w:type="dxa"/>
            <w:tcBorders>
              <w:top w:val="single" w:sz="4" w:space="0" w:color="3A7C22" w:themeColor="accent6" w:themeShade="BF"/>
            </w:tcBorders>
            <w:hideMark/>
          </w:tcPr>
          <w:p w14:paraId="4E56FFED" w14:textId="77777777" w:rsidR="00781523" w:rsidRPr="006844D3"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Inwestycje ukierunkowane na ochronę i odbudowę bioróżnorodności środowiskowej przyczyniające się do przeciwdziałania zmianom klimatu i wspomagające dostosowanie się do tych zmian m.in. przez ograniczenie zużycia energii czy produkcję energii ze źródeł odnawialnych, inwestycje przyczyniające się do zmniejszenia emisji CO2, w tym wymiana kotłów węglowych na pompy ciepła, montaż instalacji fotowoltaicznych, urządzeń racjonalizujących gospodarowanie wodą, działania zwiększające wykorzystanie materiałów pochodzących z recyklingu, materiałów o niskim wpływie lub neutralnych środowiskowo a także promujące rozwój gospodarki cyrkularnej na obszarze RLGD.</w:t>
            </w:r>
          </w:p>
        </w:tc>
      </w:tr>
      <w:tr w:rsidR="00801275" w:rsidRPr="00ED52BB" w14:paraId="1C5A6C5C" w14:textId="77777777" w:rsidTr="00300186">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2697CF12" w14:textId="4B012E1C"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28EF9EB6"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 xml:space="preserve">Inwestycje PGW Wody Polskie </w:t>
            </w:r>
          </w:p>
        </w:tc>
        <w:tc>
          <w:tcPr>
            <w:tcW w:w="1559" w:type="dxa"/>
            <w:tcBorders>
              <w:top w:val="single" w:sz="4" w:space="0" w:color="3A7C22" w:themeColor="accent6" w:themeShade="BF"/>
              <w:bottom w:val="single" w:sz="4" w:space="0" w:color="3A7C22" w:themeColor="accent6" w:themeShade="BF"/>
            </w:tcBorders>
            <w:hideMark/>
          </w:tcPr>
          <w:p w14:paraId="0BA8764D"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bottom w:val="single" w:sz="4" w:space="0" w:color="3A7C22" w:themeColor="accent6" w:themeShade="BF"/>
            </w:tcBorders>
            <w:hideMark/>
          </w:tcPr>
          <w:p w14:paraId="58CF14B4"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147,5 mln zł</w:t>
            </w:r>
          </w:p>
        </w:tc>
        <w:tc>
          <w:tcPr>
            <w:tcW w:w="1559" w:type="dxa"/>
            <w:tcBorders>
              <w:top w:val="single" w:sz="4" w:space="0" w:color="3A7C22" w:themeColor="accent6" w:themeShade="BF"/>
              <w:bottom w:val="single" w:sz="4" w:space="0" w:color="3A7C22" w:themeColor="accent6" w:themeShade="BF"/>
            </w:tcBorders>
            <w:hideMark/>
          </w:tcPr>
          <w:p w14:paraId="1B5A2817" w14:textId="195001E0"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2025</w:t>
            </w:r>
            <w:r>
              <w:rPr>
                <w:rFonts w:eastAsia="Times New Roman" w:cs="Calibri"/>
                <w:color w:val="000000"/>
                <w:kern w:val="0"/>
                <w:sz w:val="16"/>
                <w:szCs w:val="16"/>
                <w:lang w:eastAsia="pl-PL"/>
                <w14:ligatures w14:val="none"/>
              </w:rPr>
              <w:t>–2</w:t>
            </w:r>
            <w:r w:rsidRPr="006844D3">
              <w:rPr>
                <w:rFonts w:eastAsia="Times New Roman" w:cs="Calibri"/>
                <w:color w:val="000000"/>
                <w:kern w:val="0"/>
                <w:sz w:val="16"/>
                <w:szCs w:val="16"/>
                <w:lang w:eastAsia="pl-PL"/>
                <w14:ligatures w14:val="none"/>
              </w:rPr>
              <w:t>029</w:t>
            </w:r>
          </w:p>
        </w:tc>
        <w:tc>
          <w:tcPr>
            <w:tcW w:w="1281" w:type="dxa"/>
            <w:tcBorders>
              <w:top w:val="single" w:sz="4" w:space="0" w:color="3A7C22" w:themeColor="accent6" w:themeShade="BF"/>
              <w:bottom w:val="single" w:sz="4" w:space="0" w:color="3A7C22" w:themeColor="accent6" w:themeShade="BF"/>
            </w:tcBorders>
            <w:hideMark/>
          </w:tcPr>
          <w:p w14:paraId="6CC0C701"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Środki własne (działalność gospodarcza wymieniona w art. 255 ust. 10b ustawy Prawo Wodne)</w:t>
            </w:r>
          </w:p>
        </w:tc>
        <w:tc>
          <w:tcPr>
            <w:tcW w:w="1186" w:type="dxa"/>
            <w:tcBorders>
              <w:top w:val="single" w:sz="4" w:space="0" w:color="3A7C22" w:themeColor="accent6" w:themeShade="BF"/>
              <w:bottom w:val="single" w:sz="4" w:space="0" w:color="3A7C22" w:themeColor="accent6" w:themeShade="BF"/>
            </w:tcBorders>
            <w:hideMark/>
          </w:tcPr>
          <w:p w14:paraId="3A9F6A99"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Inwestycyjne</w:t>
            </w:r>
          </w:p>
        </w:tc>
        <w:tc>
          <w:tcPr>
            <w:tcW w:w="1413" w:type="dxa"/>
            <w:tcBorders>
              <w:top w:val="single" w:sz="4" w:space="0" w:color="3A7C22" w:themeColor="accent6" w:themeShade="BF"/>
              <w:bottom w:val="single" w:sz="4" w:space="0" w:color="3A7C22" w:themeColor="accent6" w:themeShade="BF"/>
            </w:tcBorders>
            <w:hideMark/>
          </w:tcPr>
          <w:p w14:paraId="10C94587"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PGW Wody Polskie</w:t>
            </w:r>
          </w:p>
        </w:tc>
        <w:tc>
          <w:tcPr>
            <w:tcW w:w="3548" w:type="dxa"/>
            <w:tcBorders>
              <w:top w:val="single" w:sz="4" w:space="0" w:color="3A7C22" w:themeColor="accent6" w:themeShade="BF"/>
              <w:bottom w:val="single" w:sz="4" w:space="0" w:color="3A7C22" w:themeColor="accent6" w:themeShade="BF"/>
            </w:tcBorders>
            <w:hideMark/>
          </w:tcPr>
          <w:p w14:paraId="147D0CA2" w14:textId="77777777" w:rsidR="00781523" w:rsidRPr="006844D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 xml:space="preserve">Środki przeznaczone na finansowanie inwestycji przeznaczonych do celów komercyjnych (elektrownie wodne i fotowoltaiczne), stanowią przychód PGW WP z prowadzonej działalności gospodarczej. </w:t>
            </w:r>
          </w:p>
        </w:tc>
      </w:tr>
      <w:tr w:rsidR="00781523" w:rsidRPr="00ED52BB" w14:paraId="06A42768" w14:textId="77777777" w:rsidTr="00300186">
        <w:trPr>
          <w:trHeight w:val="3267"/>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53FBC02A" w14:textId="0752D4BF"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7C07F4AE"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 xml:space="preserve">Fundusz Żeglugi Śródlądowej </w:t>
            </w:r>
          </w:p>
        </w:tc>
        <w:tc>
          <w:tcPr>
            <w:tcW w:w="1559" w:type="dxa"/>
            <w:tcBorders>
              <w:top w:val="single" w:sz="4" w:space="0" w:color="3A7C22" w:themeColor="accent6" w:themeShade="BF"/>
              <w:bottom w:val="single" w:sz="4" w:space="0" w:color="3A7C22" w:themeColor="accent6" w:themeShade="BF"/>
            </w:tcBorders>
            <w:hideMark/>
          </w:tcPr>
          <w:p w14:paraId="5842A6DA"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Transport</w:t>
            </w:r>
          </w:p>
        </w:tc>
        <w:tc>
          <w:tcPr>
            <w:tcW w:w="1701" w:type="dxa"/>
            <w:tcBorders>
              <w:top w:val="single" w:sz="4" w:space="0" w:color="3A7C22" w:themeColor="accent6" w:themeShade="BF"/>
              <w:bottom w:val="single" w:sz="4" w:space="0" w:color="3A7C22" w:themeColor="accent6" w:themeShade="BF"/>
            </w:tcBorders>
            <w:hideMark/>
          </w:tcPr>
          <w:p w14:paraId="1007EBEA"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42 mln zł</w:t>
            </w:r>
          </w:p>
        </w:tc>
        <w:tc>
          <w:tcPr>
            <w:tcW w:w="1559" w:type="dxa"/>
            <w:tcBorders>
              <w:top w:val="single" w:sz="4" w:space="0" w:color="3A7C22" w:themeColor="accent6" w:themeShade="BF"/>
              <w:bottom w:val="single" w:sz="4" w:space="0" w:color="3A7C22" w:themeColor="accent6" w:themeShade="BF"/>
            </w:tcBorders>
            <w:hideMark/>
          </w:tcPr>
          <w:p w14:paraId="1AF22702" w14:textId="0848DDE1"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2022</w:t>
            </w:r>
            <w:r>
              <w:rPr>
                <w:rFonts w:eastAsia="Times New Roman" w:cs="Calibri"/>
                <w:color w:val="000000"/>
                <w:kern w:val="0"/>
                <w:sz w:val="16"/>
                <w:szCs w:val="16"/>
                <w:lang w:eastAsia="pl-PL"/>
                <w14:ligatures w14:val="none"/>
              </w:rPr>
              <w:t>–2</w:t>
            </w:r>
            <w:r w:rsidRPr="006844D3">
              <w:rPr>
                <w:rFonts w:eastAsia="Times New Roman" w:cs="Calibri"/>
                <w:color w:val="000000"/>
                <w:kern w:val="0"/>
                <w:sz w:val="16"/>
                <w:szCs w:val="16"/>
                <w:lang w:eastAsia="pl-PL"/>
                <w14:ligatures w14:val="none"/>
              </w:rPr>
              <w:t>027</w:t>
            </w:r>
          </w:p>
        </w:tc>
        <w:tc>
          <w:tcPr>
            <w:tcW w:w="1281" w:type="dxa"/>
            <w:tcBorders>
              <w:top w:val="single" w:sz="4" w:space="0" w:color="3A7C22" w:themeColor="accent6" w:themeShade="BF"/>
              <w:bottom w:val="single" w:sz="4" w:space="0" w:color="3A7C22" w:themeColor="accent6" w:themeShade="BF"/>
            </w:tcBorders>
            <w:hideMark/>
          </w:tcPr>
          <w:p w14:paraId="56CF37A4"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Budżet państwa i Fundusze europejskie</w:t>
            </w:r>
          </w:p>
        </w:tc>
        <w:tc>
          <w:tcPr>
            <w:tcW w:w="1186" w:type="dxa"/>
            <w:tcBorders>
              <w:top w:val="single" w:sz="4" w:space="0" w:color="3A7C22" w:themeColor="accent6" w:themeShade="BF"/>
              <w:bottom w:val="single" w:sz="4" w:space="0" w:color="3A7C22" w:themeColor="accent6" w:themeShade="BF"/>
            </w:tcBorders>
            <w:hideMark/>
          </w:tcPr>
          <w:p w14:paraId="66966618"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Inwestycyjne</w:t>
            </w:r>
          </w:p>
        </w:tc>
        <w:tc>
          <w:tcPr>
            <w:tcW w:w="1413" w:type="dxa"/>
            <w:tcBorders>
              <w:top w:val="single" w:sz="4" w:space="0" w:color="3A7C22" w:themeColor="accent6" w:themeShade="BF"/>
              <w:bottom w:val="single" w:sz="4" w:space="0" w:color="3A7C22" w:themeColor="accent6" w:themeShade="BF"/>
            </w:tcBorders>
            <w:hideMark/>
          </w:tcPr>
          <w:p w14:paraId="32D7868E"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Ministerstwo Infrastruktury / Bank Gospodarstwa Krajowego</w:t>
            </w:r>
          </w:p>
        </w:tc>
        <w:tc>
          <w:tcPr>
            <w:tcW w:w="3548" w:type="dxa"/>
            <w:tcBorders>
              <w:top w:val="single" w:sz="4" w:space="0" w:color="3A7C22" w:themeColor="accent6" w:themeShade="BF"/>
              <w:bottom w:val="single" w:sz="4" w:space="0" w:color="3A7C22" w:themeColor="accent6" w:themeShade="BF"/>
            </w:tcBorders>
            <w:hideMark/>
          </w:tcPr>
          <w:p w14:paraId="1151B547" w14:textId="77777777" w:rsidR="00781523" w:rsidRPr="006844D3"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 xml:space="preserve">Wsparcie śródlądowego transportu wodnego realizowane poprzez dofinansowanie modernizacji taboru żeglugowego i innych przedsięwzięć dotyczących restrukturyzacji sektora żeglugi śródlądowej, w tym przedsięwzięć mających na celu poprawę ochrony środowiska i bezpieczeństwa żeglugi. </w:t>
            </w:r>
            <w:r w:rsidRPr="006844D3">
              <w:rPr>
                <w:rFonts w:eastAsia="Times New Roman" w:cs="Calibri"/>
                <w:color w:val="000000"/>
                <w:kern w:val="0"/>
                <w:sz w:val="16"/>
                <w:szCs w:val="16"/>
                <w:lang w:eastAsia="pl-PL"/>
                <w14:ligatures w14:val="none"/>
              </w:rPr>
              <w:br/>
            </w:r>
            <w:r w:rsidRPr="006844D3">
              <w:rPr>
                <w:rFonts w:eastAsia="Times New Roman" w:cs="Calibri"/>
                <w:color w:val="000000"/>
                <w:kern w:val="0"/>
                <w:sz w:val="16"/>
                <w:szCs w:val="16"/>
                <w:lang w:eastAsia="pl-PL"/>
                <w14:ligatures w14:val="none"/>
              </w:rPr>
              <w:br/>
              <w:t xml:space="preserve">1.Ustawa z dnia z dnia 31 lipca 2019 r. o wsparciu finansowym armatorów śródlądowych, Funduszu Żeglugi Śródlądowej i Funduszu Rezerwowym, </w:t>
            </w:r>
            <w:r w:rsidRPr="006844D3">
              <w:rPr>
                <w:rFonts w:eastAsia="Times New Roman" w:cs="Calibri"/>
                <w:color w:val="000000"/>
                <w:kern w:val="0"/>
                <w:sz w:val="16"/>
                <w:szCs w:val="16"/>
                <w:lang w:eastAsia="pl-PL"/>
                <w14:ligatures w14:val="none"/>
              </w:rPr>
              <w:br/>
              <w:t>2.Umowa w sprawie obsługi Funduszu Żeglugi Śródlądowej zawarta w dniu 19 maja w Warszawie pomiędzy: Ministrem Gospodarki Morskiej i Żeglugi Śródlądowej a Bankiem Gospodarstwa Krajowego.</w:t>
            </w:r>
          </w:p>
        </w:tc>
      </w:tr>
      <w:tr w:rsidR="00801275" w:rsidRPr="00ED52BB" w14:paraId="003B6814" w14:textId="77777777" w:rsidTr="00300186">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6288869D" w14:textId="0FB85E6F"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2AA119F7"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Czyste Powietrze</w:t>
            </w:r>
          </w:p>
        </w:tc>
        <w:tc>
          <w:tcPr>
            <w:tcW w:w="1559" w:type="dxa"/>
            <w:tcBorders>
              <w:top w:val="single" w:sz="4" w:space="0" w:color="3A7C22" w:themeColor="accent6" w:themeShade="BF"/>
              <w:bottom w:val="single" w:sz="4" w:space="0" w:color="3A7C22" w:themeColor="accent6" w:themeShade="BF"/>
            </w:tcBorders>
            <w:hideMark/>
          </w:tcPr>
          <w:p w14:paraId="016DE5E9"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Budynki</w:t>
            </w:r>
          </w:p>
        </w:tc>
        <w:tc>
          <w:tcPr>
            <w:tcW w:w="1701" w:type="dxa"/>
            <w:tcBorders>
              <w:top w:val="single" w:sz="4" w:space="0" w:color="3A7C22" w:themeColor="accent6" w:themeShade="BF"/>
              <w:bottom w:val="single" w:sz="4" w:space="0" w:color="3A7C22" w:themeColor="accent6" w:themeShade="BF"/>
            </w:tcBorders>
            <w:hideMark/>
          </w:tcPr>
          <w:p w14:paraId="7019D290" w14:textId="53171C82" w:rsidR="00781523" w:rsidRPr="006844D3" w:rsidRDefault="0021295A"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w:t>
            </w:r>
            <w:r w:rsidRPr="006844D3">
              <w:rPr>
                <w:rFonts w:eastAsia="Times New Roman" w:cs="Calibri"/>
                <w:color w:val="000000"/>
                <w:kern w:val="0"/>
                <w:sz w:val="16"/>
                <w:szCs w:val="16"/>
                <w:lang w:eastAsia="pl-PL"/>
                <w14:ligatures w14:val="none"/>
              </w:rPr>
              <w:t>1</w:t>
            </w:r>
            <w:r>
              <w:rPr>
                <w:rFonts w:eastAsia="Times New Roman" w:cs="Calibri"/>
                <w:color w:val="000000"/>
                <w:kern w:val="0"/>
                <w:sz w:val="16"/>
                <w:szCs w:val="16"/>
                <w:lang w:eastAsia="pl-PL"/>
                <w14:ligatures w14:val="none"/>
              </w:rPr>
              <w:t>37,6</w:t>
            </w:r>
            <w:r w:rsidRPr="006844D3">
              <w:rPr>
                <w:rFonts w:eastAsia="Times New Roman" w:cs="Calibri"/>
                <w:color w:val="000000"/>
                <w:kern w:val="0"/>
                <w:sz w:val="16"/>
                <w:szCs w:val="16"/>
                <w:lang w:eastAsia="pl-PL"/>
                <w14:ligatures w14:val="none"/>
              </w:rPr>
              <w:t xml:space="preserve"> </w:t>
            </w:r>
            <w:r w:rsidR="00781523" w:rsidRPr="006844D3">
              <w:rPr>
                <w:rFonts w:eastAsia="Times New Roman" w:cs="Calibri"/>
                <w:color w:val="000000"/>
                <w:kern w:val="0"/>
                <w:sz w:val="16"/>
                <w:szCs w:val="16"/>
                <w:lang w:eastAsia="pl-PL"/>
                <w14:ligatures w14:val="none"/>
              </w:rPr>
              <w:t>mld zł</w:t>
            </w:r>
          </w:p>
        </w:tc>
        <w:tc>
          <w:tcPr>
            <w:tcW w:w="1559" w:type="dxa"/>
            <w:tcBorders>
              <w:top w:val="single" w:sz="4" w:space="0" w:color="3A7C22" w:themeColor="accent6" w:themeShade="BF"/>
              <w:bottom w:val="single" w:sz="4" w:space="0" w:color="3A7C22" w:themeColor="accent6" w:themeShade="BF"/>
            </w:tcBorders>
            <w:hideMark/>
          </w:tcPr>
          <w:p w14:paraId="29AFE3FD" w14:textId="1006FE93"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2018</w:t>
            </w:r>
            <w:r>
              <w:rPr>
                <w:rFonts w:eastAsia="Times New Roman" w:cs="Calibri"/>
                <w:color w:val="000000"/>
                <w:kern w:val="0"/>
                <w:sz w:val="16"/>
                <w:szCs w:val="16"/>
                <w:lang w:eastAsia="pl-PL"/>
                <w14:ligatures w14:val="none"/>
              </w:rPr>
              <w:t>–2</w:t>
            </w:r>
            <w:r w:rsidRPr="006844D3">
              <w:rPr>
                <w:rFonts w:eastAsia="Times New Roman" w:cs="Calibri"/>
                <w:color w:val="000000"/>
                <w:kern w:val="0"/>
                <w:sz w:val="16"/>
                <w:szCs w:val="16"/>
                <w:lang w:eastAsia="pl-PL"/>
                <w14:ligatures w14:val="none"/>
              </w:rPr>
              <w:t>029</w:t>
            </w:r>
          </w:p>
        </w:tc>
        <w:tc>
          <w:tcPr>
            <w:tcW w:w="1281" w:type="dxa"/>
            <w:tcBorders>
              <w:top w:val="single" w:sz="4" w:space="0" w:color="3A7C22" w:themeColor="accent6" w:themeShade="BF"/>
              <w:bottom w:val="single" w:sz="4" w:space="0" w:color="3A7C22" w:themeColor="accent6" w:themeShade="BF"/>
            </w:tcBorders>
            <w:hideMark/>
          </w:tcPr>
          <w:p w14:paraId="5BCA21B9" w14:textId="38AD9B11" w:rsidR="00781523" w:rsidRPr="006844D3" w:rsidRDefault="00E149F9"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xml:space="preserve">KPO, </w:t>
            </w:r>
            <w:proofErr w:type="spellStart"/>
            <w:r>
              <w:rPr>
                <w:rFonts w:eastAsia="Times New Roman" w:cs="Calibri"/>
                <w:color w:val="000000"/>
                <w:kern w:val="0"/>
                <w:sz w:val="16"/>
                <w:szCs w:val="16"/>
                <w:lang w:eastAsia="pl-PL"/>
                <w14:ligatures w14:val="none"/>
              </w:rPr>
              <w:t>FE</w:t>
            </w:r>
            <w:r w:rsidR="00D30FDA">
              <w:rPr>
                <w:rFonts w:eastAsia="Times New Roman" w:cs="Calibri"/>
                <w:color w:val="000000"/>
                <w:kern w:val="0"/>
                <w:sz w:val="16"/>
                <w:szCs w:val="16"/>
                <w:lang w:eastAsia="pl-PL"/>
                <w14:ligatures w14:val="none"/>
              </w:rPr>
              <w:t>nIKS</w:t>
            </w:r>
            <w:proofErr w:type="spellEnd"/>
            <w:r w:rsidR="00D30FDA">
              <w:rPr>
                <w:rFonts w:eastAsia="Times New Roman" w:cs="Calibri"/>
                <w:color w:val="000000"/>
                <w:kern w:val="0"/>
                <w:sz w:val="16"/>
                <w:szCs w:val="16"/>
                <w:lang w:eastAsia="pl-PL"/>
                <w14:ligatures w14:val="none"/>
              </w:rPr>
              <w:t>, Fundusz Modernizacyjny/</w:t>
            </w:r>
            <w:r w:rsidR="00781523" w:rsidRPr="006844D3">
              <w:rPr>
                <w:rFonts w:eastAsia="Times New Roman" w:cs="Calibri"/>
                <w:color w:val="000000"/>
                <w:kern w:val="0"/>
                <w:sz w:val="16"/>
                <w:szCs w:val="16"/>
                <w:lang w:eastAsia="pl-PL"/>
                <w14:ligatures w14:val="none"/>
              </w:rPr>
              <w:t xml:space="preserve">środki własne NFOŚiGW/środki własne </w:t>
            </w:r>
            <w:proofErr w:type="spellStart"/>
            <w:r w:rsidR="00781523" w:rsidRPr="006844D3">
              <w:rPr>
                <w:rFonts w:eastAsia="Times New Roman" w:cs="Calibri"/>
                <w:color w:val="000000"/>
                <w:kern w:val="0"/>
                <w:sz w:val="16"/>
                <w:szCs w:val="16"/>
                <w:lang w:eastAsia="pl-PL"/>
                <w14:ligatures w14:val="none"/>
              </w:rPr>
              <w:t>WFOŚiGW</w:t>
            </w:r>
            <w:proofErr w:type="spellEnd"/>
            <w:r w:rsidR="00781523" w:rsidRPr="006844D3">
              <w:rPr>
                <w:rFonts w:eastAsia="Times New Roman" w:cs="Calibri"/>
                <w:color w:val="000000"/>
                <w:kern w:val="0"/>
                <w:sz w:val="16"/>
                <w:szCs w:val="16"/>
                <w:lang w:eastAsia="pl-PL"/>
                <w14:ligatures w14:val="none"/>
              </w:rPr>
              <w:t>/fundusze unijne/pożyczki</w:t>
            </w:r>
          </w:p>
        </w:tc>
        <w:tc>
          <w:tcPr>
            <w:tcW w:w="1186" w:type="dxa"/>
            <w:tcBorders>
              <w:top w:val="single" w:sz="4" w:space="0" w:color="3A7C22" w:themeColor="accent6" w:themeShade="BF"/>
              <w:bottom w:val="single" w:sz="4" w:space="0" w:color="3A7C22" w:themeColor="accent6" w:themeShade="BF"/>
            </w:tcBorders>
            <w:hideMark/>
          </w:tcPr>
          <w:p w14:paraId="747C949D"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Inwestycyjne</w:t>
            </w:r>
          </w:p>
        </w:tc>
        <w:tc>
          <w:tcPr>
            <w:tcW w:w="1413" w:type="dxa"/>
            <w:tcBorders>
              <w:top w:val="single" w:sz="4" w:space="0" w:color="3A7C22" w:themeColor="accent6" w:themeShade="BF"/>
              <w:bottom w:val="single" w:sz="4" w:space="0" w:color="3A7C22" w:themeColor="accent6" w:themeShade="BF"/>
            </w:tcBorders>
            <w:hideMark/>
          </w:tcPr>
          <w:p w14:paraId="6A5E4624"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Narodowy Fundusz Ochrony Środowiska i Gospodarki Wodnej/Wojewódzkie Fundusze Ochrony Środowiska i Gospodarki Wodnej</w:t>
            </w:r>
          </w:p>
        </w:tc>
        <w:tc>
          <w:tcPr>
            <w:tcW w:w="3548" w:type="dxa"/>
            <w:tcBorders>
              <w:top w:val="single" w:sz="4" w:space="0" w:color="3A7C22" w:themeColor="accent6" w:themeShade="BF"/>
              <w:bottom w:val="single" w:sz="4" w:space="0" w:color="3A7C22" w:themeColor="accent6" w:themeShade="BF"/>
            </w:tcBorders>
            <w:hideMark/>
          </w:tcPr>
          <w:p w14:paraId="3DB5BDB4" w14:textId="77777777" w:rsidR="00781523" w:rsidRPr="006844D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Projekt Czyste Powietrze ma na celu poprawę jakości powietrza, poprzez poprawę sprawności energetycznej budynków. Program Czyste Powietrze dofinansowanie przewiduje w obszarze termomodernizacji budynku.</w:t>
            </w:r>
            <w:r w:rsidRPr="006844D3">
              <w:rPr>
                <w:rFonts w:eastAsia="Times New Roman" w:cs="Calibri"/>
                <w:color w:val="000000"/>
                <w:kern w:val="0"/>
                <w:sz w:val="16"/>
                <w:szCs w:val="16"/>
                <w:lang w:eastAsia="pl-PL"/>
                <w14:ligatures w14:val="none"/>
              </w:rPr>
              <w:br/>
            </w:r>
            <w:r w:rsidRPr="006844D3">
              <w:rPr>
                <w:rFonts w:eastAsia="Times New Roman" w:cs="Calibri"/>
                <w:color w:val="000000"/>
                <w:kern w:val="0"/>
                <w:sz w:val="16"/>
                <w:szCs w:val="16"/>
                <w:lang w:eastAsia="pl-PL"/>
                <w14:ligatures w14:val="none"/>
              </w:rPr>
              <w:br/>
              <w:t>https://czystepowietrze.gov.pl</w:t>
            </w:r>
          </w:p>
        </w:tc>
      </w:tr>
      <w:tr w:rsidR="00781523" w:rsidRPr="00ED52BB" w14:paraId="131D2542" w14:textId="77777777" w:rsidTr="00300186">
        <w:trPr>
          <w:trHeight w:val="816"/>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75AAD037" w14:textId="675CB059"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3502C232"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Mój Prąd</w:t>
            </w:r>
          </w:p>
        </w:tc>
        <w:tc>
          <w:tcPr>
            <w:tcW w:w="1559" w:type="dxa"/>
            <w:tcBorders>
              <w:top w:val="single" w:sz="4" w:space="0" w:color="3A7C22" w:themeColor="accent6" w:themeShade="BF"/>
            </w:tcBorders>
            <w:hideMark/>
          </w:tcPr>
          <w:p w14:paraId="45E0C783"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tcBorders>
            <w:hideMark/>
          </w:tcPr>
          <w:p w14:paraId="5B52D424" w14:textId="0878F849" w:rsidR="00781523" w:rsidRPr="006844D3" w:rsidRDefault="008F6E6E"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5</w:t>
            </w:r>
            <w:r w:rsidRPr="006844D3">
              <w:rPr>
                <w:rFonts w:eastAsia="Times New Roman" w:cs="Calibri"/>
                <w:color w:val="000000"/>
                <w:kern w:val="0"/>
                <w:sz w:val="16"/>
                <w:szCs w:val="16"/>
                <w:lang w:eastAsia="pl-PL"/>
                <w14:ligatures w14:val="none"/>
              </w:rPr>
              <w:t xml:space="preserve"> </w:t>
            </w:r>
            <w:r w:rsidR="00781523" w:rsidRPr="006844D3">
              <w:rPr>
                <w:rFonts w:eastAsia="Times New Roman" w:cs="Calibri"/>
                <w:color w:val="000000"/>
                <w:kern w:val="0"/>
                <w:sz w:val="16"/>
                <w:szCs w:val="16"/>
                <w:lang w:eastAsia="pl-PL"/>
                <w14:ligatures w14:val="none"/>
              </w:rPr>
              <w:t>mld zł</w:t>
            </w:r>
          </w:p>
        </w:tc>
        <w:tc>
          <w:tcPr>
            <w:tcW w:w="1559" w:type="dxa"/>
            <w:tcBorders>
              <w:top w:val="single" w:sz="4" w:space="0" w:color="3A7C22" w:themeColor="accent6" w:themeShade="BF"/>
            </w:tcBorders>
            <w:hideMark/>
          </w:tcPr>
          <w:p w14:paraId="13A143F8" w14:textId="648A19E0"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2019</w:t>
            </w:r>
            <w:r>
              <w:rPr>
                <w:rFonts w:eastAsia="Times New Roman" w:cs="Calibri"/>
                <w:color w:val="000000"/>
                <w:kern w:val="0"/>
                <w:sz w:val="16"/>
                <w:szCs w:val="16"/>
                <w:lang w:eastAsia="pl-PL"/>
                <w14:ligatures w14:val="none"/>
              </w:rPr>
              <w:t>–2</w:t>
            </w:r>
            <w:r w:rsidRPr="006844D3">
              <w:rPr>
                <w:rFonts w:eastAsia="Times New Roman" w:cs="Calibri"/>
                <w:color w:val="000000"/>
                <w:kern w:val="0"/>
                <w:sz w:val="16"/>
                <w:szCs w:val="16"/>
                <w:lang w:eastAsia="pl-PL"/>
                <w14:ligatures w14:val="none"/>
              </w:rPr>
              <w:t>025</w:t>
            </w:r>
          </w:p>
        </w:tc>
        <w:tc>
          <w:tcPr>
            <w:tcW w:w="1281" w:type="dxa"/>
            <w:tcBorders>
              <w:top w:val="single" w:sz="4" w:space="0" w:color="3A7C22" w:themeColor="accent6" w:themeShade="BF"/>
            </w:tcBorders>
            <w:hideMark/>
          </w:tcPr>
          <w:p w14:paraId="2CB9413C" w14:textId="6131F98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środki własne NFOŚiGW</w:t>
            </w:r>
            <w:r>
              <w:rPr>
                <w:rFonts w:eastAsia="Times New Roman" w:cs="Calibri"/>
                <w:color w:val="000000"/>
                <w:kern w:val="0"/>
                <w:sz w:val="16"/>
                <w:szCs w:val="16"/>
                <w:lang w:eastAsia="pl-PL"/>
                <w14:ligatures w14:val="none"/>
              </w:rPr>
              <w:t>/ fundusze unijne</w:t>
            </w:r>
          </w:p>
        </w:tc>
        <w:tc>
          <w:tcPr>
            <w:tcW w:w="1186" w:type="dxa"/>
            <w:tcBorders>
              <w:top w:val="single" w:sz="4" w:space="0" w:color="3A7C22" w:themeColor="accent6" w:themeShade="BF"/>
            </w:tcBorders>
            <w:hideMark/>
          </w:tcPr>
          <w:p w14:paraId="5A0860DB"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Inwestycyjne</w:t>
            </w:r>
          </w:p>
        </w:tc>
        <w:tc>
          <w:tcPr>
            <w:tcW w:w="1413" w:type="dxa"/>
            <w:tcBorders>
              <w:top w:val="single" w:sz="4" w:space="0" w:color="3A7C22" w:themeColor="accent6" w:themeShade="BF"/>
            </w:tcBorders>
            <w:hideMark/>
          </w:tcPr>
          <w:p w14:paraId="0E788508" w14:textId="77777777" w:rsidR="00781523" w:rsidRPr="006844D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Narodowy Fundusz Ochrony Środowiska i Gospodarki Wodnej</w:t>
            </w:r>
          </w:p>
        </w:tc>
        <w:tc>
          <w:tcPr>
            <w:tcW w:w="3548" w:type="dxa"/>
            <w:tcBorders>
              <w:top w:val="single" w:sz="4" w:space="0" w:color="3A7C22" w:themeColor="accent6" w:themeShade="BF"/>
            </w:tcBorders>
            <w:hideMark/>
          </w:tcPr>
          <w:p w14:paraId="409444B8" w14:textId="77777777" w:rsidR="00781523" w:rsidRPr="006844D3"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 xml:space="preserve">Program obejmuje dofinansowane budowy </w:t>
            </w:r>
            <w:proofErr w:type="spellStart"/>
            <w:r w:rsidRPr="006844D3">
              <w:rPr>
                <w:rFonts w:eastAsia="Times New Roman" w:cs="Calibri"/>
                <w:color w:val="000000"/>
                <w:kern w:val="0"/>
                <w:sz w:val="16"/>
                <w:szCs w:val="16"/>
                <w:lang w:eastAsia="pl-PL"/>
                <w14:ligatures w14:val="none"/>
              </w:rPr>
              <w:t>mikroinstalacji</w:t>
            </w:r>
            <w:proofErr w:type="spellEnd"/>
            <w:r w:rsidRPr="006844D3">
              <w:rPr>
                <w:rFonts w:eastAsia="Times New Roman" w:cs="Calibri"/>
                <w:color w:val="000000"/>
                <w:kern w:val="0"/>
                <w:sz w:val="16"/>
                <w:szCs w:val="16"/>
                <w:lang w:eastAsia="pl-PL"/>
                <w14:ligatures w14:val="none"/>
              </w:rPr>
              <w:t xml:space="preserve"> fotowoltaicznych przez beneficjantów indywidualnych.</w:t>
            </w:r>
            <w:r w:rsidRPr="006844D3">
              <w:rPr>
                <w:rFonts w:eastAsia="Times New Roman" w:cs="Calibri"/>
                <w:color w:val="000000"/>
                <w:kern w:val="0"/>
                <w:sz w:val="16"/>
                <w:szCs w:val="16"/>
                <w:lang w:eastAsia="pl-PL"/>
                <w14:ligatures w14:val="none"/>
              </w:rPr>
              <w:br/>
            </w:r>
            <w:r w:rsidRPr="006844D3">
              <w:rPr>
                <w:rFonts w:eastAsia="Times New Roman" w:cs="Calibri"/>
                <w:color w:val="000000"/>
                <w:kern w:val="0"/>
                <w:sz w:val="16"/>
                <w:szCs w:val="16"/>
                <w:lang w:eastAsia="pl-PL"/>
                <w14:ligatures w14:val="none"/>
              </w:rPr>
              <w:br/>
              <w:t>https://mojprad.gov.pl/</w:t>
            </w:r>
          </w:p>
        </w:tc>
      </w:tr>
      <w:tr w:rsidR="00801275" w:rsidRPr="00ED52BB" w14:paraId="0F0655A8" w14:textId="77777777" w:rsidTr="00300186">
        <w:trPr>
          <w:cnfStyle w:val="000000100000" w:firstRow="0" w:lastRow="0" w:firstColumn="0" w:lastColumn="0" w:oddVBand="0" w:evenVBand="0" w:oddHBand="1" w:evenHBand="0" w:firstRowFirstColumn="0" w:firstRowLastColumn="0" w:lastRowFirstColumn="0" w:lastRowLastColumn="0"/>
          <w:trHeight w:val="816"/>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799BE6EB" w14:textId="405B1C64"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6CF6B456"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Inne</w:t>
            </w:r>
            <w:r w:rsidRPr="006844D3">
              <w:rPr>
                <w:rFonts w:eastAsia="Times New Roman" w:cs="Calibri"/>
                <w:color w:val="FF0000"/>
                <w:kern w:val="0"/>
                <w:sz w:val="16"/>
                <w:szCs w:val="16"/>
                <w:lang w:eastAsia="pl-PL"/>
                <w14:ligatures w14:val="none"/>
              </w:rPr>
              <w:t xml:space="preserve"> </w:t>
            </w:r>
            <w:r w:rsidRPr="006844D3">
              <w:rPr>
                <w:rFonts w:eastAsia="Times New Roman" w:cs="Calibri"/>
                <w:color w:val="000000"/>
                <w:kern w:val="0"/>
                <w:sz w:val="16"/>
                <w:szCs w:val="16"/>
                <w:lang w:eastAsia="pl-PL"/>
                <w14:ligatures w14:val="none"/>
              </w:rPr>
              <w:t>programy Finansowane przez NFOŚiGW</w:t>
            </w:r>
          </w:p>
        </w:tc>
        <w:tc>
          <w:tcPr>
            <w:tcW w:w="1559" w:type="dxa"/>
            <w:tcBorders>
              <w:top w:val="single" w:sz="4" w:space="0" w:color="3A7C22" w:themeColor="accent6" w:themeShade="BF"/>
              <w:bottom w:val="single" w:sz="4" w:space="0" w:color="3A7C22" w:themeColor="accent6" w:themeShade="BF"/>
            </w:tcBorders>
            <w:hideMark/>
          </w:tcPr>
          <w:p w14:paraId="4F7147E5"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Mieszane</w:t>
            </w:r>
          </w:p>
        </w:tc>
        <w:tc>
          <w:tcPr>
            <w:tcW w:w="1701" w:type="dxa"/>
            <w:tcBorders>
              <w:top w:val="single" w:sz="4" w:space="0" w:color="3A7C22" w:themeColor="accent6" w:themeShade="BF"/>
              <w:bottom w:val="single" w:sz="4" w:space="0" w:color="3A7C22" w:themeColor="accent6" w:themeShade="BF"/>
            </w:tcBorders>
            <w:hideMark/>
          </w:tcPr>
          <w:p w14:paraId="47DFF162" w14:textId="23D9BF4B" w:rsidR="00781523" w:rsidRPr="006844D3" w:rsidRDefault="008F6E6E"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120</w:t>
            </w:r>
            <w:r w:rsidRPr="006844D3">
              <w:rPr>
                <w:rFonts w:eastAsia="Times New Roman" w:cs="Calibri"/>
                <w:color w:val="000000"/>
                <w:kern w:val="0"/>
                <w:sz w:val="16"/>
                <w:szCs w:val="16"/>
                <w:lang w:eastAsia="pl-PL"/>
                <w14:ligatures w14:val="none"/>
              </w:rPr>
              <w:t xml:space="preserve"> </w:t>
            </w:r>
            <w:r w:rsidR="00781523" w:rsidRPr="006844D3">
              <w:rPr>
                <w:rFonts w:eastAsia="Times New Roman" w:cs="Calibri"/>
                <w:color w:val="000000"/>
                <w:kern w:val="0"/>
                <w:sz w:val="16"/>
                <w:szCs w:val="16"/>
                <w:lang w:eastAsia="pl-PL"/>
                <w14:ligatures w14:val="none"/>
              </w:rPr>
              <w:t>mld zł</w:t>
            </w:r>
          </w:p>
        </w:tc>
        <w:tc>
          <w:tcPr>
            <w:tcW w:w="1559" w:type="dxa"/>
            <w:tcBorders>
              <w:top w:val="single" w:sz="4" w:space="0" w:color="3A7C22" w:themeColor="accent6" w:themeShade="BF"/>
              <w:bottom w:val="single" w:sz="4" w:space="0" w:color="3A7C22" w:themeColor="accent6" w:themeShade="BF"/>
            </w:tcBorders>
            <w:hideMark/>
          </w:tcPr>
          <w:p w14:paraId="753C2A98" w14:textId="2EBADA06"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2021</w:t>
            </w:r>
            <w:r>
              <w:rPr>
                <w:rFonts w:eastAsia="Times New Roman" w:cs="Calibri"/>
                <w:color w:val="000000"/>
                <w:kern w:val="0"/>
                <w:sz w:val="16"/>
                <w:szCs w:val="16"/>
                <w:lang w:eastAsia="pl-PL"/>
                <w14:ligatures w14:val="none"/>
              </w:rPr>
              <w:t>–2</w:t>
            </w:r>
            <w:r w:rsidRPr="006844D3">
              <w:rPr>
                <w:rFonts w:eastAsia="Times New Roman" w:cs="Calibri"/>
                <w:color w:val="000000"/>
                <w:kern w:val="0"/>
                <w:sz w:val="16"/>
                <w:szCs w:val="16"/>
                <w:lang w:eastAsia="pl-PL"/>
                <w14:ligatures w14:val="none"/>
              </w:rPr>
              <w:t>027</w:t>
            </w:r>
          </w:p>
        </w:tc>
        <w:tc>
          <w:tcPr>
            <w:tcW w:w="1281" w:type="dxa"/>
            <w:tcBorders>
              <w:top w:val="single" w:sz="4" w:space="0" w:color="3A7C22" w:themeColor="accent6" w:themeShade="BF"/>
              <w:bottom w:val="single" w:sz="4" w:space="0" w:color="3A7C22" w:themeColor="accent6" w:themeShade="BF"/>
            </w:tcBorders>
            <w:hideMark/>
          </w:tcPr>
          <w:p w14:paraId="203AFBF0"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środki własne NFOŚiGW</w:t>
            </w:r>
          </w:p>
        </w:tc>
        <w:tc>
          <w:tcPr>
            <w:tcW w:w="1186" w:type="dxa"/>
            <w:tcBorders>
              <w:top w:val="single" w:sz="4" w:space="0" w:color="3A7C22" w:themeColor="accent6" w:themeShade="BF"/>
              <w:bottom w:val="single" w:sz="4" w:space="0" w:color="3A7C22" w:themeColor="accent6" w:themeShade="BF"/>
            </w:tcBorders>
            <w:hideMark/>
          </w:tcPr>
          <w:p w14:paraId="11DFDD43"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Mieszane</w:t>
            </w:r>
          </w:p>
        </w:tc>
        <w:tc>
          <w:tcPr>
            <w:tcW w:w="1413" w:type="dxa"/>
            <w:tcBorders>
              <w:top w:val="single" w:sz="4" w:space="0" w:color="3A7C22" w:themeColor="accent6" w:themeShade="BF"/>
              <w:bottom w:val="single" w:sz="4" w:space="0" w:color="3A7C22" w:themeColor="accent6" w:themeShade="BF"/>
            </w:tcBorders>
            <w:hideMark/>
          </w:tcPr>
          <w:p w14:paraId="54381A39" w14:textId="77777777" w:rsidR="00781523" w:rsidRPr="006844D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t xml:space="preserve">Narodowy Fundusz Ochrony Środowiska i </w:t>
            </w:r>
            <w:r w:rsidRPr="006844D3">
              <w:rPr>
                <w:rFonts w:eastAsia="Times New Roman" w:cs="Calibri"/>
                <w:color w:val="000000"/>
                <w:kern w:val="0"/>
                <w:sz w:val="16"/>
                <w:szCs w:val="16"/>
                <w:lang w:eastAsia="pl-PL"/>
                <w14:ligatures w14:val="none"/>
              </w:rPr>
              <w:lastRenderedPageBreak/>
              <w:t>Gospodarki Wodnej</w:t>
            </w:r>
          </w:p>
        </w:tc>
        <w:tc>
          <w:tcPr>
            <w:tcW w:w="3548" w:type="dxa"/>
            <w:tcBorders>
              <w:top w:val="single" w:sz="4" w:space="0" w:color="3A7C22" w:themeColor="accent6" w:themeShade="BF"/>
              <w:bottom w:val="single" w:sz="4" w:space="0" w:color="3A7C22" w:themeColor="accent6" w:themeShade="BF"/>
            </w:tcBorders>
            <w:hideMark/>
          </w:tcPr>
          <w:p w14:paraId="0752D01B" w14:textId="77777777" w:rsidR="00781523" w:rsidRPr="006844D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6844D3">
              <w:rPr>
                <w:rFonts w:eastAsia="Times New Roman" w:cs="Calibri"/>
                <w:color w:val="000000"/>
                <w:kern w:val="0"/>
                <w:sz w:val="16"/>
                <w:szCs w:val="16"/>
                <w:lang w:eastAsia="pl-PL"/>
                <w14:ligatures w14:val="none"/>
              </w:rPr>
              <w:lastRenderedPageBreak/>
              <w:t>Pozycja stanowi całość środków przeznaczonych na programy. Z uwagi na problemy z agregacją danych środki z programu mogą pojawić się w innych pozycjach.</w:t>
            </w:r>
            <w:r w:rsidRPr="006844D3">
              <w:rPr>
                <w:rFonts w:eastAsia="Times New Roman" w:cs="Calibri"/>
                <w:color w:val="000000"/>
                <w:kern w:val="0"/>
                <w:sz w:val="16"/>
                <w:szCs w:val="16"/>
                <w:lang w:eastAsia="pl-PL"/>
                <w14:ligatures w14:val="none"/>
              </w:rPr>
              <w:br/>
            </w:r>
            <w:r w:rsidRPr="006844D3">
              <w:rPr>
                <w:rFonts w:eastAsia="Times New Roman" w:cs="Calibri"/>
                <w:color w:val="000000"/>
                <w:kern w:val="0"/>
                <w:sz w:val="16"/>
                <w:szCs w:val="16"/>
                <w:lang w:eastAsia="pl-PL"/>
                <w14:ligatures w14:val="none"/>
              </w:rPr>
              <w:lastRenderedPageBreak/>
              <w:br/>
              <w:t>https://www.gov.pl/web/nfosigw/</w:t>
            </w:r>
          </w:p>
        </w:tc>
      </w:tr>
      <w:tr w:rsidR="00781523" w:rsidRPr="00ED52BB" w14:paraId="17D74326" w14:textId="77777777" w:rsidTr="00300186">
        <w:trPr>
          <w:trHeight w:val="816"/>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0110CA34" w14:textId="025D1128"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7C29DAE5"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proofErr w:type="spellStart"/>
            <w:r w:rsidRPr="001C55A3">
              <w:rPr>
                <w:rFonts w:eastAsia="Times New Roman" w:cs="Calibri"/>
                <w:color w:val="000000"/>
                <w:kern w:val="0"/>
                <w:sz w:val="16"/>
                <w:szCs w:val="16"/>
                <w:lang w:eastAsia="pl-PL"/>
                <w14:ligatures w14:val="none"/>
              </w:rPr>
              <w:t>Progamy</w:t>
            </w:r>
            <w:proofErr w:type="spellEnd"/>
            <w:r w:rsidRPr="001C55A3">
              <w:rPr>
                <w:rFonts w:eastAsia="Times New Roman" w:cs="Calibri"/>
                <w:color w:val="000000"/>
                <w:kern w:val="0"/>
                <w:sz w:val="16"/>
                <w:szCs w:val="16"/>
                <w:lang w:eastAsia="pl-PL"/>
                <w14:ligatures w14:val="none"/>
              </w:rPr>
              <w:t xml:space="preserve"> Finansowane przez </w:t>
            </w:r>
            <w:proofErr w:type="spellStart"/>
            <w:r w:rsidRPr="001C55A3">
              <w:rPr>
                <w:rFonts w:eastAsia="Times New Roman" w:cs="Calibri"/>
                <w:color w:val="000000"/>
                <w:kern w:val="0"/>
                <w:sz w:val="16"/>
                <w:szCs w:val="16"/>
                <w:lang w:eastAsia="pl-PL"/>
                <w14:ligatures w14:val="none"/>
              </w:rPr>
              <w:t>WFOŚiGW</w:t>
            </w:r>
            <w:proofErr w:type="spellEnd"/>
          </w:p>
        </w:tc>
        <w:tc>
          <w:tcPr>
            <w:tcW w:w="1559" w:type="dxa"/>
            <w:tcBorders>
              <w:top w:val="single" w:sz="4" w:space="0" w:color="3A7C22" w:themeColor="accent6" w:themeShade="BF"/>
              <w:bottom w:val="single" w:sz="4" w:space="0" w:color="3A7C22" w:themeColor="accent6" w:themeShade="BF"/>
            </w:tcBorders>
            <w:hideMark/>
          </w:tcPr>
          <w:p w14:paraId="6CBF7143"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Mieszane</w:t>
            </w:r>
          </w:p>
        </w:tc>
        <w:tc>
          <w:tcPr>
            <w:tcW w:w="1701" w:type="dxa"/>
            <w:tcBorders>
              <w:top w:val="single" w:sz="4" w:space="0" w:color="3A7C22" w:themeColor="accent6" w:themeShade="BF"/>
              <w:bottom w:val="single" w:sz="4" w:space="0" w:color="3A7C22" w:themeColor="accent6" w:themeShade="BF"/>
            </w:tcBorders>
            <w:hideMark/>
          </w:tcPr>
          <w:p w14:paraId="0768F647" w14:textId="738C719E" w:rsidR="00781523" w:rsidRPr="001C55A3" w:rsidRDefault="008F6E6E"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4</w:t>
            </w:r>
            <w:r w:rsidRPr="001C55A3">
              <w:rPr>
                <w:rFonts w:eastAsia="Times New Roman" w:cs="Calibri"/>
                <w:color w:val="000000"/>
                <w:kern w:val="0"/>
                <w:sz w:val="16"/>
                <w:szCs w:val="16"/>
                <w:lang w:eastAsia="pl-PL"/>
                <w14:ligatures w14:val="none"/>
              </w:rPr>
              <w:t xml:space="preserve"> </w:t>
            </w:r>
            <w:r w:rsidR="00781523" w:rsidRPr="001C55A3">
              <w:rPr>
                <w:rFonts w:eastAsia="Times New Roman" w:cs="Calibri"/>
                <w:color w:val="000000"/>
                <w:kern w:val="0"/>
                <w:sz w:val="16"/>
                <w:szCs w:val="16"/>
                <w:lang w:eastAsia="pl-PL"/>
                <w14:ligatures w14:val="none"/>
              </w:rPr>
              <w:t>mld zł</w:t>
            </w:r>
          </w:p>
        </w:tc>
        <w:tc>
          <w:tcPr>
            <w:tcW w:w="1559" w:type="dxa"/>
            <w:tcBorders>
              <w:top w:val="single" w:sz="4" w:space="0" w:color="3A7C22" w:themeColor="accent6" w:themeShade="BF"/>
              <w:bottom w:val="single" w:sz="4" w:space="0" w:color="3A7C22" w:themeColor="accent6" w:themeShade="BF"/>
            </w:tcBorders>
            <w:hideMark/>
          </w:tcPr>
          <w:p w14:paraId="60BCBAA9" w14:textId="3FE94162"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2021</w:t>
            </w:r>
            <w:r>
              <w:rPr>
                <w:rFonts w:eastAsia="Times New Roman" w:cs="Calibri"/>
                <w:color w:val="000000"/>
                <w:kern w:val="0"/>
                <w:sz w:val="16"/>
                <w:szCs w:val="16"/>
                <w:lang w:eastAsia="pl-PL"/>
                <w14:ligatures w14:val="none"/>
              </w:rPr>
              <w:t>–2</w:t>
            </w:r>
            <w:r w:rsidRPr="001C55A3">
              <w:rPr>
                <w:rFonts w:eastAsia="Times New Roman" w:cs="Calibri"/>
                <w:color w:val="000000"/>
                <w:kern w:val="0"/>
                <w:sz w:val="16"/>
                <w:szCs w:val="16"/>
                <w:lang w:eastAsia="pl-PL"/>
                <w14:ligatures w14:val="none"/>
              </w:rPr>
              <w:t>027</w:t>
            </w:r>
          </w:p>
        </w:tc>
        <w:tc>
          <w:tcPr>
            <w:tcW w:w="1281" w:type="dxa"/>
            <w:tcBorders>
              <w:top w:val="single" w:sz="4" w:space="0" w:color="3A7C22" w:themeColor="accent6" w:themeShade="BF"/>
              <w:bottom w:val="single" w:sz="4" w:space="0" w:color="3A7C22" w:themeColor="accent6" w:themeShade="BF"/>
            </w:tcBorders>
            <w:hideMark/>
          </w:tcPr>
          <w:p w14:paraId="4351E06D"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środki własne </w:t>
            </w:r>
            <w:proofErr w:type="spellStart"/>
            <w:r w:rsidRPr="001C55A3">
              <w:rPr>
                <w:rFonts w:eastAsia="Times New Roman" w:cs="Calibri"/>
                <w:color w:val="000000"/>
                <w:kern w:val="0"/>
                <w:sz w:val="16"/>
                <w:szCs w:val="16"/>
                <w:lang w:eastAsia="pl-PL"/>
                <w14:ligatures w14:val="none"/>
              </w:rPr>
              <w:t>WFOŚiGW</w:t>
            </w:r>
            <w:proofErr w:type="spellEnd"/>
          </w:p>
        </w:tc>
        <w:tc>
          <w:tcPr>
            <w:tcW w:w="1186" w:type="dxa"/>
            <w:tcBorders>
              <w:top w:val="single" w:sz="4" w:space="0" w:color="3A7C22" w:themeColor="accent6" w:themeShade="BF"/>
              <w:bottom w:val="single" w:sz="4" w:space="0" w:color="3A7C22" w:themeColor="accent6" w:themeShade="BF"/>
            </w:tcBorders>
            <w:hideMark/>
          </w:tcPr>
          <w:p w14:paraId="371B992E"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Mieszane</w:t>
            </w:r>
          </w:p>
        </w:tc>
        <w:tc>
          <w:tcPr>
            <w:tcW w:w="1413" w:type="dxa"/>
            <w:tcBorders>
              <w:top w:val="single" w:sz="4" w:space="0" w:color="3A7C22" w:themeColor="accent6" w:themeShade="BF"/>
              <w:bottom w:val="single" w:sz="4" w:space="0" w:color="3A7C22" w:themeColor="accent6" w:themeShade="BF"/>
            </w:tcBorders>
            <w:hideMark/>
          </w:tcPr>
          <w:p w14:paraId="38D03C8C"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Wojewódzkie Fundusze Ochrony Środowiska i Gospodarki Wodnej</w:t>
            </w:r>
          </w:p>
        </w:tc>
        <w:tc>
          <w:tcPr>
            <w:tcW w:w="3548" w:type="dxa"/>
            <w:tcBorders>
              <w:top w:val="single" w:sz="4" w:space="0" w:color="3A7C22" w:themeColor="accent6" w:themeShade="BF"/>
              <w:bottom w:val="single" w:sz="4" w:space="0" w:color="3A7C22" w:themeColor="accent6" w:themeShade="BF"/>
            </w:tcBorders>
            <w:hideMark/>
          </w:tcPr>
          <w:p w14:paraId="27AFA199" w14:textId="77777777" w:rsidR="00781523" w:rsidRPr="001C55A3"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Pozycja stanowi całość środków przeznaczonych na programy. Z uwagi na problemy z agregacją danych środki z programu mogą pojawić się w innych pozycjach.</w:t>
            </w:r>
            <w:r w:rsidRPr="001C55A3">
              <w:rPr>
                <w:rFonts w:eastAsia="Times New Roman" w:cs="Calibri"/>
                <w:color w:val="000000"/>
                <w:kern w:val="0"/>
                <w:sz w:val="16"/>
                <w:szCs w:val="16"/>
                <w:lang w:eastAsia="pl-PL"/>
                <w14:ligatures w14:val="none"/>
              </w:rPr>
              <w:br/>
            </w:r>
            <w:r w:rsidRPr="001C55A3">
              <w:rPr>
                <w:rFonts w:eastAsia="Times New Roman" w:cs="Calibri"/>
                <w:color w:val="000000"/>
                <w:kern w:val="0"/>
                <w:sz w:val="16"/>
                <w:szCs w:val="16"/>
                <w:lang w:eastAsia="pl-PL"/>
                <w14:ligatures w14:val="none"/>
              </w:rPr>
              <w:br/>
              <w:t>https://www.gov.pl/web/nfosigw/wfosigw</w:t>
            </w:r>
          </w:p>
        </w:tc>
      </w:tr>
      <w:tr w:rsidR="00801275" w:rsidRPr="00ED52BB" w14:paraId="05924880" w14:textId="77777777" w:rsidTr="00300186">
        <w:trPr>
          <w:cnfStyle w:val="000000100000" w:firstRow="0" w:lastRow="0" w:firstColumn="0" w:lastColumn="0" w:oddVBand="0" w:evenVBand="0" w:oddHBand="1" w:evenHBand="0" w:firstRowFirstColumn="0" w:firstRowLastColumn="0" w:lastRowFirstColumn="0" w:lastRowLastColumn="0"/>
          <w:trHeight w:val="1632"/>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32C31195" w14:textId="77777777"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tcPr>
          <w:p w14:paraId="008645B1" w14:textId="37C79F99"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0C3FCC">
              <w:rPr>
                <w:rFonts w:eastAsia="Times New Roman" w:cs="Calibri"/>
                <w:color w:val="000000"/>
                <w:kern w:val="0"/>
                <w:sz w:val="16"/>
                <w:szCs w:val="16"/>
                <w:lang w:eastAsia="pl-PL"/>
                <w14:ligatures w14:val="none"/>
              </w:rPr>
              <w:t>Instrument finansowy – programy wsparcia transformacji regionów przemysłowych i górniczych</w:t>
            </w:r>
          </w:p>
        </w:tc>
        <w:tc>
          <w:tcPr>
            <w:tcW w:w="1559" w:type="dxa"/>
            <w:tcBorders>
              <w:top w:val="single" w:sz="4" w:space="0" w:color="3A7C22" w:themeColor="accent6" w:themeShade="BF"/>
            </w:tcBorders>
          </w:tcPr>
          <w:p w14:paraId="3A2C527F" w14:textId="145F0F1B"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B661F7">
              <w:rPr>
                <w:rFonts w:eastAsia="Times New Roman" w:cs="Calibri"/>
                <w:color w:val="000000"/>
                <w:kern w:val="0"/>
                <w:sz w:val="16"/>
                <w:szCs w:val="16"/>
                <w:lang w:eastAsia="pl-PL"/>
                <w14:ligatures w14:val="none"/>
              </w:rPr>
              <w:t>Przemysł</w:t>
            </w:r>
            <w:r>
              <w:rPr>
                <w:rFonts w:eastAsia="Times New Roman" w:cs="Calibri"/>
                <w:color w:val="000000"/>
                <w:kern w:val="0"/>
                <w:sz w:val="16"/>
                <w:szCs w:val="16"/>
                <w:lang w:eastAsia="pl-PL"/>
                <w14:ligatures w14:val="none"/>
              </w:rPr>
              <w:t>/</w:t>
            </w:r>
            <w:r w:rsidRPr="00B661F7">
              <w:rPr>
                <w:rFonts w:eastAsia="Times New Roman" w:cs="Calibri"/>
                <w:color w:val="000000"/>
                <w:kern w:val="0"/>
                <w:sz w:val="16"/>
                <w:szCs w:val="16"/>
                <w:lang w:eastAsia="pl-PL"/>
                <w14:ligatures w14:val="none"/>
              </w:rPr>
              <w:t xml:space="preserve"> </w:t>
            </w:r>
            <w:r>
              <w:rPr>
                <w:rFonts w:eastAsia="Times New Roman" w:cs="Calibri"/>
                <w:color w:val="000000"/>
                <w:kern w:val="0"/>
                <w:sz w:val="16"/>
                <w:szCs w:val="16"/>
                <w:lang w:eastAsia="pl-PL"/>
                <w14:ligatures w14:val="none"/>
              </w:rPr>
              <w:t>G</w:t>
            </w:r>
            <w:r w:rsidRPr="00B661F7">
              <w:rPr>
                <w:rFonts w:eastAsia="Times New Roman" w:cs="Calibri"/>
                <w:color w:val="000000"/>
                <w:kern w:val="0"/>
                <w:sz w:val="16"/>
                <w:szCs w:val="16"/>
                <w:lang w:eastAsia="pl-PL"/>
                <w14:ligatures w14:val="none"/>
              </w:rPr>
              <w:t>órnictwo</w:t>
            </w:r>
            <w:r>
              <w:rPr>
                <w:rFonts w:eastAsia="Times New Roman" w:cs="Calibri"/>
                <w:color w:val="000000"/>
                <w:kern w:val="0"/>
                <w:sz w:val="16"/>
                <w:szCs w:val="16"/>
                <w:lang w:eastAsia="pl-PL"/>
                <w14:ligatures w14:val="none"/>
              </w:rPr>
              <w:t>/ Inne sektory</w:t>
            </w:r>
          </w:p>
        </w:tc>
        <w:tc>
          <w:tcPr>
            <w:tcW w:w="1701" w:type="dxa"/>
            <w:tcBorders>
              <w:top w:val="single" w:sz="4" w:space="0" w:color="3A7C22" w:themeColor="accent6" w:themeShade="BF"/>
            </w:tcBorders>
            <w:noWrap/>
          </w:tcPr>
          <w:p w14:paraId="516598A5" w14:textId="4B3A36C0"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046DC6">
              <w:rPr>
                <w:rFonts w:eastAsia="Times New Roman" w:cs="Calibri"/>
                <w:color w:val="000000"/>
                <w:kern w:val="0"/>
                <w:sz w:val="16"/>
                <w:szCs w:val="16"/>
                <w:lang w:eastAsia="pl-PL"/>
                <w14:ligatures w14:val="none"/>
              </w:rPr>
              <w:t>Trudna do oszacowania ze względu na swoją konstrukcję</w:t>
            </w:r>
            <w:r>
              <w:rPr>
                <w:rFonts w:eastAsia="Times New Roman" w:cs="Calibri"/>
                <w:color w:val="000000"/>
                <w:kern w:val="0"/>
                <w:sz w:val="16"/>
                <w:szCs w:val="16"/>
                <w:lang w:eastAsia="pl-PL"/>
                <w14:ligatures w14:val="none"/>
              </w:rPr>
              <w:t>.</w:t>
            </w:r>
          </w:p>
        </w:tc>
        <w:tc>
          <w:tcPr>
            <w:tcW w:w="1559" w:type="dxa"/>
            <w:tcBorders>
              <w:top w:val="single" w:sz="4" w:space="0" w:color="3A7C22" w:themeColor="accent6" w:themeShade="BF"/>
            </w:tcBorders>
            <w:noWrap/>
          </w:tcPr>
          <w:p w14:paraId="419DD453" w14:textId="6FE56DBE"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046DC6">
              <w:rPr>
                <w:rFonts w:eastAsia="Times New Roman" w:cs="Calibri"/>
                <w:color w:val="000000"/>
                <w:kern w:val="0"/>
                <w:sz w:val="16"/>
                <w:szCs w:val="16"/>
                <w:lang w:eastAsia="pl-PL"/>
                <w14:ligatures w14:val="none"/>
              </w:rPr>
              <w:t>Od 2024</w:t>
            </w:r>
            <w:r>
              <w:rPr>
                <w:rFonts w:eastAsia="Times New Roman" w:cs="Calibri"/>
                <w:color w:val="000000"/>
                <w:kern w:val="0"/>
                <w:sz w:val="16"/>
                <w:szCs w:val="16"/>
                <w:lang w:eastAsia="pl-PL"/>
                <w14:ligatures w14:val="none"/>
              </w:rPr>
              <w:t xml:space="preserve"> – </w:t>
            </w:r>
            <w:r w:rsidRPr="00046DC6">
              <w:rPr>
                <w:rFonts w:eastAsia="Times New Roman" w:cs="Calibri"/>
                <w:color w:val="000000"/>
                <w:kern w:val="0"/>
                <w:sz w:val="16"/>
                <w:szCs w:val="16"/>
                <w:lang w:eastAsia="pl-PL"/>
                <w14:ligatures w14:val="none"/>
              </w:rPr>
              <w:t>bezterminowo</w:t>
            </w:r>
          </w:p>
        </w:tc>
        <w:tc>
          <w:tcPr>
            <w:tcW w:w="1281" w:type="dxa"/>
            <w:tcBorders>
              <w:top w:val="single" w:sz="4" w:space="0" w:color="3A7C22" w:themeColor="accent6" w:themeShade="BF"/>
            </w:tcBorders>
          </w:tcPr>
          <w:p w14:paraId="13FB6F3E" w14:textId="43105907" w:rsidR="00781523" w:rsidRPr="00046DC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046DC6">
              <w:rPr>
                <w:rFonts w:eastAsia="Times New Roman" w:cs="Calibri"/>
                <w:color w:val="000000"/>
                <w:kern w:val="0"/>
                <w:sz w:val="16"/>
                <w:szCs w:val="16"/>
                <w:lang w:eastAsia="pl-PL"/>
                <w14:ligatures w14:val="none"/>
              </w:rPr>
              <w:t>Budżet Państwa</w:t>
            </w:r>
            <w:r>
              <w:rPr>
                <w:rFonts w:eastAsia="Times New Roman" w:cs="Calibri"/>
                <w:color w:val="000000"/>
                <w:kern w:val="0"/>
                <w:sz w:val="16"/>
                <w:szCs w:val="16"/>
                <w:lang w:eastAsia="pl-PL"/>
                <w14:ligatures w14:val="none"/>
              </w:rPr>
              <w:t>/</w:t>
            </w:r>
          </w:p>
          <w:p w14:paraId="2FE7677B" w14:textId="77777777" w:rsidR="00781523" w:rsidRPr="00046DC6"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046DC6">
              <w:rPr>
                <w:rFonts w:eastAsia="Times New Roman" w:cs="Calibri"/>
                <w:color w:val="000000"/>
                <w:kern w:val="0"/>
                <w:sz w:val="16"/>
                <w:szCs w:val="16"/>
                <w:lang w:eastAsia="pl-PL"/>
                <w14:ligatures w14:val="none"/>
              </w:rPr>
              <w:t>Środki Unii Europejskiej</w:t>
            </w:r>
          </w:p>
          <w:p w14:paraId="5EE73A95" w14:textId="2B2278A8"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w:t>
            </w:r>
            <w:r w:rsidRPr="00046DC6">
              <w:rPr>
                <w:rFonts w:eastAsia="Times New Roman" w:cs="Calibri"/>
                <w:color w:val="000000"/>
                <w:kern w:val="0"/>
                <w:sz w:val="16"/>
                <w:szCs w:val="16"/>
                <w:lang w:eastAsia="pl-PL"/>
                <w14:ligatures w14:val="none"/>
              </w:rPr>
              <w:t>Sektor finansowo-bankowy</w:t>
            </w:r>
          </w:p>
        </w:tc>
        <w:tc>
          <w:tcPr>
            <w:tcW w:w="1186" w:type="dxa"/>
            <w:tcBorders>
              <w:top w:val="single" w:sz="4" w:space="0" w:color="3A7C22" w:themeColor="accent6" w:themeShade="BF"/>
            </w:tcBorders>
          </w:tcPr>
          <w:p w14:paraId="67BF5C70" w14:textId="1400DF74"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Mieszane</w:t>
            </w:r>
          </w:p>
        </w:tc>
        <w:tc>
          <w:tcPr>
            <w:tcW w:w="1413" w:type="dxa"/>
            <w:tcBorders>
              <w:top w:val="single" w:sz="4" w:space="0" w:color="3A7C22" w:themeColor="accent6" w:themeShade="BF"/>
            </w:tcBorders>
          </w:tcPr>
          <w:p w14:paraId="334A2D9F" w14:textId="14BF385B"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2538C9">
              <w:rPr>
                <w:rFonts w:eastAsia="Times New Roman" w:cs="Calibri"/>
                <w:color w:val="000000"/>
                <w:kern w:val="0"/>
                <w:sz w:val="16"/>
                <w:szCs w:val="16"/>
                <w:lang w:eastAsia="pl-PL"/>
                <w14:ligatures w14:val="none"/>
              </w:rPr>
              <w:t>Fundusz Transformacji Województwa Śląskiego S.A.</w:t>
            </w:r>
          </w:p>
        </w:tc>
        <w:tc>
          <w:tcPr>
            <w:tcW w:w="3548" w:type="dxa"/>
            <w:tcBorders>
              <w:top w:val="single" w:sz="4" w:space="0" w:color="3A7C22" w:themeColor="accent6" w:themeShade="BF"/>
            </w:tcBorders>
          </w:tcPr>
          <w:p w14:paraId="62149FFB" w14:textId="77777777" w:rsidR="00781523" w:rsidRPr="00475A4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475A43">
              <w:rPr>
                <w:rFonts w:eastAsia="Times New Roman" w:cs="Calibri"/>
                <w:color w:val="000000"/>
                <w:kern w:val="0"/>
                <w:sz w:val="16"/>
                <w:szCs w:val="16"/>
                <w:lang w:eastAsia="pl-PL"/>
                <w14:ligatures w14:val="none"/>
              </w:rPr>
              <w:t>Fundusz wraz z Ministrem właściwym ze względu na zakres merytoryczny, może opracować i przyjąć program wsparcia przedsiębiorców, w celu przeciwdziałania negatywnym skutkom wygaszania działalności gospodarczej, w tym działalności wydobywczej węgla kamiennego, występującym na terytorium województwa śląskiego lub poza jego terytorium, tzw. "programy okołogórnicze".</w:t>
            </w:r>
          </w:p>
          <w:p w14:paraId="4C4A5359" w14:textId="77777777" w:rsidR="00781523" w:rsidRPr="00475A4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p>
          <w:p w14:paraId="6E60C7EC" w14:textId="77777777" w:rsidR="0078152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p>
          <w:p w14:paraId="5A6C5E23" w14:textId="090424DB" w:rsidR="00781523" w:rsidRPr="00475A4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Pon</w:t>
            </w:r>
            <w:r w:rsidRPr="00475A43">
              <w:rPr>
                <w:rFonts w:eastAsia="Times New Roman" w:cs="Calibri"/>
                <w:color w:val="000000"/>
                <w:kern w:val="0"/>
                <w:sz w:val="16"/>
                <w:szCs w:val="16"/>
                <w:lang w:eastAsia="pl-PL"/>
                <w14:ligatures w14:val="none"/>
              </w:rPr>
              <w:t xml:space="preserve">adto, Minister właściwy do spraw budżetu, na wniosek Funduszu, może przekazać skarbowe papiery wartościowe na podwyższenie kapitału zakładowego Funduszu. </w:t>
            </w:r>
          </w:p>
          <w:p w14:paraId="3841D60B" w14:textId="77777777" w:rsidR="0078152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475A43">
              <w:rPr>
                <w:rFonts w:eastAsia="Times New Roman" w:cs="Calibri"/>
                <w:color w:val="000000"/>
                <w:kern w:val="0"/>
                <w:sz w:val="16"/>
                <w:szCs w:val="16"/>
                <w:lang w:eastAsia="pl-PL"/>
                <w14:ligatures w14:val="none"/>
              </w:rPr>
              <w:t>Rada Ministrów, na wniosek ministra właściwego do spraw finansów publicznych, może udzielać w imieniu Skarbu Państwa poręczenia lub gwarancji spłaty zobowiązań wynikających z kredytów zaciągniętych lub obligacji wyemitowanych przez Fundusz.</w:t>
            </w:r>
          </w:p>
          <w:p w14:paraId="5A627251" w14:textId="1B341622" w:rsidR="00781523" w:rsidRPr="00475A4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475A43">
              <w:rPr>
                <w:rFonts w:eastAsia="Times New Roman" w:cs="Calibri"/>
                <w:color w:val="000000"/>
                <w:kern w:val="0"/>
                <w:sz w:val="16"/>
                <w:szCs w:val="16"/>
                <w:lang w:eastAsia="pl-PL"/>
                <w14:ligatures w14:val="none"/>
              </w:rPr>
              <w:t>Minister właściwy do spraw rozwoju regionalnego, na wniosek Funduszu, może udzielić Funduszowi dotacji celowej na wykonywanie zadań związanych z przygotowaniem lub realizacją przedsięwzięć w ramach partnerstwa publiczno-prywatnego</w:t>
            </w:r>
          </w:p>
          <w:p w14:paraId="0DC86AF1" w14:textId="77777777" w:rsidR="00781523" w:rsidRPr="00475A4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p>
          <w:p w14:paraId="3FC50D0B" w14:textId="3216F060" w:rsidR="00781523" w:rsidRPr="001C55A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475A43">
              <w:rPr>
                <w:rFonts w:eastAsia="Times New Roman" w:cs="Calibri"/>
                <w:color w:val="000000"/>
                <w:kern w:val="0"/>
                <w:sz w:val="16"/>
                <w:szCs w:val="16"/>
                <w:lang w:eastAsia="pl-PL"/>
                <w14:ligatures w14:val="none"/>
              </w:rPr>
              <w:t xml:space="preserve">Zgodnie z </w:t>
            </w:r>
            <w:r>
              <w:rPr>
                <w:rFonts w:eastAsia="Times New Roman" w:cs="Calibri"/>
                <w:color w:val="000000"/>
                <w:kern w:val="0"/>
                <w:sz w:val="16"/>
                <w:szCs w:val="16"/>
                <w:lang w:eastAsia="pl-PL"/>
                <w14:ligatures w14:val="none"/>
              </w:rPr>
              <w:t>u</w:t>
            </w:r>
            <w:r w:rsidRPr="00475A43">
              <w:rPr>
                <w:rFonts w:eastAsia="Times New Roman" w:cs="Calibri"/>
                <w:color w:val="000000"/>
                <w:kern w:val="0"/>
                <w:sz w:val="16"/>
                <w:szCs w:val="16"/>
                <w:lang w:eastAsia="pl-PL"/>
                <w14:ligatures w14:val="none"/>
              </w:rPr>
              <w:t xml:space="preserve">stawą z dnia 13 stycznia 2023 r. o Funduszu Transformacji Województwa Śląskiego Spółce Akcyjnej, Fundusz posiada szereg możliwości i mechanizmów jakimi może dysponować w celu przeciwdziałania negatywnym skutkom wygaszania działalności gospodarczej, w tym działalności wydobywczej </w:t>
            </w:r>
            <w:r w:rsidRPr="00475A43">
              <w:rPr>
                <w:rFonts w:eastAsia="Times New Roman" w:cs="Calibri"/>
                <w:color w:val="000000"/>
                <w:kern w:val="0"/>
                <w:sz w:val="16"/>
                <w:szCs w:val="16"/>
                <w:lang w:eastAsia="pl-PL"/>
                <w14:ligatures w14:val="none"/>
              </w:rPr>
              <w:lastRenderedPageBreak/>
              <w:t xml:space="preserve">węgla kamiennego. Zasadnym jest zatem ustanowienie aktywnej roli Funduszu Transformacji Województwa Śląskiego S.A. w realizacji celów określonych w KPEiK, jako spółki </w:t>
            </w:r>
            <w:r w:rsidR="005D7930">
              <w:rPr>
                <w:rFonts w:eastAsia="Times New Roman" w:cs="Calibri"/>
                <w:color w:val="000000"/>
                <w:kern w:val="0"/>
                <w:sz w:val="16"/>
                <w:szCs w:val="16"/>
                <w:lang w:eastAsia="pl-PL"/>
                <w14:ligatures w14:val="none"/>
              </w:rPr>
              <w:t>S</w:t>
            </w:r>
            <w:r w:rsidRPr="00475A43">
              <w:rPr>
                <w:rFonts w:eastAsia="Times New Roman" w:cs="Calibri"/>
                <w:color w:val="000000"/>
                <w:kern w:val="0"/>
                <w:sz w:val="16"/>
                <w:szCs w:val="16"/>
                <w:lang w:eastAsia="pl-PL"/>
                <w14:ligatures w14:val="none"/>
              </w:rPr>
              <w:t>karbu Państwa realizującą misję publiczną, w odniesieniu do procesów sprawiedliwej transformacji gospodarki, klimatyczno-energetycznej oraz budowy niezależności energetycznej na rzecz nowych gałęzi przemysłu.</w:t>
            </w:r>
          </w:p>
        </w:tc>
      </w:tr>
      <w:tr w:rsidR="00781523" w:rsidRPr="00ED52BB" w14:paraId="3397F608" w14:textId="77777777" w:rsidTr="00300186">
        <w:trPr>
          <w:trHeight w:val="1632"/>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3837D71B" w14:textId="4767E36D"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5143F987"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Strategiczny Program Badań Naukowych i Prac Rozwojowych pn. „Nowe Technologie w zakresie energii" (NTE) </w:t>
            </w:r>
          </w:p>
        </w:tc>
        <w:tc>
          <w:tcPr>
            <w:tcW w:w="1559" w:type="dxa"/>
            <w:tcBorders>
              <w:top w:val="single" w:sz="4" w:space="0" w:color="3A7C22" w:themeColor="accent6" w:themeShade="BF"/>
            </w:tcBorders>
            <w:hideMark/>
          </w:tcPr>
          <w:p w14:paraId="37C89E43"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Badania i rozwój</w:t>
            </w:r>
          </w:p>
        </w:tc>
        <w:tc>
          <w:tcPr>
            <w:tcW w:w="1701" w:type="dxa"/>
            <w:tcBorders>
              <w:top w:val="single" w:sz="4" w:space="0" w:color="3A7C22" w:themeColor="accent6" w:themeShade="BF"/>
            </w:tcBorders>
            <w:noWrap/>
            <w:hideMark/>
          </w:tcPr>
          <w:p w14:paraId="266C5199"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800 mln zł</w:t>
            </w:r>
          </w:p>
        </w:tc>
        <w:tc>
          <w:tcPr>
            <w:tcW w:w="1559" w:type="dxa"/>
            <w:tcBorders>
              <w:top w:val="single" w:sz="4" w:space="0" w:color="3A7C22" w:themeColor="accent6" w:themeShade="BF"/>
            </w:tcBorders>
            <w:noWrap/>
            <w:hideMark/>
          </w:tcPr>
          <w:p w14:paraId="24832B95" w14:textId="697F1249"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2021</w:t>
            </w:r>
            <w:r>
              <w:rPr>
                <w:rFonts w:eastAsia="Times New Roman" w:cs="Calibri"/>
                <w:color w:val="000000"/>
                <w:kern w:val="0"/>
                <w:sz w:val="16"/>
                <w:szCs w:val="16"/>
                <w:lang w:eastAsia="pl-PL"/>
                <w14:ligatures w14:val="none"/>
              </w:rPr>
              <w:t>–2</w:t>
            </w:r>
            <w:r w:rsidRPr="001C55A3">
              <w:rPr>
                <w:rFonts w:eastAsia="Times New Roman" w:cs="Calibri"/>
                <w:color w:val="000000"/>
                <w:kern w:val="0"/>
                <w:sz w:val="16"/>
                <w:szCs w:val="16"/>
                <w:lang w:eastAsia="pl-PL"/>
                <w14:ligatures w14:val="none"/>
              </w:rPr>
              <w:t>036</w:t>
            </w:r>
          </w:p>
        </w:tc>
        <w:tc>
          <w:tcPr>
            <w:tcW w:w="1281" w:type="dxa"/>
            <w:tcBorders>
              <w:top w:val="single" w:sz="4" w:space="0" w:color="3A7C22" w:themeColor="accent6" w:themeShade="BF"/>
            </w:tcBorders>
            <w:hideMark/>
          </w:tcPr>
          <w:p w14:paraId="572BB42A"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Dotacja celowa na realizację strategicznych programów badań naukowych i prac rozwojowych, a także ze środków  przedsiębiorców i innych instytucji działających w obszarze Programu</w:t>
            </w:r>
          </w:p>
        </w:tc>
        <w:tc>
          <w:tcPr>
            <w:tcW w:w="1186" w:type="dxa"/>
            <w:tcBorders>
              <w:top w:val="single" w:sz="4" w:space="0" w:color="3A7C22" w:themeColor="accent6" w:themeShade="BF"/>
            </w:tcBorders>
            <w:hideMark/>
          </w:tcPr>
          <w:p w14:paraId="42ABA293"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Mieszane</w:t>
            </w:r>
          </w:p>
        </w:tc>
        <w:tc>
          <w:tcPr>
            <w:tcW w:w="1413" w:type="dxa"/>
            <w:tcBorders>
              <w:top w:val="single" w:sz="4" w:space="0" w:color="3A7C22" w:themeColor="accent6" w:themeShade="BF"/>
            </w:tcBorders>
            <w:hideMark/>
          </w:tcPr>
          <w:p w14:paraId="4D88A9C8"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N</w:t>
            </w:r>
            <w:r>
              <w:rPr>
                <w:rFonts w:eastAsia="Times New Roman" w:cs="Calibri"/>
                <w:color w:val="000000"/>
                <w:kern w:val="0"/>
                <w:sz w:val="16"/>
                <w:szCs w:val="16"/>
                <w:lang w:eastAsia="pl-PL"/>
                <w14:ligatures w14:val="none"/>
              </w:rPr>
              <w:t>arodowe Centrum Badań i Rozwoju</w:t>
            </w:r>
          </w:p>
        </w:tc>
        <w:tc>
          <w:tcPr>
            <w:tcW w:w="3548" w:type="dxa"/>
            <w:tcBorders>
              <w:top w:val="single" w:sz="4" w:space="0" w:color="3A7C22" w:themeColor="accent6" w:themeShade="BF"/>
            </w:tcBorders>
            <w:hideMark/>
          </w:tcPr>
          <w:p w14:paraId="0EE64955" w14:textId="77777777" w:rsidR="00781523" w:rsidRPr="001C55A3"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Cele szczegółowe Programu:</w:t>
            </w:r>
            <w:r w:rsidRPr="001C55A3">
              <w:rPr>
                <w:rFonts w:eastAsia="Times New Roman" w:cs="Calibri"/>
                <w:color w:val="000000"/>
                <w:kern w:val="0"/>
                <w:sz w:val="16"/>
                <w:szCs w:val="16"/>
                <w:lang w:eastAsia="pl-PL"/>
                <w14:ligatures w14:val="none"/>
              </w:rPr>
              <w:br/>
              <w:t xml:space="preserve">- wzrost potencjału przemysłu energetyki odnawialnej (w tym </w:t>
            </w:r>
            <w:proofErr w:type="spellStart"/>
            <w:r w:rsidRPr="001C55A3">
              <w:rPr>
                <w:rFonts w:eastAsia="Times New Roman" w:cs="Calibri"/>
                <w:color w:val="000000"/>
                <w:kern w:val="0"/>
                <w:sz w:val="16"/>
                <w:szCs w:val="16"/>
                <w:lang w:eastAsia="pl-PL"/>
                <w14:ligatures w14:val="none"/>
              </w:rPr>
              <w:t>prosumenckiej</w:t>
            </w:r>
            <w:proofErr w:type="spellEnd"/>
            <w:r w:rsidRPr="001C55A3">
              <w:rPr>
                <w:rFonts w:eastAsia="Times New Roman" w:cs="Calibri"/>
                <w:color w:val="000000"/>
                <w:kern w:val="0"/>
                <w:sz w:val="16"/>
                <w:szCs w:val="16"/>
                <w:lang w:eastAsia="pl-PL"/>
                <w14:ligatures w14:val="none"/>
              </w:rPr>
              <w:t>);</w:t>
            </w:r>
            <w:r w:rsidRPr="001C55A3">
              <w:rPr>
                <w:rFonts w:eastAsia="Times New Roman" w:cs="Calibri"/>
                <w:color w:val="000000"/>
                <w:kern w:val="0"/>
                <w:sz w:val="16"/>
                <w:szCs w:val="16"/>
                <w:lang w:eastAsia="pl-PL"/>
                <w14:ligatures w14:val="none"/>
              </w:rPr>
              <w:br/>
              <w:t>- rozwój inteligentnej infrastruktury sieciowej (energetycznej);</w:t>
            </w:r>
            <w:r w:rsidRPr="001C55A3">
              <w:rPr>
                <w:rFonts w:eastAsia="Times New Roman" w:cs="Calibri"/>
                <w:color w:val="000000"/>
                <w:kern w:val="0"/>
                <w:sz w:val="16"/>
                <w:szCs w:val="16"/>
                <w:lang w:eastAsia="pl-PL"/>
                <w14:ligatures w14:val="none"/>
              </w:rPr>
              <w:br/>
              <w:t>- obniżenie emisyjności energetyki poprzez zwiększenie wykorzystania surowców biodegradowalnych oraz produktów odpadowych.</w:t>
            </w:r>
            <w:r w:rsidRPr="001C55A3">
              <w:rPr>
                <w:rFonts w:eastAsia="Times New Roman" w:cs="Calibri"/>
                <w:color w:val="000000"/>
                <w:kern w:val="0"/>
                <w:sz w:val="16"/>
                <w:szCs w:val="16"/>
                <w:lang w:eastAsia="pl-PL"/>
                <w14:ligatures w14:val="none"/>
              </w:rPr>
              <w:br/>
            </w:r>
            <w:r w:rsidRPr="001C55A3">
              <w:rPr>
                <w:rFonts w:eastAsia="Times New Roman" w:cs="Calibri"/>
                <w:color w:val="000000"/>
                <w:kern w:val="0"/>
                <w:sz w:val="16"/>
                <w:szCs w:val="16"/>
                <w:lang w:eastAsia="pl-PL"/>
                <w14:ligatures w14:val="none"/>
              </w:rPr>
              <w:br/>
              <w:t>https://www.gov.pl/web/ncbr/nowe-technologie-w-zakresie-energii</w:t>
            </w:r>
          </w:p>
        </w:tc>
      </w:tr>
      <w:tr w:rsidR="00801275" w:rsidRPr="00ED52BB" w14:paraId="42E01A5E" w14:textId="77777777" w:rsidTr="00300186">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67C65490" w14:textId="778CB9C4"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3EA71957" w14:textId="6DEF9E46"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Projekty Badawcze Sieci Badawczej Łukasiewicz </w:t>
            </w:r>
          </w:p>
        </w:tc>
        <w:tc>
          <w:tcPr>
            <w:tcW w:w="1559" w:type="dxa"/>
            <w:tcBorders>
              <w:top w:val="single" w:sz="4" w:space="0" w:color="3A7C22" w:themeColor="accent6" w:themeShade="BF"/>
            </w:tcBorders>
            <w:hideMark/>
          </w:tcPr>
          <w:p w14:paraId="2B83F034"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Badania i rozwój</w:t>
            </w:r>
          </w:p>
        </w:tc>
        <w:tc>
          <w:tcPr>
            <w:tcW w:w="1701" w:type="dxa"/>
            <w:tcBorders>
              <w:top w:val="single" w:sz="4" w:space="0" w:color="3A7C22" w:themeColor="accent6" w:themeShade="BF"/>
            </w:tcBorders>
            <w:hideMark/>
          </w:tcPr>
          <w:p w14:paraId="7FA2CD4F"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w:t>
            </w:r>
          </w:p>
        </w:tc>
        <w:tc>
          <w:tcPr>
            <w:tcW w:w="1559" w:type="dxa"/>
            <w:tcBorders>
              <w:top w:val="single" w:sz="4" w:space="0" w:color="3A7C22" w:themeColor="accent6" w:themeShade="BF"/>
            </w:tcBorders>
            <w:hideMark/>
          </w:tcPr>
          <w:p w14:paraId="23AB4869"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nie określono daty końcowej</w:t>
            </w:r>
          </w:p>
        </w:tc>
        <w:tc>
          <w:tcPr>
            <w:tcW w:w="1281" w:type="dxa"/>
            <w:tcBorders>
              <w:top w:val="single" w:sz="4" w:space="0" w:color="3A7C22" w:themeColor="accent6" w:themeShade="BF"/>
            </w:tcBorders>
            <w:hideMark/>
          </w:tcPr>
          <w:p w14:paraId="7D05AF98"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Środki własne Sieci Badawczej Łukasiewicz (dotacje celowe/subwencje) / Budżet państwa</w:t>
            </w:r>
          </w:p>
        </w:tc>
        <w:tc>
          <w:tcPr>
            <w:tcW w:w="1186" w:type="dxa"/>
            <w:tcBorders>
              <w:top w:val="single" w:sz="4" w:space="0" w:color="3A7C22" w:themeColor="accent6" w:themeShade="BF"/>
            </w:tcBorders>
            <w:hideMark/>
          </w:tcPr>
          <w:p w14:paraId="5E2E570C"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Inwestycyjne</w:t>
            </w:r>
          </w:p>
        </w:tc>
        <w:tc>
          <w:tcPr>
            <w:tcW w:w="1413" w:type="dxa"/>
            <w:tcBorders>
              <w:top w:val="single" w:sz="4" w:space="0" w:color="3A7C22" w:themeColor="accent6" w:themeShade="BF"/>
            </w:tcBorders>
            <w:hideMark/>
          </w:tcPr>
          <w:p w14:paraId="32CE58E0"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Sieć Badawcza Łukasiewicz/Ministerstwo Nauki i Szkolnictwa wyższego</w:t>
            </w:r>
          </w:p>
        </w:tc>
        <w:tc>
          <w:tcPr>
            <w:tcW w:w="3548" w:type="dxa"/>
            <w:tcBorders>
              <w:top w:val="single" w:sz="4" w:space="0" w:color="3A7C22" w:themeColor="accent6" w:themeShade="BF"/>
            </w:tcBorders>
            <w:hideMark/>
          </w:tcPr>
          <w:p w14:paraId="31346A55" w14:textId="133BC606" w:rsidR="00781523" w:rsidRPr="001C55A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563C1"/>
                <w:kern w:val="0"/>
                <w:sz w:val="16"/>
                <w:szCs w:val="16"/>
                <w:u w:val="single"/>
                <w:lang w:eastAsia="pl-PL"/>
                <w14:ligatures w14:val="none"/>
              </w:rPr>
            </w:pPr>
            <w:hyperlink r:id="rId18" w:history="1">
              <w:r w:rsidRPr="001C55A3">
                <w:rPr>
                  <w:rFonts w:eastAsia="Times New Roman" w:cs="Calibri"/>
                  <w:color w:val="0563C1"/>
                  <w:kern w:val="0"/>
                  <w:sz w:val="16"/>
                  <w:szCs w:val="16"/>
                  <w:u w:val="single"/>
                  <w:lang w:eastAsia="pl-PL"/>
                  <w14:ligatures w14:val="none"/>
                </w:rPr>
                <w:t>https://lukasiewicz.gov.pl/</w:t>
              </w:r>
            </w:hyperlink>
          </w:p>
        </w:tc>
      </w:tr>
      <w:tr w:rsidR="00781523" w:rsidRPr="00ED52BB" w14:paraId="4C06D9BF" w14:textId="77777777" w:rsidTr="00300186">
        <w:trPr>
          <w:trHeight w:val="1224"/>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2A6059AC" w14:textId="6CBF9DFE"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4D5CE6F0"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Konkursy NCN</w:t>
            </w:r>
          </w:p>
        </w:tc>
        <w:tc>
          <w:tcPr>
            <w:tcW w:w="1559" w:type="dxa"/>
            <w:tcBorders>
              <w:top w:val="single" w:sz="4" w:space="0" w:color="3A7C22" w:themeColor="accent6" w:themeShade="BF"/>
              <w:bottom w:val="single" w:sz="4" w:space="0" w:color="3A7C22" w:themeColor="accent6" w:themeShade="BF"/>
            </w:tcBorders>
            <w:hideMark/>
          </w:tcPr>
          <w:p w14:paraId="00145BA9"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Badania i rozwój</w:t>
            </w:r>
          </w:p>
        </w:tc>
        <w:tc>
          <w:tcPr>
            <w:tcW w:w="1701" w:type="dxa"/>
            <w:tcBorders>
              <w:top w:val="single" w:sz="4" w:space="0" w:color="3A7C22" w:themeColor="accent6" w:themeShade="BF"/>
              <w:bottom w:val="single" w:sz="4" w:space="0" w:color="3A7C22" w:themeColor="accent6" w:themeShade="BF"/>
            </w:tcBorders>
            <w:hideMark/>
          </w:tcPr>
          <w:p w14:paraId="280D0709"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94,3 mln zł</w:t>
            </w:r>
          </w:p>
        </w:tc>
        <w:tc>
          <w:tcPr>
            <w:tcW w:w="1559" w:type="dxa"/>
            <w:tcBorders>
              <w:top w:val="single" w:sz="4" w:space="0" w:color="3A7C22" w:themeColor="accent6" w:themeShade="BF"/>
              <w:bottom w:val="single" w:sz="4" w:space="0" w:color="3A7C22" w:themeColor="accent6" w:themeShade="BF"/>
            </w:tcBorders>
            <w:hideMark/>
          </w:tcPr>
          <w:p w14:paraId="16D3B74B" w14:textId="10D7FBEC"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2024</w:t>
            </w:r>
            <w:r>
              <w:rPr>
                <w:rFonts w:eastAsia="Times New Roman" w:cs="Calibri"/>
                <w:color w:val="000000"/>
                <w:kern w:val="0"/>
                <w:sz w:val="16"/>
                <w:szCs w:val="16"/>
                <w:lang w:eastAsia="pl-PL"/>
                <w14:ligatures w14:val="none"/>
              </w:rPr>
              <w:t>–2</w:t>
            </w:r>
            <w:r w:rsidRPr="001C55A3">
              <w:rPr>
                <w:rFonts w:eastAsia="Times New Roman" w:cs="Calibri"/>
                <w:color w:val="000000"/>
                <w:kern w:val="0"/>
                <w:sz w:val="16"/>
                <w:szCs w:val="16"/>
                <w:lang w:eastAsia="pl-PL"/>
                <w14:ligatures w14:val="none"/>
              </w:rPr>
              <w:t>028</w:t>
            </w:r>
          </w:p>
        </w:tc>
        <w:tc>
          <w:tcPr>
            <w:tcW w:w="1281" w:type="dxa"/>
            <w:tcBorders>
              <w:top w:val="single" w:sz="4" w:space="0" w:color="3A7C22" w:themeColor="accent6" w:themeShade="BF"/>
              <w:bottom w:val="single" w:sz="4" w:space="0" w:color="3A7C22" w:themeColor="accent6" w:themeShade="BF"/>
            </w:tcBorders>
            <w:hideMark/>
          </w:tcPr>
          <w:p w14:paraId="532B8340" w14:textId="314AA64C"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Budżet państwa</w:t>
            </w:r>
            <w:r>
              <w:rPr>
                <w:rFonts w:eastAsia="Times New Roman" w:cs="Calibri"/>
                <w:color w:val="000000"/>
                <w:kern w:val="0"/>
                <w:sz w:val="16"/>
                <w:szCs w:val="16"/>
                <w:lang w:eastAsia="pl-PL"/>
                <w14:ligatures w14:val="none"/>
              </w:rPr>
              <w:t xml:space="preserve"> – </w:t>
            </w:r>
            <w:r w:rsidRPr="001C55A3">
              <w:rPr>
                <w:rFonts w:eastAsia="Times New Roman" w:cs="Calibri"/>
                <w:color w:val="000000"/>
                <w:kern w:val="0"/>
                <w:sz w:val="16"/>
                <w:szCs w:val="16"/>
                <w:lang w:eastAsia="pl-PL"/>
                <w14:ligatures w14:val="none"/>
              </w:rPr>
              <w:t>dotacja celowa NCN</w:t>
            </w:r>
          </w:p>
        </w:tc>
        <w:tc>
          <w:tcPr>
            <w:tcW w:w="1186" w:type="dxa"/>
            <w:tcBorders>
              <w:top w:val="single" w:sz="4" w:space="0" w:color="3A7C22" w:themeColor="accent6" w:themeShade="BF"/>
              <w:bottom w:val="single" w:sz="4" w:space="0" w:color="3A7C22" w:themeColor="accent6" w:themeShade="BF"/>
            </w:tcBorders>
            <w:hideMark/>
          </w:tcPr>
          <w:p w14:paraId="47570145"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Mieszane</w:t>
            </w:r>
          </w:p>
        </w:tc>
        <w:tc>
          <w:tcPr>
            <w:tcW w:w="1413" w:type="dxa"/>
            <w:tcBorders>
              <w:top w:val="single" w:sz="4" w:space="0" w:color="3A7C22" w:themeColor="accent6" w:themeShade="BF"/>
              <w:bottom w:val="single" w:sz="4" w:space="0" w:color="3A7C22" w:themeColor="accent6" w:themeShade="BF"/>
            </w:tcBorders>
            <w:hideMark/>
          </w:tcPr>
          <w:p w14:paraId="6FD897CB"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Narodowe Centrum Nauki (NCN)</w:t>
            </w:r>
          </w:p>
        </w:tc>
        <w:tc>
          <w:tcPr>
            <w:tcW w:w="3548" w:type="dxa"/>
            <w:tcBorders>
              <w:top w:val="single" w:sz="4" w:space="0" w:color="3A7C22" w:themeColor="accent6" w:themeShade="BF"/>
              <w:bottom w:val="single" w:sz="4" w:space="0" w:color="3A7C22" w:themeColor="accent6" w:themeShade="BF"/>
            </w:tcBorders>
            <w:hideMark/>
          </w:tcPr>
          <w:p w14:paraId="63443DE1" w14:textId="77777777" w:rsidR="00781523" w:rsidRPr="001C55A3"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NCN wspiera badania podstawowe poprzez finansowanie w drodze konkursów projektów badawczych i/lub działań naukowych, czyli prac empirycznych lub teoretycznych mających przede wszystkim na celu zdobywanie nowej wiedzy o podstawach zjawisk i obserwowalnych faktów bez nastawienia na bezpośrednie zastosowanie komercyjne. NCN nie wskazuje priorytetowych kierunków badań. Wyboru tematu badań dokonują naukowcy składając wnioski w konkursach.</w:t>
            </w:r>
          </w:p>
        </w:tc>
      </w:tr>
      <w:tr w:rsidR="00801275" w:rsidRPr="00ED52BB" w14:paraId="35D0F018" w14:textId="77777777" w:rsidTr="00300186">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3DDC5BA3" w14:textId="0E1D1AFA"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49B46198"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Działania Narodowego Centrum Badań i Rozwoju</w:t>
            </w:r>
          </w:p>
        </w:tc>
        <w:tc>
          <w:tcPr>
            <w:tcW w:w="1559" w:type="dxa"/>
            <w:tcBorders>
              <w:top w:val="single" w:sz="4" w:space="0" w:color="3A7C22" w:themeColor="accent6" w:themeShade="BF"/>
              <w:bottom w:val="single" w:sz="4" w:space="0" w:color="3A7C22" w:themeColor="accent6" w:themeShade="BF"/>
            </w:tcBorders>
            <w:hideMark/>
          </w:tcPr>
          <w:p w14:paraId="2810D4D8"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Badania i rozwój</w:t>
            </w:r>
          </w:p>
        </w:tc>
        <w:tc>
          <w:tcPr>
            <w:tcW w:w="1701" w:type="dxa"/>
            <w:tcBorders>
              <w:top w:val="single" w:sz="4" w:space="0" w:color="3A7C22" w:themeColor="accent6" w:themeShade="BF"/>
              <w:bottom w:val="single" w:sz="4" w:space="0" w:color="3A7C22" w:themeColor="accent6" w:themeShade="BF"/>
            </w:tcBorders>
            <w:hideMark/>
          </w:tcPr>
          <w:p w14:paraId="28C22708"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w:t>
            </w:r>
          </w:p>
        </w:tc>
        <w:tc>
          <w:tcPr>
            <w:tcW w:w="1559" w:type="dxa"/>
            <w:tcBorders>
              <w:top w:val="single" w:sz="4" w:space="0" w:color="3A7C22" w:themeColor="accent6" w:themeShade="BF"/>
              <w:bottom w:val="single" w:sz="4" w:space="0" w:color="3A7C22" w:themeColor="accent6" w:themeShade="BF"/>
            </w:tcBorders>
            <w:hideMark/>
          </w:tcPr>
          <w:p w14:paraId="3B60191A"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Nie określono daty końcowej</w:t>
            </w:r>
          </w:p>
        </w:tc>
        <w:tc>
          <w:tcPr>
            <w:tcW w:w="1281" w:type="dxa"/>
            <w:tcBorders>
              <w:top w:val="single" w:sz="4" w:space="0" w:color="3A7C22" w:themeColor="accent6" w:themeShade="BF"/>
              <w:bottom w:val="single" w:sz="4" w:space="0" w:color="3A7C22" w:themeColor="accent6" w:themeShade="BF"/>
            </w:tcBorders>
            <w:hideMark/>
          </w:tcPr>
          <w:p w14:paraId="70AFC0F3"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Budżet państwa, Środki własne i Fundusze europejskie</w:t>
            </w:r>
          </w:p>
        </w:tc>
        <w:tc>
          <w:tcPr>
            <w:tcW w:w="1186" w:type="dxa"/>
            <w:tcBorders>
              <w:top w:val="single" w:sz="4" w:space="0" w:color="3A7C22" w:themeColor="accent6" w:themeShade="BF"/>
              <w:bottom w:val="single" w:sz="4" w:space="0" w:color="3A7C22" w:themeColor="accent6" w:themeShade="BF"/>
            </w:tcBorders>
            <w:hideMark/>
          </w:tcPr>
          <w:p w14:paraId="218A278F"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Mieszane</w:t>
            </w:r>
          </w:p>
        </w:tc>
        <w:tc>
          <w:tcPr>
            <w:tcW w:w="1413" w:type="dxa"/>
            <w:tcBorders>
              <w:top w:val="single" w:sz="4" w:space="0" w:color="3A7C22" w:themeColor="accent6" w:themeShade="BF"/>
              <w:bottom w:val="single" w:sz="4" w:space="0" w:color="3A7C22" w:themeColor="accent6" w:themeShade="BF"/>
            </w:tcBorders>
            <w:hideMark/>
          </w:tcPr>
          <w:p w14:paraId="4C1C6766"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Narodowe Centrum Badań i Rozwoju</w:t>
            </w:r>
          </w:p>
        </w:tc>
        <w:tc>
          <w:tcPr>
            <w:tcW w:w="3548" w:type="dxa"/>
            <w:tcBorders>
              <w:top w:val="single" w:sz="4" w:space="0" w:color="3A7C22" w:themeColor="accent6" w:themeShade="BF"/>
              <w:bottom w:val="single" w:sz="4" w:space="0" w:color="3A7C22" w:themeColor="accent6" w:themeShade="BF"/>
            </w:tcBorders>
            <w:hideMark/>
          </w:tcPr>
          <w:p w14:paraId="78B794B6" w14:textId="77777777" w:rsidR="00781523" w:rsidRPr="001C55A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563C1"/>
                <w:kern w:val="0"/>
                <w:sz w:val="16"/>
                <w:szCs w:val="16"/>
                <w:u w:val="single"/>
                <w:lang w:eastAsia="pl-PL"/>
                <w14:ligatures w14:val="none"/>
              </w:rPr>
            </w:pPr>
            <w:r w:rsidRPr="001C55A3">
              <w:rPr>
                <w:rFonts w:eastAsia="Times New Roman" w:cs="Calibri"/>
                <w:color w:val="0563C1"/>
                <w:kern w:val="0"/>
                <w:sz w:val="16"/>
                <w:szCs w:val="16"/>
                <w:u w:val="single"/>
                <w:lang w:eastAsia="pl-PL"/>
                <w14:ligatures w14:val="none"/>
              </w:rPr>
              <w:t>https://www.gov.pl/web/ncbr</w:t>
            </w:r>
          </w:p>
        </w:tc>
      </w:tr>
      <w:tr w:rsidR="00781523" w:rsidRPr="00ED52BB" w14:paraId="69FF7BDB" w14:textId="77777777" w:rsidTr="00300186">
        <w:trPr>
          <w:trHeight w:val="1632"/>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2B97AACD" w14:textId="0DA0AC7C"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74804B64" w14:textId="6CF14479"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Kształcenie i doskonalenie zawodowe kadr dla gospodarki w zakresie   transformacji energetyczno-klimatycznej</w:t>
            </w:r>
          </w:p>
        </w:tc>
        <w:tc>
          <w:tcPr>
            <w:tcW w:w="1559" w:type="dxa"/>
            <w:tcBorders>
              <w:top w:val="single" w:sz="4" w:space="0" w:color="3A7C22" w:themeColor="accent6" w:themeShade="BF"/>
              <w:bottom w:val="single" w:sz="4" w:space="0" w:color="3A7C22" w:themeColor="accent6" w:themeShade="BF"/>
            </w:tcBorders>
            <w:hideMark/>
          </w:tcPr>
          <w:p w14:paraId="78D9421F"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Badania i rozwój</w:t>
            </w:r>
          </w:p>
        </w:tc>
        <w:tc>
          <w:tcPr>
            <w:tcW w:w="1701" w:type="dxa"/>
            <w:tcBorders>
              <w:top w:val="single" w:sz="4" w:space="0" w:color="3A7C22" w:themeColor="accent6" w:themeShade="BF"/>
              <w:bottom w:val="single" w:sz="4" w:space="0" w:color="3A7C22" w:themeColor="accent6" w:themeShade="BF"/>
            </w:tcBorders>
            <w:hideMark/>
          </w:tcPr>
          <w:p w14:paraId="41CA96C6" w14:textId="36B1B604"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Trudna do oszacowania ze względu na swoją konstrukcję </w:t>
            </w:r>
          </w:p>
        </w:tc>
        <w:tc>
          <w:tcPr>
            <w:tcW w:w="1559" w:type="dxa"/>
            <w:tcBorders>
              <w:top w:val="single" w:sz="4" w:space="0" w:color="3A7C22" w:themeColor="accent6" w:themeShade="BF"/>
              <w:bottom w:val="single" w:sz="4" w:space="0" w:color="3A7C22" w:themeColor="accent6" w:themeShade="BF"/>
            </w:tcBorders>
            <w:hideMark/>
          </w:tcPr>
          <w:p w14:paraId="1406F8FB" w14:textId="0FA0F88E"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2023</w:t>
            </w:r>
            <w:r>
              <w:rPr>
                <w:rFonts w:eastAsia="Times New Roman" w:cs="Calibri"/>
                <w:color w:val="000000"/>
                <w:kern w:val="0"/>
                <w:sz w:val="16"/>
                <w:szCs w:val="16"/>
                <w:lang w:eastAsia="pl-PL"/>
                <w14:ligatures w14:val="none"/>
              </w:rPr>
              <w:t>–2</w:t>
            </w:r>
            <w:r w:rsidRPr="001C55A3">
              <w:rPr>
                <w:rFonts w:eastAsia="Times New Roman" w:cs="Calibri"/>
                <w:color w:val="000000"/>
                <w:kern w:val="0"/>
                <w:sz w:val="16"/>
                <w:szCs w:val="16"/>
                <w:lang w:eastAsia="pl-PL"/>
                <w14:ligatures w14:val="none"/>
              </w:rPr>
              <w:t>027</w:t>
            </w:r>
          </w:p>
        </w:tc>
        <w:tc>
          <w:tcPr>
            <w:tcW w:w="1281" w:type="dxa"/>
            <w:tcBorders>
              <w:top w:val="single" w:sz="4" w:space="0" w:color="3A7C22" w:themeColor="accent6" w:themeShade="BF"/>
              <w:bottom w:val="single" w:sz="4" w:space="0" w:color="3A7C22" w:themeColor="accent6" w:themeShade="BF"/>
            </w:tcBorders>
            <w:hideMark/>
          </w:tcPr>
          <w:p w14:paraId="6A8A80DC"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Subwencja oświatowa</w:t>
            </w:r>
          </w:p>
        </w:tc>
        <w:tc>
          <w:tcPr>
            <w:tcW w:w="1186" w:type="dxa"/>
            <w:tcBorders>
              <w:top w:val="single" w:sz="4" w:space="0" w:color="3A7C22" w:themeColor="accent6" w:themeShade="BF"/>
              <w:bottom w:val="single" w:sz="4" w:space="0" w:color="3A7C22" w:themeColor="accent6" w:themeShade="BF"/>
            </w:tcBorders>
            <w:hideMark/>
          </w:tcPr>
          <w:p w14:paraId="5E7E634B"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Operacyjne</w:t>
            </w:r>
          </w:p>
        </w:tc>
        <w:tc>
          <w:tcPr>
            <w:tcW w:w="1413" w:type="dxa"/>
            <w:tcBorders>
              <w:top w:val="single" w:sz="4" w:space="0" w:color="3A7C22" w:themeColor="accent6" w:themeShade="BF"/>
              <w:bottom w:val="single" w:sz="4" w:space="0" w:color="3A7C22" w:themeColor="accent6" w:themeShade="BF"/>
            </w:tcBorders>
            <w:hideMark/>
          </w:tcPr>
          <w:p w14:paraId="31B41940" w14:textId="45B2D4B6"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Ministerstwo Edukacji Narodowej</w:t>
            </w:r>
            <w:r>
              <w:rPr>
                <w:rFonts w:eastAsia="Times New Roman" w:cs="Calibri"/>
                <w:color w:val="000000"/>
                <w:kern w:val="0"/>
                <w:sz w:val="16"/>
                <w:szCs w:val="16"/>
                <w:lang w:eastAsia="pl-PL"/>
                <w14:ligatures w14:val="none"/>
              </w:rPr>
              <w:t xml:space="preserve"> </w:t>
            </w:r>
            <w:r w:rsidRPr="001C55A3">
              <w:rPr>
                <w:rFonts w:eastAsia="Times New Roman" w:cs="Calibri"/>
                <w:color w:val="000000"/>
                <w:kern w:val="0"/>
                <w:sz w:val="16"/>
                <w:szCs w:val="16"/>
                <w:lang w:eastAsia="pl-PL"/>
                <w14:ligatures w14:val="none"/>
              </w:rPr>
              <w:t>/ministrowie właściwi</w:t>
            </w:r>
          </w:p>
        </w:tc>
        <w:tc>
          <w:tcPr>
            <w:tcW w:w="3548" w:type="dxa"/>
            <w:tcBorders>
              <w:top w:val="single" w:sz="4" w:space="0" w:color="3A7C22" w:themeColor="accent6" w:themeShade="BF"/>
              <w:bottom w:val="single" w:sz="4" w:space="0" w:color="3A7C22" w:themeColor="accent6" w:themeShade="BF"/>
            </w:tcBorders>
            <w:hideMark/>
          </w:tcPr>
          <w:p w14:paraId="65398064" w14:textId="77777777" w:rsidR="00781523" w:rsidRPr="001C55A3"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Kształcenie zawodowe prowadzone jest w zawodach określonych w klasyfikacji zawodów szkolnictwa branżowego. Kształcenie  w zakresie   transformacji energetyczno-klimatycznej prowadzone jest w zawodach: technik urządzeń i systemów energetyki odnawialnej, technik energetyk, technik chłodnictwa i klimatyzacji, technik gazownictwa, monter sieci i instalacji sanitarnych, wiertacz, technik wiertnik, operator maszyn i urządzeń w gospodarce odpadami, pracownik pomocniczy w gospodarce odpadami, technik gospodarki odpadami,  a od 1 września 2024 r. także w zawodzie  technik </w:t>
            </w:r>
            <w:proofErr w:type="spellStart"/>
            <w:r>
              <w:rPr>
                <w:rFonts w:eastAsia="Times New Roman" w:cs="Calibri"/>
                <w:color w:val="000000"/>
                <w:kern w:val="0"/>
                <w:sz w:val="16"/>
                <w:szCs w:val="16"/>
                <w:lang w:eastAsia="pl-PL"/>
                <w14:ligatures w14:val="none"/>
              </w:rPr>
              <w:t>e</w:t>
            </w:r>
            <w:r w:rsidRPr="001C55A3">
              <w:rPr>
                <w:rFonts w:eastAsia="Times New Roman" w:cs="Calibri"/>
                <w:color w:val="000000"/>
                <w:kern w:val="0"/>
                <w:sz w:val="16"/>
                <w:szCs w:val="16"/>
                <w:lang w:eastAsia="pl-PL"/>
                <w14:ligatures w14:val="none"/>
              </w:rPr>
              <w:t>lektromobilności</w:t>
            </w:r>
            <w:proofErr w:type="spellEnd"/>
            <w:r w:rsidRPr="001C55A3">
              <w:rPr>
                <w:rFonts w:eastAsia="Times New Roman" w:cs="Calibri"/>
                <w:color w:val="000000"/>
                <w:kern w:val="0"/>
                <w:sz w:val="16"/>
                <w:szCs w:val="16"/>
                <w:lang w:eastAsia="pl-PL"/>
                <w14:ligatures w14:val="none"/>
              </w:rPr>
              <w:t>, wprowadzonym na wniosek ministra właściwego do spraw energii.</w:t>
            </w:r>
          </w:p>
        </w:tc>
      </w:tr>
      <w:tr w:rsidR="00801275" w:rsidRPr="00ED52BB" w14:paraId="21945591" w14:textId="77777777" w:rsidTr="00300186">
        <w:trPr>
          <w:cnfStyle w:val="000000100000" w:firstRow="0" w:lastRow="0" w:firstColumn="0" w:lastColumn="0" w:oddVBand="0" w:evenVBand="0" w:oddHBand="1" w:evenHBand="0" w:firstRowFirstColumn="0" w:firstRowLastColumn="0" w:lastRowFirstColumn="0" w:lastRowLastColumn="0"/>
          <w:trHeight w:val="1224"/>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093F603F" w14:textId="6805C558"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5F5C02A3" w14:textId="00A4D97D"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Zwolnienia z akcyzy dla generatorów o łącznej mocy </w:t>
            </w:r>
            <w:proofErr w:type="spellStart"/>
            <w:r w:rsidRPr="001C55A3">
              <w:rPr>
                <w:rFonts w:eastAsia="Times New Roman" w:cs="Calibri"/>
                <w:color w:val="000000"/>
                <w:kern w:val="0"/>
                <w:sz w:val="16"/>
                <w:szCs w:val="16"/>
                <w:lang w:eastAsia="pl-PL"/>
                <w14:ligatures w14:val="none"/>
              </w:rPr>
              <w:t>nieprzekracza</w:t>
            </w:r>
            <w:r w:rsidR="005D7930">
              <w:rPr>
                <w:rFonts w:eastAsia="Times New Roman" w:cs="Calibri"/>
                <w:color w:val="000000"/>
                <w:kern w:val="0"/>
                <w:sz w:val="16"/>
                <w:szCs w:val="16"/>
                <w:lang w:eastAsia="pl-PL"/>
                <w14:ligatures w14:val="none"/>
              </w:rPr>
              <w:t>-</w:t>
            </w:r>
            <w:r w:rsidRPr="001C55A3">
              <w:rPr>
                <w:rFonts w:eastAsia="Times New Roman" w:cs="Calibri"/>
                <w:color w:val="000000"/>
                <w:kern w:val="0"/>
                <w:sz w:val="16"/>
                <w:szCs w:val="16"/>
                <w:lang w:eastAsia="pl-PL"/>
                <w14:ligatures w14:val="none"/>
              </w:rPr>
              <w:t>jącej</w:t>
            </w:r>
            <w:proofErr w:type="spellEnd"/>
            <w:r w:rsidRPr="001C55A3">
              <w:rPr>
                <w:rFonts w:eastAsia="Times New Roman" w:cs="Calibri"/>
                <w:color w:val="000000"/>
                <w:kern w:val="0"/>
                <w:sz w:val="16"/>
                <w:szCs w:val="16"/>
                <w:lang w:eastAsia="pl-PL"/>
                <w14:ligatures w14:val="none"/>
              </w:rPr>
              <w:t xml:space="preserve"> 1MW</w:t>
            </w:r>
          </w:p>
        </w:tc>
        <w:tc>
          <w:tcPr>
            <w:tcW w:w="1559" w:type="dxa"/>
            <w:tcBorders>
              <w:top w:val="single" w:sz="4" w:space="0" w:color="3A7C22" w:themeColor="accent6" w:themeShade="BF"/>
            </w:tcBorders>
            <w:noWrap/>
            <w:hideMark/>
          </w:tcPr>
          <w:p w14:paraId="67DE186E"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tcBorders>
            <w:hideMark/>
          </w:tcPr>
          <w:p w14:paraId="4E5C1F68" w14:textId="177BDD45"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Trudna do oszacowania ze względu na swoją konstrukcję</w:t>
            </w:r>
          </w:p>
        </w:tc>
        <w:tc>
          <w:tcPr>
            <w:tcW w:w="1559" w:type="dxa"/>
            <w:tcBorders>
              <w:top w:val="single" w:sz="4" w:space="0" w:color="3A7C22" w:themeColor="accent6" w:themeShade="BF"/>
            </w:tcBorders>
            <w:hideMark/>
          </w:tcPr>
          <w:p w14:paraId="3F2DC4C1" w14:textId="3569B4DB"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Wdrożony</w:t>
            </w:r>
            <w:r>
              <w:rPr>
                <w:rFonts w:eastAsia="Times New Roman" w:cs="Calibri"/>
                <w:color w:val="000000"/>
                <w:kern w:val="0"/>
                <w:sz w:val="16"/>
                <w:szCs w:val="16"/>
                <w:lang w:eastAsia="pl-PL"/>
                <w14:ligatures w14:val="none"/>
              </w:rPr>
              <w:t xml:space="preserve"> – </w:t>
            </w:r>
            <w:r w:rsidRPr="001C55A3">
              <w:rPr>
                <w:rFonts w:eastAsia="Times New Roman" w:cs="Calibri"/>
                <w:color w:val="000000"/>
                <w:kern w:val="0"/>
                <w:sz w:val="16"/>
                <w:szCs w:val="16"/>
                <w:lang w:eastAsia="pl-PL"/>
                <w14:ligatures w14:val="none"/>
              </w:rPr>
              <w:t>nie określono daty końcowej</w:t>
            </w:r>
          </w:p>
        </w:tc>
        <w:tc>
          <w:tcPr>
            <w:tcW w:w="1281" w:type="dxa"/>
            <w:tcBorders>
              <w:top w:val="single" w:sz="4" w:space="0" w:color="3A7C22" w:themeColor="accent6" w:themeShade="BF"/>
            </w:tcBorders>
            <w:noWrap/>
            <w:hideMark/>
          </w:tcPr>
          <w:p w14:paraId="59E1F023"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Budżet państwa</w:t>
            </w:r>
          </w:p>
        </w:tc>
        <w:tc>
          <w:tcPr>
            <w:tcW w:w="1186" w:type="dxa"/>
            <w:tcBorders>
              <w:top w:val="single" w:sz="4" w:space="0" w:color="3A7C22" w:themeColor="accent6" w:themeShade="BF"/>
            </w:tcBorders>
            <w:noWrap/>
            <w:hideMark/>
          </w:tcPr>
          <w:p w14:paraId="4BC64841"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Ulgi podatkowe</w:t>
            </w:r>
          </w:p>
        </w:tc>
        <w:tc>
          <w:tcPr>
            <w:tcW w:w="1413" w:type="dxa"/>
            <w:tcBorders>
              <w:top w:val="single" w:sz="4" w:space="0" w:color="3A7C22" w:themeColor="accent6" w:themeShade="BF"/>
            </w:tcBorders>
            <w:hideMark/>
          </w:tcPr>
          <w:p w14:paraId="10CEC1C7"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Ministerstwo Finansów</w:t>
            </w:r>
          </w:p>
        </w:tc>
        <w:tc>
          <w:tcPr>
            <w:tcW w:w="3548" w:type="dxa"/>
            <w:tcBorders>
              <w:top w:val="single" w:sz="4" w:space="0" w:color="3A7C22" w:themeColor="accent6" w:themeShade="BF"/>
            </w:tcBorders>
            <w:hideMark/>
          </w:tcPr>
          <w:p w14:paraId="66ECB2CD" w14:textId="77777777" w:rsidR="00781523" w:rsidRPr="001C55A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Podstawa prawna: § 5 ust. 1 rozporządzenia Ministra Finansów z dnia 28 grudnia 2018 r. w sprawie zwolnień od podatku akcyzowego</w:t>
            </w:r>
            <w:r w:rsidRPr="001C55A3">
              <w:rPr>
                <w:rFonts w:eastAsia="Times New Roman" w:cs="Calibri"/>
                <w:color w:val="000000"/>
                <w:kern w:val="0"/>
                <w:sz w:val="16"/>
                <w:szCs w:val="16"/>
                <w:lang w:eastAsia="pl-PL"/>
                <w14:ligatures w14:val="none"/>
              </w:rPr>
              <w:br/>
            </w:r>
            <w:r w:rsidRPr="001C55A3">
              <w:rPr>
                <w:rFonts w:eastAsia="Times New Roman" w:cs="Calibri"/>
                <w:color w:val="000000"/>
                <w:kern w:val="0"/>
                <w:sz w:val="16"/>
                <w:szCs w:val="16"/>
                <w:lang w:eastAsia="pl-PL"/>
                <w14:ligatures w14:val="none"/>
              </w:rPr>
              <w:br/>
              <w:t xml:space="preserve"> </w:t>
            </w:r>
          </w:p>
        </w:tc>
      </w:tr>
      <w:tr w:rsidR="00781523" w:rsidRPr="00ED52BB" w14:paraId="7A88AA4A" w14:textId="77777777" w:rsidTr="00300186">
        <w:trPr>
          <w:trHeight w:val="1205"/>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52A34F27" w14:textId="4070B8EE"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5E205CD7"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Zwolnienia z akcyzy dla energii elektrycznej</w:t>
            </w:r>
          </w:p>
        </w:tc>
        <w:tc>
          <w:tcPr>
            <w:tcW w:w="1559" w:type="dxa"/>
            <w:tcBorders>
              <w:top w:val="single" w:sz="4" w:space="0" w:color="3A7C22" w:themeColor="accent6" w:themeShade="BF"/>
              <w:bottom w:val="single" w:sz="4" w:space="0" w:color="3A7C22" w:themeColor="accent6" w:themeShade="BF"/>
            </w:tcBorders>
            <w:noWrap/>
            <w:hideMark/>
          </w:tcPr>
          <w:p w14:paraId="1A967D7F"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bottom w:val="single" w:sz="4" w:space="0" w:color="3A7C22" w:themeColor="accent6" w:themeShade="BF"/>
            </w:tcBorders>
            <w:hideMark/>
          </w:tcPr>
          <w:p w14:paraId="1A593F5D"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Trudna do oszacowania ze względu na swoją konstrukcję. </w:t>
            </w:r>
          </w:p>
        </w:tc>
        <w:tc>
          <w:tcPr>
            <w:tcW w:w="1559" w:type="dxa"/>
            <w:tcBorders>
              <w:top w:val="single" w:sz="4" w:space="0" w:color="3A7C22" w:themeColor="accent6" w:themeShade="BF"/>
              <w:bottom w:val="single" w:sz="4" w:space="0" w:color="3A7C22" w:themeColor="accent6" w:themeShade="BF"/>
            </w:tcBorders>
            <w:hideMark/>
          </w:tcPr>
          <w:p w14:paraId="6CE09E89" w14:textId="07CC6FAC"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Wdrożony</w:t>
            </w:r>
            <w:r>
              <w:rPr>
                <w:rFonts w:eastAsia="Times New Roman" w:cs="Calibri"/>
                <w:color w:val="000000"/>
                <w:kern w:val="0"/>
                <w:sz w:val="16"/>
                <w:szCs w:val="16"/>
                <w:lang w:eastAsia="pl-PL"/>
                <w14:ligatures w14:val="none"/>
              </w:rPr>
              <w:t xml:space="preserve"> – </w:t>
            </w:r>
            <w:r w:rsidRPr="001C55A3">
              <w:rPr>
                <w:rFonts w:eastAsia="Times New Roman" w:cs="Calibri"/>
                <w:color w:val="000000"/>
                <w:kern w:val="0"/>
                <w:sz w:val="16"/>
                <w:szCs w:val="16"/>
                <w:lang w:eastAsia="pl-PL"/>
                <w14:ligatures w14:val="none"/>
              </w:rPr>
              <w:t>nie określono daty końcowej</w:t>
            </w:r>
          </w:p>
        </w:tc>
        <w:tc>
          <w:tcPr>
            <w:tcW w:w="1281" w:type="dxa"/>
            <w:tcBorders>
              <w:top w:val="single" w:sz="4" w:space="0" w:color="3A7C22" w:themeColor="accent6" w:themeShade="BF"/>
              <w:bottom w:val="single" w:sz="4" w:space="0" w:color="3A7C22" w:themeColor="accent6" w:themeShade="BF"/>
            </w:tcBorders>
            <w:noWrap/>
            <w:hideMark/>
          </w:tcPr>
          <w:p w14:paraId="002EE01D"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Budżet państwa</w:t>
            </w:r>
          </w:p>
        </w:tc>
        <w:tc>
          <w:tcPr>
            <w:tcW w:w="1186" w:type="dxa"/>
            <w:tcBorders>
              <w:top w:val="single" w:sz="4" w:space="0" w:color="3A7C22" w:themeColor="accent6" w:themeShade="BF"/>
              <w:bottom w:val="single" w:sz="4" w:space="0" w:color="3A7C22" w:themeColor="accent6" w:themeShade="BF"/>
            </w:tcBorders>
            <w:noWrap/>
            <w:hideMark/>
          </w:tcPr>
          <w:p w14:paraId="21587335"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Ulgi podatkowe</w:t>
            </w:r>
          </w:p>
        </w:tc>
        <w:tc>
          <w:tcPr>
            <w:tcW w:w="1413" w:type="dxa"/>
            <w:tcBorders>
              <w:top w:val="single" w:sz="4" w:space="0" w:color="3A7C22" w:themeColor="accent6" w:themeShade="BF"/>
              <w:bottom w:val="single" w:sz="4" w:space="0" w:color="3A7C22" w:themeColor="accent6" w:themeShade="BF"/>
            </w:tcBorders>
            <w:hideMark/>
          </w:tcPr>
          <w:p w14:paraId="59487459"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Ministerstwo Finansów</w:t>
            </w:r>
          </w:p>
        </w:tc>
        <w:tc>
          <w:tcPr>
            <w:tcW w:w="3548" w:type="dxa"/>
            <w:tcBorders>
              <w:top w:val="single" w:sz="4" w:space="0" w:color="3A7C22" w:themeColor="accent6" w:themeShade="BF"/>
              <w:bottom w:val="single" w:sz="4" w:space="0" w:color="3A7C22" w:themeColor="accent6" w:themeShade="BF"/>
            </w:tcBorders>
            <w:hideMark/>
          </w:tcPr>
          <w:p w14:paraId="4BA4561E" w14:textId="102F4633" w:rsidR="00781523" w:rsidRPr="001C55A3"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Zwolnienie z akcyzy energii elektrycznej z OZE na podstawie dokumentu potwierdzającego umorzenie świadectwa pochodzenia energii.</w:t>
            </w:r>
            <w:r w:rsidRPr="001C55A3">
              <w:rPr>
                <w:rFonts w:eastAsia="Times New Roman" w:cs="Calibri"/>
                <w:color w:val="000000"/>
                <w:kern w:val="0"/>
                <w:sz w:val="16"/>
                <w:szCs w:val="16"/>
                <w:lang w:eastAsia="pl-PL"/>
                <w14:ligatures w14:val="none"/>
              </w:rPr>
              <w:br/>
            </w:r>
            <w:r w:rsidRPr="001C55A3">
              <w:rPr>
                <w:rFonts w:eastAsia="Times New Roman" w:cs="Calibri"/>
                <w:color w:val="000000"/>
                <w:kern w:val="0"/>
                <w:sz w:val="16"/>
                <w:szCs w:val="16"/>
                <w:lang w:eastAsia="pl-PL"/>
                <w14:ligatures w14:val="none"/>
              </w:rPr>
              <w:br/>
              <w:t>Podstawa prawna: art. 30 ust. 1 ustawy z dnia 6 grudnia 2008 r. o podatku akcyzowym</w:t>
            </w:r>
            <w:r w:rsidR="005D7930">
              <w:rPr>
                <w:rFonts w:eastAsia="Times New Roman" w:cs="Calibri"/>
                <w:color w:val="000000"/>
                <w:kern w:val="0"/>
                <w:sz w:val="16"/>
                <w:szCs w:val="16"/>
                <w:lang w:eastAsia="pl-PL"/>
                <w14:ligatures w14:val="none"/>
              </w:rPr>
              <w:t>.</w:t>
            </w:r>
          </w:p>
        </w:tc>
      </w:tr>
      <w:tr w:rsidR="00801275" w:rsidRPr="00ED52BB" w14:paraId="66D6AA10" w14:textId="77777777" w:rsidTr="00300186">
        <w:trPr>
          <w:cnfStyle w:val="000000100000" w:firstRow="0" w:lastRow="0" w:firstColumn="0" w:lastColumn="0" w:oddVBand="0" w:evenVBand="0" w:oddHBand="1" w:evenHBand="0" w:firstRowFirstColumn="0" w:firstRowLastColumn="0" w:lastRowFirstColumn="0" w:lastRowLastColumn="0"/>
          <w:trHeight w:val="1224"/>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67F9E093" w14:textId="3F7354E2"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782965CE"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Ulgi ustawowe w podatkach samorządowych</w:t>
            </w:r>
          </w:p>
        </w:tc>
        <w:tc>
          <w:tcPr>
            <w:tcW w:w="1559" w:type="dxa"/>
            <w:tcBorders>
              <w:top w:val="single" w:sz="4" w:space="0" w:color="3A7C22" w:themeColor="accent6" w:themeShade="BF"/>
              <w:bottom w:val="single" w:sz="4" w:space="0" w:color="3A7C22" w:themeColor="accent6" w:themeShade="BF"/>
            </w:tcBorders>
            <w:hideMark/>
          </w:tcPr>
          <w:p w14:paraId="67337A15"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Elektroenergetyka</w:t>
            </w:r>
          </w:p>
        </w:tc>
        <w:tc>
          <w:tcPr>
            <w:tcW w:w="1701" w:type="dxa"/>
            <w:tcBorders>
              <w:top w:val="single" w:sz="4" w:space="0" w:color="3A7C22" w:themeColor="accent6" w:themeShade="BF"/>
              <w:bottom w:val="single" w:sz="4" w:space="0" w:color="3A7C22" w:themeColor="accent6" w:themeShade="BF"/>
            </w:tcBorders>
            <w:hideMark/>
          </w:tcPr>
          <w:p w14:paraId="3CDF6759"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Trudna do oszacowania ze względu na swoją konstrukcję. </w:t>
            </w:r>
          </w:p>
        </w:tc>
        <w:tc>
          <w:tcPr>
            <w:tcW w:w="1559" w:type="dxa"/>
            <w:tcBorders>
              <w:top w:val="single" w:sz="4" w:space="0" w:color="3A7C22" w:themeColor="accent6" w:themeShade="BF"/>
              <w:bottom w:val="single" w:sz="4" w:space="0" w:color="3A7C22" w:themeColor="accent6" w:themeShade="BF"/>
            </w:tcBorders>
            <w:hideMark/>
          </w:tcPr>
          <w:p w14:paraId="618C9480" w14:textId="79324FC0"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Wdrożony </w:t>
            </w:r>
            <w:r>
              <w:rPr>
                <w:rFonts w:eastAsia="Times New Roman" w:cs="Calibri"/>
                <w:color w:val="000000"/>
                <w:kern w:val="0"/>
                <w:sz w:val="16"/>
                <w:szCs w:val="16"/>
                <w:lang w:eastAsia="pl-PL"/>
                <w14:ligatures w14:val="none"/>
              </w:rPr>
              <w:t>–</w:t>
            </w:r>
            <w:r w:rsidRPr="001C55A3">
              <w:rPr>
                <w:rFonts w:eastAsia="Times New Roman" w:cs="Calibri"/>
                <w:color w:val="000000"/>
                <w:kern w:val="0"/>
                <w:sz w:val="16"/>
                <w:szCs w:val="16"/>
                <w:lang w:eastAsia="pl-PL"/>
                <w14:ligatures w14:val="none"/>
              </w:rPr>
              <w:t xml:space="preserve"> nie określono daty końcowej</w:t>
            </w:r>
          </w:p>
        </w:tc>
        <w:tc>
          <w:tcPr>
            <w:tcW w:w="1281" w:type="dxa"/>
            <w:tcBorders>
              <w:top w:val="single" w:sz="4" w:space="0" w:color="3A7C22" w:themeColor="accent6" w:themeShade="BF"/>
              <w:bottom w:val="single" w:sz="4" w:space="0" w:color="3A7C22" w:themeColor="accent6" w:themeShade="BF"/>
            </w:tcBorders>
            <w:hideMark/>
          </w:tcPr>
          <w:p w14:paraId="6929E42A"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Budżet gminy i budżet państwa (rekompensaty dla gmin)</w:t>
            </w:r>
          </w:p>
        </w:tc>
        <w:tc>
          <w:tcPr>
            <w:tcW w:w="1186" w:type="dxa"/>
            <w:tcBorders>
              <w:top w:val="single" w:sz="4" w:space="0" w:color="3A7C22" w:themeColor="accent6" w:themeShade="BF"/>
              <w:bottom w:val="single" w:sz="4" w:space="0" w:color="3A7C22" w:themeColor="accent6" w:themeShade="BF"/>
            </w:tcBorders>
            <w:hideMark/>
          </w:tcPr>
          <w:p w14:paraId="07230E28"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Ulgi podatkowe</w:t>
            </w:r>
          </w:p>
        </w:tc>
        <w:tc>
          <w:tcPr>
            <w:tcW w:w="1413" w:type="dxa"/>
            <w:tcBorders>
              <w:top w:val="single" w:sz="4" w:space="0" w:color="3A7C22" w:themeColor="accent6" w:themeShade="BF"/>
              <w:bottom w:val="single" w:sz="4" w:space="0" w:color="3A7C22" w:themeColor="accent6" w:themeShade="BF"/>
            </w:tcBorders>
            <w:hideMark/>
          </w:tcPr>
          <w:p w14:paraId="66E2C169" w14:textId="38BAF48C"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Ustawodawca/ </w:t>
            </w:r>
            <w:r>
              <w:rPr>
                <w:rFonts w:eastAsia="Times New Roman" w:cs="Calibri"/>
                <w:color w:val="000000"/>
                <w:kern w:val="0"/>
                <w:sz w:val="16"/>
                <w:szCs w:val="16"/>
                <w:lang w:eastAsia="pl-PL"/>
                <w14:ligatures w14:val="none"/>
              </w:rPr>
              <w:t>Rady gmin</w:t>
            </w:r>
          </w:p>
        </w:tc>
        <w:tc>
          <w:tcPr>
            <w:tcW w:w="3548" w:type="dxa"/>
            <w:tcBorders>
              <w:top w:val="single" w:sz="4" w:space="0" w:color="3A7C22" w:themeColor="accent6" w:themeShade="BF"/>
              <w:bottom w:val="single" w:sz="4" w:space="0" w:color="3A7C22" w:themeColor="accent6" w:themeShade="BF"/>
            </w:tcBorders>
            <w:hideMark/>
          </w:tcPr>
          <w:p w14:paraId="2422D1C8" w14:textId="77777777" w:rsidR="00781523" w:rsidRPr="001C55A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Obniżona stawka podatku od nieruchomości dla gruntów przez które przebiegają urządzenia wchodzące w skład przedsiębiorstwa prowadzącego działalność w zakresie przesyłania lub dystrybucji płynów, pary, gazów lub energii elektrycznej oraz gazów.</w:t>
            </w:r>
            <w:r w:rsidRPr="001C55A3">
              <w:rPr>
                <w:rFonts w:eastAsia="Times New Roman" w:cs="Calibri"/>
                <w:color w:val="000000"/>
                <w:kern w:val="0"/>
                <w:sz w:val="16"/>
                <w:szCs w:val="16"/>
                <w:lang w:eastAsia="pl-PL"/>
                <w14:ligatures w14:val="none"/>
              </w:rPr>
              <w:br/>
            </w:r>
            <w:r w:rsidRPr="001C55A3">
              <w:rPr>
                <w:rFonts w:eastAsia="Times New Roman" w:cs="Calibri"/>
                <w:color w:val="000000"/>
                <w:kern w:val="0"/>
                <w:sz w:val="16"/>
                <w:szCs w:val="16"/>
                <w:lang w:eastAsia="pl-PL"/>
                <w14:ligatures w14:val="none"/>
              </w:rPr>
              <w:br/>
              <w:t>Podstawa prawna: art. 1 a ust. 2a pkt 4 ustawy z dnia 12 stycznia 1991 r. o podatkach i opłatach lokalnych.</w:t>
            </w:r>
          </w:p>
        </w:tc>
      </w:tr>
      <w:tr w:rsidR="00781523" w:rsidRPr="00ED52BB" w14:paraId="1387F32C" w14:textId="77777777" w:rsidTr="00300186">
        <w:trPr>
          <w:trHeight w:val="1044"/>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544721CB" w14:textId="468C3473"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47E85DDC"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Ulgi i zwolnienia fakultatywne wprowadzane przez rady gmin w podatkach samorządowych</w:t>
            </w:r>
          </w:p>
        </w:tc>
        <w:tc>
          <w:tcPr>
            <w:tcW w:w="1559" w:type="dxa"/>
            <w:tcBorders>
              <w:top w:val="single" w:sz="4" w:space="0" w:color="3A7C22" w:themeColor="accent6" w:themeShade="BF"/>
              <w:bottom w:val="single" w:sz="4" w:space="0" w:color="3A7C22" w:themeColor="accent6" w:themeShade="BF"/>
            </w:tcBorders>
            <w:hideMark/>
          </w:tcPr>
          <w:p w14:paraId="38659717"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Transport</w:t>
            </w:r>
          </w:p>
        </w:tc>
        <w:tc>
          <w:tcPr>
            <w:tcW w:w="1701" w:type="dxa"/>
            <w:tcBorders>
              <w:top w:val="single" w:sz="4" w:space="0" w:color="3A7C22" w:themeColor="accent6" w:themeShade="BF"/>
              <w:bottom w:val="single" w:sz="4" w:space="0" w:color="3A7C22" w:themeColor="accent6" w:themeShade="BF"/>
            </w:tcBorders>
            <w:hideMark/>
          </w:tcPr>
          <w:p w14:paraId="2C6222DA"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Trudna do oszacowania ze względu na swoją konstrukcję. </w:t>
            </w:r>
          </w:p>
        </w:tc>
        <w:tc>
          <w:tcPr>
            <w:tcW w:w="1559" w:type="dxa"/>
            <w:tcBorders>
              <w:top w:val="single" w:sz="4" w:space="0" w:color="3A7C22" w:themeColor="accent6" w:themeShade="BF"/>
              <w:bottom w:val="single" w:sz="4" w:space="0" w:color="3A7C22" w:themeColor="accent6" w:themeShade="BF"/>
            </w:tcBorders>
            <w:hideMark/>
          </w:tcPr>
          <w:p w14:paraId="4BDFC256" w14:textId="1A2A6A58"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Wdrożony </w:t>
            </w:r>
            <w:r>
              <w:rPr>
                <w:rFonts w:eastAsia="Times New Roman" w:cs="Calibri"/>
                <w:color w:val="000000"/>
                <w:kern w:val="0"/>
                <w:sz w:val="16"/>
                <w:szCs w:val="16"/>
                <w:lang w:eastAsia="pl-PL"/>
                <w14:ligatures w14:val="none"/>
              </w:rPr>
              <w:t>–</w:t>
            </w:r>
            <w:r w:rsidRPr="001C55A3">
              <w:rPr>
                <w:rFonts w:eastAsia="Times New Roman" w:cs="Calibri"/>
                <w:color w:val="000000"/>
                <w:kern w:val="0"/>
                <w:sz w:val="16"/>
                <w:szCs w:val="16"/>
                <w:lang w:eastAsia="pl-PL"/>
                <w14:ligatures w14:val="none"/>
              </w:rPr>
              <w:t xml:space="preserve"> nie określono daty końcowej</w:t>
            </w:r>
          </w:p>
        </w:tc>
        <w:tc>
          <w:tcPr>
            <w:tcW w:w="1281" w:type="dxa"/>
            <w:tcBorders>
              <w:top w:val="single" w:sz="4" w:space="0" w:color="3A7C22" w:themeColor="accent6" w:themeShade="BF"/>
              <w:bottom w:val="single" w:sz="4" w:space="0" w:color="3A7C22" w:themeColor="accent6" w:themeShade="BF"/>
            </w:tcBorders>
            <w:noWrap/>
            <w:hideMark/>
          </w:tcPr>
          <w:p w14:paraId="622F3F79"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Budżet gminy</w:t>
            </w:r>
          </w:p>
        </w:tc>
        <w:tc>
          <w:tcPr>
            <w:tcW w:w="1186" w:type="dxa"/>
            <w:tcBorders>
              <w:top w:val="single" w:sz="4" w:space="0" w:color="3A7C22" w:themeColor="accent6" w:themeShade="BF"/>
              <w:bottom w:val="single" w:sz="4" w:space="0" w:color="3A7C22" w:themeColor="accent6" w:themeShade="BF"/>
            </w:tcBorders>
            <w:noWrap/>
            <w:hideMark/>
          </w:tcPr>
          <w:p w14:paraId="49A2E3D1"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Ulgi podatkowe</w:t>
            </w:r>
          </w:p>
        </w:tc>
        <w:tc>
          <w:tcPr>
            <w:tcW w:w="1413" w:type="dxa"/>
            <w:tcBorders>
              <w:top w:val="single" w:sz="4" w:space="0" w:color="3A7C22" w:themeColor="accent6" w:themeShade="BF"/>
              <w:bottom w:val="single" w:sz="4" w:space="0" w:color="3A7C22" w:themeColor="accent6" w:themeShade="BF"/>
            </w:tcBorders>
            <w:noWrap/>
            <w:hideMark/>
          </w:tcPr>
          <w:p w14:paraId="090AA11F"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Rady gmin</w:t>
            </w:r>
          </w:p>
        </w:tc>
        <w:tc>
          <w:tcPr>
            <w:tcW w:w="3548" w:type="dxa"/>
            <w:tcBorders>
              <w:top w:val="single" w:sz="4" w:space="0" w:color="3A7C22" w:themeColor="accent6" w:themeShade="BF"/>
              <w:bottom w:val="single" w:sz="4" w:space="0" w:color="3A7C22" w:themeColor="accent6" w:themeShade="BF"/>
            </w:tcBorders>
            <w:hideMark/>
          </w:tcPr>
          <w:p w14:paraId="77D3CDB8" w14:textId="77777777" w:rsidR="00781523" w:rsidRPr="001C55A3"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Różnicowanie przez rady gmin wysokości stawek dla poszczególnych rodzajów środków transportowych.</w:t>
            </w:r>
            <w:r w:rsidRPr="001C55A3">
              <w:rPr>
                <w:rFonts w:eastAsia="Times New Roman" w:cs="Calibri"/>
                <w:color w:val="000000"/>
                <w:kern w:val="0"/>
                <w:sz w:val="16"/>
                <w:szCs w:val="16"/>
                <w:lang w:eastAsia="pl-PL"/>
                <w14:ligatures w14:val="none"/>
              </w:rPr>
              <w:br/>
            </w:r>
            <w:r w:rsidRPr="001C55A3">
              <w:rPr>
                <w:rFonts w:eastAsia="Times New Roman" w:cs="Calibri"/>
                <w:color w:val="000000"/>
                <w:kern w:val="0"/>
                <w:sz w:val="16"/>
                <w:szCs w:val="16"/>
                <w:lang w:eastAsia="pl-PL"/>
                <w14:ligatures w14:val="none"/>
              </w:rPr>
              <w:br/>
              <w:t>Podstawa prawna: art. 10 ust. 2 ustawy z dnia 12 stycznia 1991 r. o podatkach i opłatach lokalnych</w:t>
            </w:r>
          </w:p>
        </w:tc>
      </w:tr>
      <w:tr w:rsidR="00801275" w:rsidRPr="00ED52BB" w14:paraId="0B43FE33" w14:textId="77777777" w:rsidTr="00300186">
        <w:trPr>
          <w:cnfStyle w:val="000000100000" w:firstRow="0" w:lastRow="0" w:firstColumn="0" w:lastColumn="0" w:oddVBand="0" w:evenVBand="0" w:oddHBand="1" w:evenHBand="0" w:firstRowFirstColumn="0" w:firstRowLastColumn="0" w:lastRowFirstColumn="0" w:lastRowLastColumn="0"/>
          <w:trHeight w:val="816"/>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6188A50A" w14:textId="0BC4EB29"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52306A77"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Zwolnienie z akcyzy pojazdów elektrycznych, wodorowych oraz hybrydowych typy plug-in. </w:t>
            </w:r>
          </w:p>
        </w:tc>
        <w:tc>
          <w:tcPr>
            <w:tcW w:w="1559" w:type="dxa"/>
            <w:tcBorders>
              <w:top w:val="single" w:sz="4" w:space="0" w:color="3A7C22" w:themeColor="accent6" w:themeShade="BF"/>
              <w:bottom w:val="single" w:sz="4" w:space="0" w:color="3A7C22" w:themeColor="accent6" w:themeShade="BF"/>
            </w:tcBorders>
            <w:hideMark/>
          </w:tcPr>
          <w:p w14:paraId="26713E69"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Transport</w:t>
            </w:r>
          </w:p>
        </w:tc>
        <w:tc>
          <w:tcPr>
            <w:tcW w:w="1701" w:type="dxa"/>
            <w:tcBorders>
              <w:top w:val="single" w:sz="4" w:space="0" w:color="3A7C22" w:themeColor="accent6" w:themeShade="BF"/>
              <w:bottom w:val="single" w:sz="4" w:space="0" w:color="3A7C22" w:themeColor="accent6" w:themeShade="BF"/>
            </w:tcBorders>
            <w:hideMark/>
          </w:tcPr>
          <w:p w14:paraId="6173FA30"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Trudna do oszacowania ze względu na swoją konstrukcję. </w:t>
            </w:r>
          </w:p>
        </w:tc>
        <w:tc>
          <w:tcPr>
            <w:tcW w:w="1559" w:type="dxa"/>
            <w:tcBorders>
              <w:top w:val="single" w:sz="4" w:space="0" w:color="3A7C22" w:themeColor="accent6" w:themeShade="BF"/>
              <w:bottom w:val="single" w:sz="4" w:space="0" w:color="3A7C22" w:themeColor="accent6" w:themeShade="BF"/>
            </w:tcBorders>
            <w:noWrap/>
            <w:hideMark/>
          </w:tcPr>
          <w:p w14:paraId="3951FE8C" w14:textId="2435B4BB"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2018</w:t>
            </w:r>
            <w:r>
              <w:rPr>
                <w:rFonts w:eastAsia="Times New Roman" w:cs="Calibri"/>
                <w:color w:val="000000"/>
                <w:kern w:val="0"/>
                <w:sz w:val="16"/>
                <w:szCs w:val="16"/>
                <w:lang w:eastAsia="pl-PL"/>
                <w14:ligatures w14:val="none"/>
              </w:rPr>
              <w:t>–2</w:t>
            </w:r>
            <w:r w:rsidRPr="001C55A3">
              <w:rPr>
                <w:rFonts w:eastAsia="Times New Roman" w:cs="Calibri"/>
                <w:color w:val="000000"/>
                <w:kern w:val="0"/>
                <w:sz w:val="16"/>
                <w:szCs w:val="16"/>
                <w:lang w:eastAsia="pl-PL"/>
                <w14:ligatures w14:val="none"/>
              </w:rPr>
              <w:t>029</w:t>
            </w:r>
            <w:r>
              <w:rPr>
                <w:rFonts w:eastAsia="Times New Roman" w:cs="Calibri"/>
                <w:color w:val="000000"/>
                <w:kern w:val="0"/>
                <w:sz w:val="16"/>
                <w:szCs w:val="16"/>
                <w:lang w:eastAsia="pl-PL"/>
                <w14:ligatures w14:val="none"/>
              </w:rPr>
              <w:t xml:space="preserve"> oraz </w:t>
            </w:r>
            <w:proofErr w:type="spellStart"/>
            <w:r>
              <w:rPr>
                <w:rFonts w:eastAsia="Times New Roman" w:cs="Calibri"/>
                <w:color w:val="000000"/>
                <w:kern w:val="0"/>
                <w:sz w:val="16"/>
                <w:szCs w:val="16"/>
                <w:lang w:eastAsia="pl-PL"/>
                <w14:ligatures w14:val="none"/>
              </w:rPr>
              <w:t>bezterminiowo</w:t>
            </w:r>
            <w:proofErr w:type="spellEnd"/>
          </w:p>
        </w:tc>
        <w:tc>
          <w:tcPr>
            <w:tcW w:w="1281" w:type="dxa"/>
            <w:tcBorders>
              <w:top w:val="single" w:sz="4" w:space="0" w:color="3A7C22" w:themeColor="accent6" w:themeShade="BF"/>
              <w:bottom w:val="single" w:sz="4" w:space="0" w:color="3A7C22" w:themeColor="accent6" w:themeShade="BF"/>
            </w:tcBorders>
            <w:noWrap/>
            <w:hideMark/>
          </w:tcPr>
          <w:p w14:paraId="199F050C"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Budżet państwa</w:t>
            </w:r>
          </w:p>
        </w:tc>
        <w:tc>
          <w:tcPr>
            <w:tcW w:w="1186" w:type="dxa"/>
            <w:tcBorders>
              <w:top w:val="single" w:sz="4" w:space="0" w:color="3A7C22" w:themeColor="accent6" w:themeShade="BF"/>
              <w:bottom w:val="single" w:sz="4" w:space="0" w:color="3A7C22" w:themeColor="accent6" w:themeShade="BF"/>
            </w:tcBorders>
            <w:noWrap/>
            <w:hideMark/>
          </w:tcPr>
          <w:p w14:paraId="04915C14"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Ulgi podatkowe</w:t>
            </w:r>
          </w:p>
        </w:tc>
        <w:tc>
          <w:tcPr>
            <w:tcW w:w="1413" w:type="dxa"/>
            <w:tcBorders>
              <w:top w:val="single" w:sz="4" w:space="0" w:color="3A7C22" w:themeColor="accent6" w:themeShade="BF"/>
              <w:bottom w:val="single" w:sz="4" w:space="0" w:color="3A7C22" w:themeColor="accent6" w:themeShade="BF"/>
            </w:tcBorders>
            <w:hideMark/>
          </w:tcPr>
          <w:p w14:paraId="57862004"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Ministerstwo Finansów</w:t>
            </w:r>
          </w:p>
        </w:tc>
        <w:tc>
          <w:tcPr>
            <w:tcW w:w="3548" w:type="dxa"/>
            <w:tcBorders>
              <w:top w:val="single" w:sz="4" w:space="0" w:color="3A7C22" w:themeColor="accent6" w:themeShade="BF"/>
              <w:bottom w:val="single" w:sz="4" w:space="0" w:color="3A7C22" w:themeColor="accent6" w:themeShade="BF"/>
            </w:tcBorders>
            <w:hideMark/>
          </w:tcPr>
          <w:p w14:paraId="37ACE188" w14:textId="683E7387" w:rsidR="0078152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Zwolnienie z akcyzy pojazdów elektrycznych</w:t>
            </w:r>
            <w:r>
              <w:rPr>
                <w:rFonts w:eastAsia="Times New Roman" w:cs="Calibri"/>
                <w:color w:val="000000"/>
                <w:kern w:val="0"/>
                <w:sz w:val="16"/>
                <w:szCs w:val="16"/>
                <w:lang w:eastAsia="pl-PL"/>
                <w14:ligatures w14:val="none"/>
              </w:rPr>
              <w:t xml:space="preserve"> i </w:t>
            </w:r>
            <w:r w:rsidRPr="001C55A3">
              <w:rPr>
                <w:rFonts w:eastAsia="Times New Roman" w:cs="Calibri"/>
                <w:color w:val="000000"/>
                <w:kern w:val="0"/>
                <w:sz w:val="16"/>
                <w:szCs w:val="16"/>
                <w:lang w:eastAsia="pl-PL"/>
                <w14:ligatures w14:val="none"/>
              </w:rPr>
              <w:t>wodorowych</w:t>
            </w:r>
            <w:r>
              <w:rPr>
                <w:rFonts w:eastAsia="Times New Roman" w:cs="Calibri"/>
                <w:color w:val="000000"/>
                <w:kern w:val="0"/>
                <w:sz w:val="16"/>
                <w:szCs w:val="16"/>
                <w:lang w:eastAsia="pl-PL"/>
                <w14:ligatures w14:val="none"/>
              </w:rPr>
              <w:t xml:space="preserve"> – bezterminowo</w:t>
            </w:r>
            <w:r w:rsidRPr="001C55A3">
              <w:rPr>
                <w:rFonts w:eastAsia="Times New Roman" w:cs="Calibri"/>
                <w:color w:val="000000"/>
                <w:kern w:val="0"/>
                <w:sz w:val="16"/>
                <w:szCs w:val="16"/>
                <w:lang w:eastAsia="pl-PL"/>
                <w14:ligatures w14:val="none"/>
              </w:rPr>
              <w:t>,</w:t>
            </w:r>
            <w:r>
              <w:rPr>
                <w:rFonts w:eastAsia="Times New Roman" w:cs="Calibri"/>
                <w:color w:val="000000"/>
                <w:kern w:val="0"/>
                <w:sz w:val="16"/>
                <w:szCs w:val="16"/>
                <w:lang w:eastAsia="pl-PL"/>
                <w14:ligatures w14:val="none"/>
              </w:rPr>
              <w:t xml:space="preserve"> a</w:t>
            </w:r>
            <w:r w:rsidRPr="001C55A3">
              <w:rPr>
                <w:rFonts w:eastAsia="Times New Roman" w:cs="Calibri"/>
                <w:color w:val="000000"/>
                <w:kern w:val="0"/>
                <w:sz w:val="16"/>
                <w:szCs w:val="16"/>
                <w:lang w:eastAsia="pl-PL"/>
                <w14:ligatures w14:val="none"/>
              </w:rPr>
              <w:t xml:space="preserve"> oraz hybrydowych typy plug-in</w:t>
            </w:r>
            <w:r>
              <w:rPr>
                <w:rFonts w:eastAsia="Times New Roman" w:cs="Calibri"/>
                <w:color w:val="000000"/>
                <w:kern w:val="0"/>
                <w:sz w:val="16"/>
                <w:szCs w:val="16"/>
                <w:lang w:eastAsia="pl-PL"/>
                <w14:ligatures w14:val="none"/>
              </w:rPr>
              <w:t xml:space="preserve"> o poj. silnika do 2 l w latach 2018–2029</w:t>
            </w:r>
            <w:r w:rsidRPr="001C55A3">
              <w:rPr>
                <w:rFonts w:eastAsia="Times New Roman" w:cs="Calibri"/>
                <w:color w:val="000000"/>
                <w:kern w:val="0"/>
                <w:sz w:val="16"/>
                <w:szCs w:val="16"/>
                <w:lang w:eastAsia="pl-PL"/>
                <w14:ligatures w14:val="none"/>
              </w:rPr>
              <w:t>.</w:t>
            </w:r>
            <w:r>
              <w:rPr>
                <w:rFonts w:eastAsia="Times New Roman" w:cs="Calibri"/>
                <w:color w:val="000000"/>
                <w:kern w:val="0"/>
                <w:sz w:val="16"/>
                <w:szCs w:val="16"/>
                <w:lang w:eastAsia="pl-PL"/>
                <w14:ligatures w14:val="none"/>
              </w:rPr>
              <w:t xml:space="preserve"> Hybrydy o większej pojemności silnika korzystają z obniżonej akcyzy.</w:t>
            </w:r>
          </w:p>
          <w:p w14:paraId="4F6C12D3" w14:textId="77777777" w:rsidR="0078152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p>
          <w:p w14:paraId="4F870E7F" w14:textId="52B6B568" w:rsidR="00781523" w:rsidRPr="001C55A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O</w:t>
            </w:r>
            <w:r w:rsidRPr="002A0EA1">
              <w:rPr>
                <w:rFonts w:eastAsia="Times New Roman" w:cs="Calibri"/>
                <w:color w:val="000000"/>
                <w:kern w:val="0"/>
                <w:sz w:val="16"/>
                <w:szCs w:val="16"/>
                <w:lang w:eastAsia="pl-PL"/>
                <w14:ligatures w14:val="none"/>
              </w:rPr>
              <w:t xml:space="preserve">d sierpnia 2019 r. </w:t>
            </w:r>
            <w:r>
              <w:rPr>
                <w:rFonts w:eastAsia="Times New Roman" w:cs="Calibri"/>
                <w:color w:val="000000"/>
                <w:kern w:val="0"/>
                <w:sz w:val="16"/>
                <w:szCs w:val="16"/>
                <w:lang w:eastAsia="pl-PL"/>
                <w14:ligatures w14:val="none"/>
              </w:rPr>
              <w:t xml:space="preserve">obowiązuje </w:t>
            </w:r>
            <w:r w:rsidRPr="002A0EA1">
              <w:rPr>
                <w:rFonts w:eastAsia="Times New Roman" w:cs="Calibri"/>
                <w:color w:val="000000"/>
                <w:kern w:val="0"/>
                <w:sz w:val="16"/>
                <w:szCs w:val="16"/>
                <w:lang w:eastAsia="pl-PL"/>
                <w14:ligatures w14:val="none"/>
              </w:rPr>
              <w:t>zerow</w:t>
            </w:r>
            <w:r>
              <w:rPr>
                <w:rFonts w:eastAsia="Times New Roman" w:cs="Calibri"/>
                <w:color w:val="000000"/>
                <w:kern w:val="0"/>
                <w:sz w:val="16"/>
                <w:szCs w:val="16"/>
                <w:lang w:eastAsia="pl-PL"/>
                <w14:ligatures w14:val="none"/>
              </w:rPr>
              <w:t>a</w:t>
            </w:r>
            <w:r w:rsidRPr="002A0EA1">
              <w:rPr>
                <w:rFonts w:eastAsia="Times New Roman" w:cs="Calibri"/>
                <w:color w:val="000000"/>
                <w:kern w:val="0"/>
                <w:sz w:val="16"/>
                <w:szCs w:val="16"/>
                <w:lang w:eastAsia="pl-PL"/>
                <w14:ligatures w14:val="none"/>
              </w:rPr>
              <w:t xml:space="preserve"> stawk</w:t>
            </w:r>
            <w:r>
              <w:rPr>
                <w:rFonts w:eastAsia="Times New Roman" w:cs="Calibri"/>
                <w:color w:val="000000"/>
                <w:kern w:val="0"/>
                <w:sz w:val="16"/>
                <w:szCs w:val="16"/>
                <w:lang w:eastAsia="pl-PL"/>
                <w14:ligatures w14:val="none"/>
              </w:rPr>
              <w:t>a</w:t>
            </w:r>
            <w:r w:rsidRPr="002A0EA1">
              <w:rPr>
                <w:rFonts w:eastAsia="Times New Roman" w:cs="Calibri"/>
                <w:color w:val="000000"/>
                <w:kern w:val="0"/>
                <w:sz w:val="16"/>
                <w:szCs w:val="16"/>
                <w:lang w:eastAsia="pl-PL"/>
                <w14:ligatures w14:val="none"/>
              </w:rPr>
              <w:t xml:space="preserve"> akcyzy na gaz ziemny przeznaczony do napędu silników spalinowych, tj. LNG </w:t>
            </w:r>
            <w:r>
              <w:rPr>
                <w:rFonts w:eastAsia="Times New Roman" w:cs="Calibri"/>
                <w:color w:val="000000"/>
                <w:kern w:val="0"/>
                <w:sz w:val="16"/>
                <w:szCs w:val="16"/>
                <w:lang w:eastAsia="pl-PL"/>
                <w14:ligatures w14:val="none"/>
              </w:rPr>
              <w:t xml:space="preserve">i </w:t>
            </w:r>
            <w:r w:rsidRPr="002A0EA1">
              <w:rPr>
                <w:rFonts w:eastAsia="Times New Roman" w:cs="Calibri"/>
                <w:color w:val="000000"/>
                <w:kern w:val="0"/>
                <w:sz w:val="16"/>
                <w:szCs w:val="16"/>
                <w:lang w:eastAsia="pl-PL"/>
                <w14:ligatures w14:val="none"/>
              </w:rPr>
              <w:t xml:space="preserve">CNG, oraz na biogaz, wodór i </w:t>
            </w:r>
            <w:proofErr w:type="spellStart"/>
            <w:r w:rsidRPr="002A0EA1">
              <w:rPr>
                <w:rFonts w:eastAsia="Times New Roman" w:cs="Calibri"/>
                <w:color w:val="000000"/>
                <w:kern w:val="0"/>
                <w:sz w:val="16"/>
                <w:szCs w:val="16"/>
                <w:lang w:eastAsia="pl-PL"/>
                <w14:ligatures w14:val="none"/>
              </w:rPr>
              <w:t>biowodór</w:t>
            </w:r>
            <w:proofErr w:type="spellEnd"/>
            <w:r w:rsidRPr="002A0EA1">
              <w:rPr>
                <w:rFonts w:eastAsia="Times New Roman" w:cs="Calibri"/>
                <w:color w:val="000000"/>
                <w:kern w:val="0"/>
                <w:sz w:val="16"/>
                <w:szCs w:val="16"/>
                <w:lang w:eastAsia="pl-PL"/>
                <w14:ligatures w14:val="none"/>
              </w:rPr>
              <w:t xml:space="preserve"> przeznaczone do napędu silników spalinowych</w:t>
            </w:r>
            <w:r>
              <w:rPr>
                <w:rFonts w:eastAsia="Times New Roman" w:cs="Calibri"/>
                <w:color w:val="000000"/>
                <w:kern w:val="0"/>
                <w:sz w:val="16"/>
                <w:szCs w:val="16"/>
                <w:lang w:eastAsia="pl-PL"/>
                <w14:ligatures w14:val="none"/>
              </w:rPr>
              <w:t>.</w:t>
            </w:r>
            <w:r w:rsidRPr="001C55A3">
              <w:rPr>
                <w:rFonts w:eastAsia="Times New Roman" w:cs="Calibri"/>
                <w:color w:val="000000"/>
                <w:kern w:val="0"/>
                <w:sz w:val="16"/>
                <w:szCs w:val="16"/>
                <w:lang w:eastAsia="pl-PL"/>
                <w14:ligatures w14:val="none"/>
              </w:rPr>
              <w:br/>
            </w:r>
            <w:r w:rsidRPr="001C55A3">
              <w:rPr>
                <w:rFonts w:eastAsia="Times New Roman" w:cs="Calibri"/>
                <w:color w:val="000000"/>
                <w:kern w:val="0"/>
                <w:sz w:val="16"/>
                <w:szCs w:val="16"/>
                <w:lang w:eastAsia="pl-PL"/>
                <w14:ligatures w14:val="none"/>
              </w:rPr>
              <w:br/>
              <w:t xml:space="preserve">Podstawa prawna: art. 109a i art. 163a w ustawie z dnia 6 grudnia 2008 r. o podatku akcyzowym </w:t>
            </w:r>
          </w:p>
        </w:tc>
      </w:tr>
      <w:tr w:rsidR="00EC3492" w:rsidRPr="00ED52BB" w14:paraId="572B39F1" w14:textId="77777777" w:rsidTr="00300186">
        <w:trPr>
          <w:trHeight w:val="1224"/>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4A7B98C2" w14:textId="1C7E2D08"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dashSmallGap" w:sz="4" w:space="0" w:color="3A7C22" w:themeColor="accent6" w:themeShade="BF"/>
            </w:tcBorders>
            <w:hideMark/>
          </w:tcPr>
          <w:p w14:paraId="02A02718"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Korzystniejsze odpisy amortyzacyjne dla</w:t>
            </w:r>
            <w:r>
              <w:rPr>
                <w:rFonts w:eastAsia="Times New Roman" w:cs="Calibri"/>
                <w:color w:val="000000"/>
                <w:kern w:val="0"/>
                <w:sz w:val="16"/>
                <w:szCs w:val="16"/>
                <w:lang w:eastAsia="pl-PL"/>
                <w14:ligatures w14:val="none"/>
              </w:rPr>
              <w:t xml:space="preserve"> </w:t>
            </w:r>
            <w:r w:rsidRPr="001C55A3">
              <w:rPr>
                <w:rFonts w:eastAsia="Times New Roman" w:cs="Calibri"/>
                <w:color w:val="000000"/>
                <w:kern w:val="0"/>
                <w:sz w:val="16"/>
                <w:szCs w:val="16"/>
                <w:lang w:eastAsia="pl-PL"/>
                <w14:ligatures w14:val="none"/>
              </w:rPr>
              <w:t>pojazdów nisko i zeroemisyjnych</w:t>
            </w:r>
          </w:p>
        </w:tc>
        <w:tc>
          <w:tcPr>
            <w:tcW w:w="1559" w:type="dxa"/>
            <w:tcBorders>
              <w:top w:val="single" w:sz="4" w:space="0" w:color="3A7C22" w:themeColor="accent6" w:themeShade="BF"/>
              <w:bottom w:val="dashSmallGap" w:sz="4" w:space="0" w:color="3A7C22" w:themeColor="accent6" w:themeShade="BF"/>
            </w:tcBorders>
            <w:hideMark/>
          </w:tcPr>
          <w:p w14:paraId="55086450"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Transport</w:t>
            </w:r>
          </w:p>
        </w:tc>
        <w:tc>
          <w:tcPr>
            <w:tcW w:w="1701" w:type="dxa"/>
            <w:tcBorders>
              <w:top w:val="single" w:sz="4" w:space="0" w:color="3A7C22" w:themeColor="accent6" w:themeShade="BF"/>
              <w:bottom w:val="dashSmallGap" w:sz="4" w:space="0" w:color="3A7C22" w:themeColor="accent6" w:themeShade="BF"/>
            </w:tcBorders>
            <w:hideMark/>
          </w:tcPr>
          <w:p w14:paraId="3DFD2B6E"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Trudna do oszacowania ze względu na swoją konstrukcję. </w:t>
            </w:r>
          </w:p>
        </w:tc>
        <w:tc>
          <w:tcPr>
            <w:tcW w:w="1559" w:type="dxa"/>
            <w:tcBorders>
              <w:top w:val="single" w:sz="4" w:space="0" w:color="3A7C22" w:themeColor="accent6" w:themeShade="BF"/>
              <w:bottom w:val="dashSmallGap" w:sz="4" w:space="0" w:color="3A7C22" w:themeColor="accent6" w:themeShade="BF"/>
            </w:tcBorders>
            <w:hideMark/>
          </w:tcPr>
          <w:p w14:paraId="3477E7B0" w14:textId="0A4A858E"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Wdrożony</w:t>
            </w:r>
            <w:r>
              <w:rPr>
                <w:rFonts w:eastAsia="Times New Roman" w:cs="Calibri"/>
                <w:color w:val="000000"/>
                <w:kern w:val="0"/>
                <w:sz w:val="16"/>
                <w:szCs w:val="16"/>
                <w:lang w:eastAsia="pl-PL"/>
                <w14:ligatures w14:val="none"/>
              </w:rPr>
              <w:t xml:space="preserve"> – </w:t>
            </w:r>
            <w:r w:rsidRPr="001C55A3">
              <w:rPr>
                <w:rFonts w:eastAsia="Times New Roman" w:cs="Calibri"/>
                <w:color w:val="000000"/>
                <w:kern w:val="0"/>
                <w:sz w:val="16"/>
                <w:szCs w:val="16"/>
                <w:lang w:eastAsia="pl-PL"/>
                <w14:ligatures w14:val="none"/>
              </w:rPr>
              <w:t>nie określono daty końcowej</w:t>
            </w:r>
          </w:p>
        </w:tc>
        <w:tc>
          <w:tcPr>
            <w:tcW w:w="1281" w:type="dxa"/>
            <w:tcBorders>
              <w:top w:val="single" w:sz="4" w:space="0" w:color="3A7C22" w:themeColor="accent6" w:themeShade="BF"/>
              <w:bottom w:val="dashSmallGap" w:sz="4" w:space="0" w:color="3A7C22" w:themeColor="accent6" w:themeShade="BF"/>
            </w:tcBorders>
            <w:noWrap/>
            <w:hideMark/>
          </w:tcPr>
          <w:p w14:paraId="770024C6"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Budżet państwa</w:t>
            </w:r>
          </w:p>
        </w:tc>
        <w:tc>
          <w:tcPr>
            <w:tcW w:w="1186" w:type="dxa"/>
            <w:tcBorders>
              <w:top w:val="single" w:sz="4" w:space="0" w:color="3A7C22" w:themeColor="accent6" w:themeShade="BF"/>
              <w:bottom w:val="dashSmallGap" w:sz="4" w:space="0" w:color="3A7C22" w:themeColor="accent6" w:themeShade="BF"/>
            </w:tcBorders>
            <w:noWrap/>
            <w:hideMark/>
          </w:tcPr>
          <w:p w14:paraId="5B8FB7F7"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Ulgi podatkowe</w:t>
            </w:r>
          </w:p>
        </w:tc>
        <w:tc>
          <w:tcPr>
            <w:tcW w:w="1413" w:type="dxa"/>
            <w:tcBorders>
              <w:top w:val="single" w:sz="4" w:space="0" w:color="3A7C22" w:themeColor="accent6" w:themeShade="BF"/>
              <w:bottom w:val="dashSmallGap" w:sz="4" w:space="0" w:color="3A7C22" w:themeColor="accent6" w:themeShade="BF"/>
            </w:tcBorders>
            <w:hideMark/>
          </w:tcPr>
          <w:p w14:paraId="33915845"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Ministerstwo Finansów</w:t>
            </w:r>
          </w:p>
        </w:tc>
        <w:tc>
          <w:tcPr>
            <w:tcW w:w="3548" w:type="dxa"/>
            <w:tcBorders>
              <w:top w:val="single" w:sz="4" w:space="0" w:color="3A7C22" w:themeColor="accent6" w:themeShade="BF"/>
              <w:bottom w:val="dashSmallGap" w:sz="4" w:space="0" w:color="3A7C22" w:themeColor="accent6" w:themeShade="BF"/>
            </w:tcBorders>
            <w:hideMark/>
          </w:tcPr>
          <w:p w14:paraId="69F42B3A" w14:textId="77777777" w:rsidR="00781523" w:rsidRPr="001C55A3"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Stosowanie korzystnej stawki odpisów amortyzacyjnych dla pojazdów niskoemisyjnych.</w:t>
            </w:r>
            <w:r w:rsidRPr="001C55A3">
              <w:rPr>
                <w:rFonts w:eastAsia="Times New Roman" w:cs="Calibri"/>
                <w:color w:val="000000"/>
                <w:kern w:val="0"/>
                <w:sz w:val="16"/>
                <w:szCs w:val="16"/>
                <w:lang w:eastAsia="pl-PL"/>
                <w14:ligatures w14:val="none"/>
              </w:rPr>
              <w:br/>
            </w:r>
            <w:r w:rsidRPr="001C55A3">
              <w:rPr>
                <w:rFonts w:eastAsia="Times New Roman" w:cs="Calibri"/>
                <w:color w:val="000000"/>
                <w:kern w:val="0"/>
                <w:sz w:val="16"/>
                <w:szCs w:val="16"/>
                <w:lang w:eastAsia="pl-PL"/>
                <w14:ligatures w14:val="none"/>
              </w:rPr>
              <w:br/>
              <w:t>Podstawa prawna: art. 23 w  ustawy z dnia 26 lipca 1991 r. o podatku dochodowym od osób fizycznych oraz art. 16 w ustawie z dnia 15 lutego 1992 r. o podatku dochodowym od osób prawnych.</w:t>
            </w:r>
          </w:p>
        </w:tc>
      </w:tr>
      <w:tr w:rsidR="00801275" w:rsidRPr="00ED52BB" w14:paraId="14CA50A0" w14:textId="77777777" w:rsidTr="00300186">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305AC5A4" w14:textId="2F925B08"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noWrap/>
            <w:hideMark/>
          </w:tcPr>
          <w:p w14:paraId="255CFE6B"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Ulga termomodernizacyjna</w:t>
            </w:r>
          </w:p>
        </w:tc>
        <w:tc>
          <w:tcPr>
            <w:tcW w:w="1559" w:type="dxa"/>
            <w:tcBorders>
              <w:top w:val="single" w:sz="4" w:space="0" w:color="3A7C22" w:themeColor="accent6" w:themeShade="BF"/>
              <w:bottom w:val="single" w:sz="4" w:space="0" w:color="3A7C22" w:themeColor="accent6" w:themeShade="BF"/>
            </w:tcBorders>
            <w:noWrap/>
            <w:hideMark/>
          </w:tcPr>
          <w:p w14:paraId="7B99208A"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Budynki </w:t>
            </w:r>
          </w:p>
        </w:tc>
        <w:tc>
          <w:tcPr>
            <w:tcW w:w="1701" w:type="dxa"/>
            <w:tcBorders>
              <w:top w:val="single" w:sz="4" w:space="0" w:color="3A7C22" w:themeColor="accent6" w:themeShade="BF"/>
              <w:bottom w:val="single" w:sz="4" w:space="0" w:color="3A7C22" w:themeColor="accent6" w:themeShade="BF"/>
            </w:tcBorders>
            <w:hideMark/>
          </w:tcPr>
          <w:p w14:paraId="3C824DE3"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Trudna do oszacowania ze względu na swoją konstrukcję. </w:t>
            </w:r>
          </w:p>
        </w:tc>
        <w:tc>
          <w:tcPr>
            <w:tcW w:w="1559" w:type="dxa"/>
            <w:tcBorders>
              <w:top w:val="single" w:sz="4" w:space="0" w:color="3A7C22" w:themeColor="accent6" w:themeShade="BF"/>
              <w:bottom w:val="single" w:sz="4" w:space="0" w:color="3A7C22" w:themeColor="accent6" w:themeShade="BF"/>
            </w:tcBorders>
            <w:hideMark/>
          </w:tcPr>
          <w:p w14:paraId="6DF2CBC3" w14:textId="556B32D6"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Wdrożony</w:t>
            </w:r>
            <w:r>
              <w:rPr>
                <w:rFonts w:eastAsia="Times New Roman" w:cs="Calibri"/>
                <w:color w:val="000000"/>
                <w:kern w:val="0"/>
                <w:sz w:val="16"/>
                <w:szCs w:val="16"/>
                <w:lang w:eastAsia="pl-PL"/>
                <w14:ligatures w14:val="none"/>
              </w:rPr>
              <w:t xml:space="preserve"> – </w:t>
            </w:r>
            <w:r w:rsidRPr="001C55A3">
              <w:rPr>
                <w:rFonts w:eastAsia="Times New Roman" w:cs="Calibri"/>
                <w:color w:val="000000"/>
                <w:kern w:val="0"/>
                <w:sz w:val="16"/>
                <w:szCs w:val="16"/>
                <w:lang w:eastAsia="pl-PL"/>
                <w14:ligatures w14:val="none"/>
              </w:rPr>
              <w:t>nie określono daty końcowej</w:t>
            </w:r>
          </w:p>
        </w:tc>
        <w:tc>
          <w:tcPr>
            <w:tcW w:w="1281" w:type="dxa"/>
            <w:tcBorders>
              <w:top w:val="single" w:sz="4" w:space="0" w:color="3A7C22" w:themeColor="accent6" w:themeShade="BF"/>
              <w:bottom w:val="single" w:sz="4" w:space="0" w:color="3A7C22" w:themeColor="accent6" w:themeShade="BF"/>
            </w:tcBorders>
            <w:noWrap/>
            <w:hideMark/>
          </w:tcPr>
          <w:p w14:paraId="167FF0ED"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Budżet państwa</w:t>
            </w:r>
          </w:p>
        </w:tc>
        <w:tc>
          <w:tcPr>
            <w:tcW w:w="1186" w:type="dxa"/>
            <w:tcBorders>
              <w:top w:val="single" w:sz="4" w:space="0" w:color="3A7C22" w:themeColor="accent6" w:themeShade="BF"/>
              <w:bottom w:val="single" w:sz="4" w:space="0" w:color="3A7C22" w:themeColor="accent6" w:themeShade="BF"/>
            </w:tcBorders>
            <w:noWrap/>
            <w:hideMark/>
          </w:tcPr>
          <w:p w14:paraId="454A7BF4"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Ulgi podatkowe</w:t>
            </w:r>
          </w:p>
        </w:tc>
        <w:tc>
          <w:tcPr>
            <w:tcW w:w="1413" w:type="dxa"/>
            <w:tcBorders>
              <w:top w:val="single" w:sz="4" w:space="0" w:color="3A7C22" w:themeColor="accent6" w:themeShade="BF"/>
              <w:bottom w:val="single" w:sz="4" w:space="0" w:color="3A7C22" w:themeColor="accent6" w:themeShade="BF"/>
            </w:tcBorders>
            <w:hideMark/>
          </w:tcPr>
          <w:p w14:paraId="558220E6"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Ministerstwo Finansów</w:t>
            </w:r>
          </w:p>
        </w:tc>
        <w:tc>
          <w:tcPr>
            <w:tcW w:w="3548" w:type="dxa"/>
            <w:tcBorders>
              <w:top w:val="single" w:sz="4" w:space="0" w:color="3A7C22" w:themeColor="accent6" w:themeShade="BF"/>
              <w:bottom w:val="single" w:sz="4" w:space="0" w:color="3A7C22" w:themeColor="accent6" w:themeShade="BF"/>
            </w:tcBorders>
            <w:hideMark/>
          </w:tcPr>
          <w:p w14:paraId="7C34E88C" w14:textId="7EDCC812" w:rsidR="00781523" w:rsidRPr="001C55A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Ulga polega na odliczeniu od dochodu (przychodu) wydatków poniesionych na realizację określonego zakresu prac termomodernizacyjnych. </w:t>
            </w:r>
            <w:r w:rsidRPr="001C55A3">
              <w:rPr>
                <w:rFonts w:eastAsia="Times New Roman" w:cs="Calibri"/>
                <w:color w:val="000000"/>
                <w:kern w:val="0"/>
                <w:sz w:val="16"/>
                <w:szCs w:val="16"/>
                <w:lang w:eastAsia="pl-PL"/>
                <w14:ligatures w14:val="none"/>
              </w:rPr>
              <w:br/>
            </w:r>
            <w:r w:rsidRPr="001C55A3">
              <w:rPr>
                <w:rFonts w:eastAsia="Times New Roman" w:cs="Calibri"/>
                <w:color w:val="000000"/>
                <w:kern w:val="0"/>
                <w:sz w:val="16"/>
                <w:szCs w:val="16"/>
                <w:lang w:eastAsia="pl-PL"/>
                <w14:ligatures w14:val="none"/>
              </w:rPr>
              <w:br/>
              <w:t>https://czystepowietrze.gov.pl/inne-programy/ulga-termomodernizacyjna</w:t>
            </w:r>
          </w:p>
        </w:tc>
      </w:tr>
      <w:tr w:rsidR="00781523" w:rsidRPr="00ED52BB" w14:paraId="60A78AEA" w14:textId="77777777" w:rsidTr="00300186">
        <w:trPr>
          <w:trHeight w:val="701"/>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3083D714" w14:textId="1CBB148E"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4CDEE2A5"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Ulgi ustawowe w podatkach samorządowych</w:t>
            </w:r>
          </w:p>
        </w:tc>
        <w:tc>
          <w:tcPr>
            <w:tcW w:w="1559" w:type="dxa"/>
            <w:tcBorders>
              <w:top w:val="single" w:sz="4" w:space="0" w:color="3A7C22" w:themeColor="accent6" w:themeShade="BF"/>
              <w:bottom w:val="single" w:sz="4" w:space="0" w:color="3A7C22" w:themeColor="accent6" w:themeShade="BF"/>
            </w:tcBorders>
            <w:hideMark/>
          </w:tcPr>
          <w:p w14:paraId="1DA9BF9E"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Rolnictwo</w:t>
            </w:r>
          </w:p>
        </w:tc>
        <w:tc>
          <w:tcPr>
            <w:tcW w:w="1701" w:type="dxa"/>
            <w:tcBorders>
              <w:top w:val="single" w:sz="4" w:space="0" w:color="3A7C22" w:themeColor="accent6" w:themeShade="BF"/>
              <w:bottom w:val="single" w:sz="4" w:space="0" w:color="3A7C22" w:themeColor="accent6" w:themeShade="BF"/>
            </w:tcBorders>
            <w:hideMark/>
          </w:tcPr>
          <w:p w14:paraId="1428C48D"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Trudna do oszacowania ze względu na swoją konstrukcję. </w:t>
            </w:r>
          </w:p>
        </w:tc>
        <w:tc>
          <w:tcPr>
            <w:tcW w:w="1559" w:type="dxa"/>
            <w:tcBorders>
              <w:top w:val="single" w:sz="4" w:space="0" w:color="3A7C22" w:themeColor="accent6" w:themeShade="BF"/>
              <w:bottom w:val="single" w:sz="4" w:space="0" w:color="3A7C22" w:themeColor="accent6" w:themeShade="BF"/>
            </w:tcBorders>
            <w:hideMark/>
          </w:tcPr>
          <w:p w14:paraId="7B0918E1" w14:textId="2B02C8EE"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Wdrożony</w:t>
            </w:r>
            <w:r>
              <w:rPr>
                <w:rFonts w:eastAsia="Times New Roman" w:cs="Calibri"/>
                <w:color w:val="000000"/>
                <w:kern w:val="0"/>
                <w:sz w:val="16"/>
                <w:szCs w:val="16"/>
                <w:lang w:eastAsia="pl-PL"/>
                <w14:ligatures w14:val="none"/>
              </w:rPr>
              <w:t xml:space="preserve"> – </w:t>
            </w:r>
            <w:r w:rsidRPr="001C55A3">
              <w:rPr>
                <w:rFonts w:eastAsia="Times New Roman" w:cs="Calibri"/>
                <w:color w:val="000000"/>
                <w:kern w:val="0"/>
                <w:sz w:val="16"/>
                <w:szCs w:val="16"/>
                <w:lang w:eastAsia="pl-PL"/>
                <w14:ligatures w14:val="none"/>
              </w:rPr>
              <w:t>nie określono daty końcowej</w:t>
            </w:r>
          </w:p>
        </w:tc>
        <w:tc>
          <w:tcPr>
            <w:tcW w:w="1281" w:type="dxa"/>
            <w:tcBorders>
              <w:top w:val="single" w:sz="4" w:space="0" w:color="3A7C22" w:themeColor="accent6" w:themeShade="BF"/>
              <w:bottom w:val="single" w:sz="4" w:space="0" w:color="3A7C22" w:themeColor="accent6" w:themeShade="BF"/>
            </w:tcBorders>
            <w:noWrap/>
            <w:hideMark/>
          </w:tcPr>
          <w:p w14:paraId="270C70C4"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Budżet gminy</w:t>
            </w:r>
          </w:p>
        </w:tc>
        <w:tc>
          <w:tcPr>
            <w:tcW w:w="1186" w:type="dxa"/>
            <w:tcBorders>
              <w:top w:val="single" w:sz="4" w:space="0" w:color="3A7C22" w:themeColor="accent6" w:themeShade="BF"/>
              <w:bottom w:val="single" w:sz="4" w:space="0" w:color="3A7C22" w:themeColor="accent6" w:themeShade="BF"/>
            </w:tcBorders>
            <w:noWrap/>
            <w:hideMark/>
          </w:tcPr>
          <w:p w14:paraId="234EE0F4"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Ulgi podatkowe</w:t>
            </w:r>
          </w:p>
        </w:tc>
        <w:tc>
          <w:tcPr>
            <w:tcW w:w="1413" w:type="dxa"/>
            <w:tcBorders>
              <w:top w:val="single" w:sz="4" w:space="0" w:color="3A7C22" w:themeColor="accent6" w:themeShade="BF"/>
              <w:bottom w:val="single" w:sz="4" w:space="0" w:color="3A7C22" w:themeColor="accent6" w:themeShade="BF"/>
            </w:tcBorders>
            <w:hideMark/>
          </w:tcPr>
          <w:p w14:paraId="2418AAA3"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Ustawodawca/ Ministerstwo Finansów</w:t>
            </w:r>
          </w:p>
        </w:tc>
        <w:tc>
          <w:tcPr>
            <w:tcW w:w="3548" w:type="dxa"/>
            <w:tcBorders>
              <w:top w:val="single" w:sz="4" w:space="0" w:color="3A7C22" w:themeColor="accent6" w:themeShade="BF"/>
              <w:bottom w:val="single" w:sz="4" w:space="0" w:color="3A7C22" w:themeColor="accent6" w:themeShade="BF"/>
            </w:tcBorders>
            <w:hideMark/>
          </w:tcPr>
          <w:p w14:paraId="6156F951" w14:textId="77777777" w:rsidR="00781523" w:rsidRPr="001C55A3"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Ulga inwestycyjna dla podatników podatku rolnego z tytułu wydatków poniesionych na budowę lub modernizację obiektów służących ochronie środowiska oraz na zakup i zainstalowanie urządzeń do wykorzystywania na cele produkcyjne naturalnych źródeł energii (wiatru, biogazu, słońca, spadku wód).</w:t>
            </w:r>
            <w:r w:rsidRPr="001C55A3">
              <w:rPr>
                <w:rFonts w:eastAsia="Times New Roman" w:cs="Calibri"/>
                <w:color w:val="000000"/>
                <w:kern w:val="0"/>
                <w:sz w:val="16"/>
                <w:szCs w:val="16"/>
                <w:lang w:eastAsia="pl-PL"/>
                <w14:ligatures w14:val="none"/>
              </w:rPr>
              <w:br/>
            </w:r>
            <w:r w:rsidRPr="001C55A3">
              <w:rPr>
                <w:rFonts w:eastAsia="Times New Roman" w:cs="Calibri"/>
                <w:color w:val="000000"/>
                <w:kern w:val="0"/>
                <w:sz w:val="16"/>
                <w:szCs w:val="16"/>
                <w:lang w:eastAsia="pl-PL"/>
                <w14:ligatures w14:val="none"/>
              </w:rPr>
              <w:lastRenderedPageBreak/>
              <w:br/>
              <w:t>Podstawa prawna: (art. 13  ust.1, 2,3 i 3a ustawy z dnia 15 listopada 1984 r. o podatku rolnym</w:t>
            </w:r>
          </w:p>
        </w:tc>
      </w:tr>
      <w:tr w:rsidR="00801275" w:rsidRPr="00ED52BB" w14:paraId="482517BF" w14:textId="77777777" w:rsidTr="00300186">
        <w:trPr>
          <w:cnfStyle w:val="000000100000" w:firstRow="0" w:lastRow="0" w:firstColumn="0" w:lastColumn="0" w:oddVBand="0" w:evenVBand="0" w:oddHBand="1" w:evenHBand="0" w:firstRowFirstColumn="0" w:firstRowLastColumn="0" w:lastRowFirstColumn="0" w:lastRowLastColumn="0"/>
          <w:trHeight w:val="1224"/>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168921D4" w14:textId="50104C79"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25E38E4B"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Ulgi i zwolnienia fakultatywne wprowadzane przez rady gmin w podatkach samorządowych</w:t>
            </w:r>
          </w:p>
        </w:tc>
        <w:tc>
          <w:tcPr>
            <w:tcW w:w="1559" w:type="dxa"/>
            <w:tcBorders>
              <w:top w:val="single" w:sz="4" w:space="0" w:color="3A7C22" w:themeColor="accent6" w:themeShade="BF"/>
              <w:bottom w:val="single" w:sz="4" w:space="0" w:color="3A7C22" w:themeColor="accent6" w:themeShade="BF"/>
            </w:tcBorders>
            <w:hideMark/>
          </w:tcPr>
          <w:p w14:paraId="25D6A9A4"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Rolnictwo</w:t>
            </w:r>
          </w:p>
        </w:tc>
        <w:tc>
          <w:tcPr>
            <w:tcW w:w="1701" w:type="dxa"/>
            <w:tcBorders>
              <w:top w:val="single" w:sz="4" w:space="0" w:color="3A7C22" w:themeColor="accent6" w:themeShade="BF"/>
              <w:bottom w:val="single" w:sz="4" w:space="0" w:color="3A7C22" w:themeColor="accent6" w:themeShade="BF"/>
            </w:tcBorders>
            <w:hideMark/>
          </w:tcPr>
          <w:p w14:paraId="3736BC9D"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Trudna do oszacowania ze względu na swoją konstrukcję. </w:t>
            </w:r>
          </w:p>
        </w:tc>
        <w:tc>
          <w:tcPr>
            <w:tcW w:w="1559" w:type="dxa"/>
            <w:tcBorders>
              <w:top w:val="single" w:sz="4" w:space="0" w:color="3A7C22" w:themeColor="accent6" w:themeShade="BF"/>
              <w:bottom w:val="single" w:sz="4" w:space="0" w:color="3A7C22" w:themeColor="accent6" w:themeShade="BF"/>
            </w:tcBorders>
            <w:hideMark/>
          </w:tcPr>
          <w:p w14:paraId="49EEAA2D" w14:textId="35676E5A"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Wdrożony</w:t>
            </w:r>
            <w:r>
              <w:rPr>
                <w:rFonts w:eastAsia="Times New Roman" w:cs="Calibri"/>
                <w:color w:val="000000"/>
                <w:kern w:val="0"/>
                <w:sz w:val="16"/>
                <w:szCs w:val="16"/>
                <w:lang w:eastAsia="pl-PL"/>
                <w14:ligatures w14:val="none"/>
              </w:rPr>
              <w:t xml:space="preserve"> – </w:t>
            </w:r>
            <w:r w:rsidRPr="001C55A3">
              <w:rPr>
                <w:rFonts w:eastAsia="Times New Roman" w:cs="Calibri"/>
                <w:color w:val="000000"/>
                <w:kern w:val="0"/>
                <w:sz w:val="16"/>
                <w:szCs w:val="16"/>
                <w:lang w:eastAsia="pl-PL"/>
                <w14:ligatures w14:val="none"/>
              </w:rPr>
              <w:t>nie określono daty końcowej</w:t>
            </w:r>
          </w:p>
        </w:tc>
        <w:tc>
          <w:tcPr>
            <w:tcW w:w="1281" w:type="dxa"/>
            <w:tcBorders>
              <w:top w:val="single" w:sz="4" w:space="0" w:color="3A7C22" w:themeColor="accent6" w:themeShade="BF"/>
              <w:bottom w:val="single" w:sz="4" w:space="0" w:color="3A7C22" w:themeColor="accent6" w:themeShade="BF"/>
            </w:tcBorders>
            <w:noWrap/>
            <w:hideMark/>
          </w:tcPr>
          <w:p w14:paraId="640363B3"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Budżet gminy</w:t>
            </w:r>
          </w:p>
        </w:tc>
        <w:tc>
          <w:tcPr>
            <w:tcW w:w="1186" w:type="dxa"/>
            <w:tcBorders>
              <w:top w:val="single" w:sz="4" w:space="0" w:color="3A7C22" w:themeColor="accent6" w:themeShade="BF"/>
              <w:bottom w:val="single" w:sz="4" w:space="0" w:color="3A7C22" w:themeColor="accent6" w:themeShade="BF"/>
            </w:tcBorders>
            <w:noWrap/>
            <w:hideMark/>
          </w:tcPr>
          <w:p w14:paraId="7114C4AF"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Ulgi podatkowe</w:t>
            </w:r>
          </w:p>
        </w:tc>
        <w:tc>
          <w:tcPr>
            <w:tcW w:w="1413" w:type="dxa"/>
            <w:tcBorders>
              <w:top w:val="single" w:sz="4" w:space="0" w:color="3A7C22" w:themeColor="accent6" w:themeShade="BF"/>
              <w:bottom w:val="single" w:sz="4" w:space="0" w:color="3A7C22" w:themeColor="accent6" w:themeShade="BF"/>
            </w:tcBorders>
            <w:noWrap/>
            <w:hideMark/>
          </w:tcPr>
          <w:p w14:paraId="44CA54AD"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Rady gmin</w:t>
            </w:r>
          </w:p>
        </w:tc>
        <w:tc>
          <w:tcPr>
            <w:tcW w:w="3548" w:type="dxa"/>
            <w:tcBorders>
              <w:top w:val="single" w:sz="4" w:space="0" w:color="3A7C22" w:themeColor="accent6" w:themeShade="BF"/>
              <w:bottom w:val="single" w:sz="4" w:space="0" w:color="3A7C22" w:themeColor="accent6" w:themeShade="BF"/>
            </w:tcBorders>
            <w:hideMark/>
          </w:tcPr>
          <w:p w14:paraId="211F484B" w14:textId="1C97E894" w:rsidR="00781523" w:rsidRPr="001C55A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Zwolnienia podatkowe przedmiotowe i ulgi  wprowadzane  przez radę gminy, w drodze uchwały, w zakresie podatków od nieruchomości, rolnego i leśnego niż określone w ustawie </w:t>
            </w:r>
            <w:r w:rsidRPr="001C55A3">
              <w:rPr>
                <w:rFonts w:eastAsia="Times New Roman" w:cs="Calibri"/>
                <w:color w:val="000000"/>
                <w:kern w:val="0"/>
                <w:sz w:val="16"/>
                <w:szCs w:val="16"/>
                <w:lang w:eastAsia="pl-PL"/>
                <w14:ligatures w14:val="none"/>
              </w:rPr>
              <w:br/>
            </w:r>
            <w:r w:rsidRPr="001C55A3">
              <w:rPr>
                <w:rFonts w:eastAsia="Times New Roman" w:cs="Calibri"/>
                <w:color w:val="000000"/>
                <w:kern w:val="0"/>
                <w:sz w:val="16"/>
                <w:szCs w:val="16"/>
                <w:lang w:eastAsia="pl-PL"/>
                <w14:ligatures w14:val="none"/>
              </w:rPr>
              <w:br/>
              <w:t xml:space="preserve">Podstawa prawna : art. 7 ust. 3 ustawy z dnia 12 stycznia 1991 r.  o podatkach i opłatach lokalnych,; art. 13e ustawy z dnia 15 </w:t>
            </w:r>
            <w:r w:rsidR="00AD2F3D" w:rsidRPr="001C55A3">
              <w:rPr>
                <w:rFonts w:eastAsia="Times New Roman" w:cs="Calibri"/>
                <w:color w:val="000000"/>
                <w:kern w:val="0"/>
                <w:sz w:val="16"/>
                <w:szCs w:val="16"/>
                <w:lang w:eastAsia="pl-PL"/>
                <w14:ligatures w14:val="none"/>
              </w:rPr>
              <w:t>listopada</w:t>
            </w:r>
            <w:r w:rsidRPr="001C55A3">
              <w:rPr>
                <w:rFonts w:eastAsia="Times New Roman" w:cs="Calibri"/>
                <w:color w:val="000000"/>
                <w:kern w:val="0"/>
                <w:sz w:val="16"/>
                <w:szCs w:val="16"/>
                <w:lang w:eastAsia="pl-PL"/>
                <w14:ligatures w14:val="none"/>
              </w:rPr>
              <w:t xml:space="preserve"> 1984 r. o podatku rolnym oraz art. 7 ust. 3 ustawy z dnia 30 października 2002 r.  o podatku leśnym</w:t>
            </w:r>
          </w:p>
        </w:tc>
      </w:tr>
      <w:tr w:rsidR="00781523" w:rsidRPr="00ED52BB" w14:paraId="42D3ECE6" w14:textId="77777777" w:rsidTr="00300186">
        <w:trPr>
          <w:trHeight w:val="1836"/>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520CE48F" w14:textId="1C52A356"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hideMark/>
          </w:tcPr>
          <w:p w14:paraId="53A92A8C"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Zwolnienia ustawowe z podatków samorządowych</w:t>
            </w:r>
          </w:p>
        </w:tc>
        <w:tc>
          <w:tcPr>
            <w:tcW w:w="1559" w:type="dxa"/>
            <w:tcBorders>
              <w:top w:val="single" w:sz="4" w:space="0" w:color="3A7C22" w:themeColor="accent6" w:themeShade="BF"/>
            </w:tcBorders>
            <w:hideMark/>
          </w:tcPr>
          <w:p w14:paraId="1BD22C94"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Badania i rozwój</w:t>
            </w:r>
          </w:p>
        </w:tc>
        <w:tc>
          <w:tcPr>
            <w:tcW w:w="1701" w:type="dxa"/>
            <w:tcBorders>
              <w:top w:val="single" w:sz="4" w:space="0" w:color="3A7C22" w:themeColor="accent6" w:themeShade="BF"/>
            </w:tcBorders>
            <w:hideMark/>
          </w:tcPr>
          <w:p w14:paraId="6904FCEF"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Trudna do oszacowania ze względu na swoją konstrukcję. </w:t>
            </w:r>
          </w:p>
        </w:tc>
        <w:tc>
          <w:tcPr>
            <w:tcW w:w="1559" w:type="dxa"/>
            <w:tcBorders>
              <w:top w:val="single" w:sz="4" w:space="0" w:color="3A7C22" w:themeColor="accent6" w:themeShade="BF"/>
            </w:tcBorders>
            <w:hideMark/>
          </w:tcPr>
          <w:p w14:paraId="7F684E7D" w14:textId="3597BB56"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Wdrożony</w:t>
            </w:r>
            <w:r>
              <w:rPr>
                <w:rFonts w:eastAsia="Times New Roman" w:cs="Calibri"/>
                <w:color w:val="000000"/>
                <w:kern w:val="0"/>
                <w:sz w:val="16"/>
                <w:szCs w:val="16"/>
                <w:lang w:eastAsia="pl-PL"/>
                <w14:ligatures w14:val="none"/>
              </w:rPr>
              <w:t xml:space="preserve"> – </w:t>
            </w:r>
            <w:r w:rsidRPr="001C55A3">
              <w:rPr>
                <w:rFonts w:eastAsia="Times New Roman" w:cs="Calibri"/>
                <w:color w:val="000000"/>
                <w:kern w:val="0"/>
                <w:sz w:val="16"/>
                <w:szCs w:val="16"/>
                <w:lang w:eastAsia="pl-PL"/>
                <w14:ligatures w14:val="none"/>
              </w:rPr>
              <w:t>nie określono daty końcowej</w:t>
            </w:r>
          </w:p>
        </w:tc>
        <w:tc>
          <w:tcPr>
            <w:tcW w:w="1281" w:type="dxa"/>
            <w:tcBorders>
              <w:top w:val="single" w:sz="4" w:space="0" w:color="3A7C22" w:themeColor="accent6" w:themeShade="BF"/>
            </w:tcBorders>
            <w:hideMark/>
          </w:tcPr>
          <w:p w14:paraId="5F98004D"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Budżet gminy i budżet państwa (rekompensaty dla gmin)</w:t>
            </w:r>
          </w:p>
        </w:tc>
        <w:tc>
          <w:tcPr>
            <w:tcW w:w="1186" w:type="dxa"/>
            <w:tcBorders>
              <w:top w:val="single" w:sz="4" w:space="0" w:color="3A7C22" w:themeColor="accent6" w:themeShade="BF"/>
            </w:tcBorders>
            <w:hideMark/>
          </w:tcPr>
          <w:p w14:paraId="65508394" w14:textId="77777777"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Ulgi podatkowe</w:t>
            </w:r>
          </w:p>
        </w:tc>
        <w:tc>
          <w:tcPr>
            <w:tcW w:w="1413" w:type="dxa"/>
            <w:tcBorders>
              <w:top w:val="single" w:sz="4" w:space="0" w:color="3A7C22" w:themeColor="accent6" w:themeShade="BF"/>
            </w:tcBorders>
            <w:hideMark/>
          </w:tcPr>
          <w:p w14:paraId="5CD4BD66" w14:textId="7744624B" w:rsidR="00781523" w:rsidRPr="001C55A3" w:rsidRDefault="0078152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Ustawodawca/ </w:t>
            </w:r>
            <w:r>
              <w:rPr>
                <w:rFonts w:eastAsia="Times New Roman" w:cs="Calibri"/>
                <w:color w:val="000000"/>
                <w:kern w:val="0"/>
                <w:sz w:val="16"/>
                <w:szCs w:val="16"/>
                <w:lang w:eastAsia="pl-PL"/>
                <w14:ligatures w14:val="none"/>
              </w:rPr>
              <w:t>Rady gmin</w:t>
            </w:r>
          </w:p>
        </w:tc>
        <w:tc>
          <w:tcPr>
            <w:tcW w:w="3548" w:type="dxa"/>
            <w:tcBorders>
              <w:top w:val="single" w:sz="4" w:space="0" w:color="3A7C22" w:themeColor="accent6" w:themeShade="BF"/>
            </w:tcBorders>
            <w:hideMark/>
          </w:tcPr>
          <w:p w14:paraId="6872DCD3" w14:textId="77777777" w:rsidR="00781523"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Zwolnienie z podatków od nieruchomości, rolnego i leśnego przysługujące uczelniom, instytutom badawczym, przedsiębiorcom o statusie centrum badawczo-rozwojowego i Centrum Łukasiewicz </w:t>
            </w:r>
            <w:r w:rsidRPr="001C55A3">
              <w:rPr>
                <w:rFonts w:eastAsia="Times New Roman" w:cs="Calibri"/>
                <w:color w:val="000000"/>
                <w:kern w:val="0"/>
                <w:sz w:val="16"/>
                <w:szCs w:val="16"/>
                <w:lang w:eastAsia="pl-PL"/>
                <w14:ligatures w14:val="none"/>
              </w:rPr>
              <w:br/>
            </w:r>
            <w:r w:rsidRPr="001C55A3">
              <w:rPr>
                <w:rFonts w:eastAsia="Times New Roman" w:cs="Calibri"/>
                <w:color w:val="000000"/>
                <w:kern w:val="0"/>
                <w:sz w:val="16"/>
                <w:szCs w:val="16"/>
                <w:lang w:eastAsia="pl-PL"/>
                <w14:ligatures w14:val="none"/>
              </w:rPr>
              <w:br/>
              <w:t>Podstawa prawna: art. 7 ust. 2 pkt 1, 5, 5a, 5b ustawy z dnia 12 stycznia 1991 r. o podatkach i opłatach lokalnych (</w:t>
            </w:r>
            <w:proofErr w:type="spellStart"/>
            <w:r w:rsidRPr="001C55A3">
              <w:rPr>
                <w:rFonts w:eastAsia="Times New Roman" w:cs="Calibri"/>
                <w:color w:val="000000"/>
                <w:kern w:val="0"/>
                <w:sz w:val="16"/>
                <w:szCs w:val="16"/>
                <w:lang w:eastAsia="pl-PL"/>
                <w14:ligatures w14:val="none"/>
              </w:rPr>
              <w:t>u.p.o.l</w:t>
            </w:r>
            <w:proofErr w:type="spellEnd"/>
            <w:r w:rsidRPr="001C55A3">
              <w:rPr>
                <w:rFonts w:eastAsia="Times New Roman" w:cs="Calibri"/>
                <w:color w:val="000000"/>
                <w:kern w:val="0"/>
                <w:sz w:val="16"/>
                <w:szCs w:val="16"/>
                <w:lang w:eastAsia="pl-PL"/>
                <w14:ligatures w14:val="none"/>
              </w:rPr>
              <w:t>.)., art. 12 ust. 2 pkt 1,5, 5a, 8 ustawy z dnia 15 listopada 1984 r. o podatku rolnym (</w:t>
            </w:r>
            <w:proofErr w:type="spellStart"/>
            <w:r w:rsidRPr="001C55A3">
              <w:rPr>
                <w:rFonts w:eastAsia="Times New Roman" w:cs="Calibri"/>
                <w:color w:val="000000"/>
                <w:kern w:val="0"/>
                <w:sz w:val="16"/>
                <w:szCs w:val="16"/>
                <w:lang w:eastAsia="pl-PL"/>
                <w14:ligatures w14:val="none"/>
              </w:rPr>
              <w:t>u.p.r</w:t>
            </w:r>
            <w:proofErr w:type="spellEnd"/>
            <w:r w:rsidRPr="001C55A3">
              <w:rPr>
                <w:rFonts w:eastAsia="Times New Roman" w:cs="Calibri"/>
                <w:color w:val="000000"/>
                <w:kern w:val="0"/>
                <w:sz w:val="16"/>
                <w:szCs w:val="16"/>
                <w:lang w:eastAsia="pl-PL"/>
                <w14:ligatures w14:val="none"/>
              </w:rPr>
              <w:t>.), art. 7 ust. 2  pkt 1, 5, 6, 8 ustawy z dnia30 października 2002 r.  o podatku leśnym (</w:t>
            </w:r>
            <w:proofErr w:type="spellStart"/>
            <w:r w:rsidRPr="001C55A3">
              <w:rPr>
                <w:rFonts w:eastAsia="Times New Roman" w:cs="Calibri"/>
                <w:color w:val="000000"/>
                <w:kern w:val="0"/>
                <w:sz w:val="16"/>
                <w:szCs w:val="16"/>
                <w:lang w:eastAsia="pl-PL"/>
                <w14:ligatures w14:val="none"/>
              </w:rPr>
              <w:t>u.p.l</w:t>
            </w:r>
            <w:proofErr w:type="spellEnd"/>
            <w:r w:rsidRPr="001C55A3">
              <w:rPr>
                <w:rFonts w:eastAsia="Times New Roman" w:cs="Calibri"/>
                <w:color w:val="000000"/>
                <w:kern w:val="0"/>
                <w:sz w:val="16"/>
                <w:szCs w:val="16"/>
                <w:lang w:eastAsia="pl-PL"/>
                <w14:ligatures w14:val="none"/>
              </w:rPr>
              <w:t xml:space="preserve">.).      </w:t>
            </w:r>
          </w:p>
          <w:p w14:paraId="198E84A3" w14:textId="77777777" w:rsidR="00781523"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p>
          <w:p w14:paraId="0B832FF8" w14:textId="77777777" w:rsidR="00781523" w:rsidRPr="001C55A3" w:rsidRDefault="0078152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Rekompensaty dla</w:t>
            </w:r>
            <w:r>
              <w:rPr>
                <w:rFonts w:eastAsia="Times New Roman" w:cs="Calibri"/>
                <w:color w:val="000000"/>
                <w:kern w:val="0"/>
                <w:sz w:val="16"/>
                <w:szCs w:val="16"/>
                <w:lang w:eastAsia="pl-PL"/>
                <w14:ligatures w14:val="none"/>
              </w:rPr>
              <w:t xml:space="preserve"> </w:t>
            </w:r>
            <w:r w:rsidRPr="001C55A3">
              <w:rPr>
                <w:rFonts w:eastAsia="Times New Roman" w:cs="Calibri"/>
                <w:color w:val="000000"/>
                <w:kern w:val="0"/>
                <w:sz w:val="16"/>
                <w:szCs w:val="16"/>
                <w:lang w:eastAsia="pl-PL"/>
                <w14:ligatures w14:val="none"/>
              </w:rPr>
              <w:t xml:space="preserve">gmin na podstawie: art. 7 ust. 4 </w:t>
            </w:r>
            <w:proofErr w:type="spellStart"/>
            <w:r w:rsidRPr="001C55A3">
              <w:rPr>
                <w:rFonts w:eastAsia="Times New Roman" w:cs="Calibri"/>
                <w:color w:val="000000"/>
                <w:kern w:val="0"/>
                <w:sz w:val="16"/>
                <w:szCs w:val="16"/>
                <w:lang w:eastAsia="pl-PL"/>
                <w14:ligatures w14:val="none"/>
              </w:rPr>
              <w:t>u.p.o.l</w:t>
            </w:r>
            <w:proofErr w:type="spellEnd"/>
            <w:r w:rsidRPr="001C55A3">
              <w:rPr>
                <w:rFonts w:eastAsia="Times New Roman" w:cs="Calibri"/>
                <w:color w:val="000000"/>
                <w:kern w:val="0"/>
                <w:sz w:val="16"/>
                <w:szCs w:val="16"/>
                <w:lang w:eastAsia="pl-PL"/>
                <w14:ligatures w14:val="none"/>
              </w:rPr>
              <w:t xml:space="preserve">., art. 12 ust. 10 </w:t>
            </w:r>
            <w:proofErr w:type="spellStart"/>
            <w:r w:rsidRPr="001C55A3">
              <w:rPr>
                <w:rFonts w:eastAsia="Times New Roman" w:cs="Calibri"/>
                <w:color w:val="000000"/>
                <w:kern w:val="0"/>
                <w:sz w:val="16"/>
                <w:szCs w:val="16"/>
                <w:lang w:eastAsia="pl-PL"/>
                <w14:ligatures w14:val="none"/>
              </w:rPr>
              <w:t>u.p.r</w:t>
            </w:r>
            <w:proofErr w:type="spellEnd"/>
            <w:r w:rsidRPr="001C55A3">
              <w:rPr>
                <w:rFonts w:eastAsia="Times New Roman" w:cs="Calibri"/>
                <w:color w:val="000000"/>
                <w:kern w:val="0"/>
                <w:sz w:val="16"/>
                <w:szCs w:val="16"/>
                <w:lang w:eastAsia="pl-PL"/>
                <w14:ligatures w14:val="none"/>
              </w:rPr>
              <w:t xml:space="preserve">. oraz art. 7 ust.4 </w:t>
            </w:r>
            <w:proofErr w:type="spellStart"/>
            <w:r w:rsidRPr="001C55A3">
              <w:rPr>
                <w:rFonts w:eastAsia="Times New Roman" w:cs="Calibri"/>
                <w:color w:val="000000"/>
                <w:kern w:val="0"/>
                <w:sz w:val="16"/>
                <w:szCs w:val="16"/>
                <w:lang w:eastAsia="pl-PL"/>
                <w14:ligatures w14:val="none"/>
              </w:rPr>
              <w:t>u.p.l</w:t>
            </w:r>
            <w:proofErr w:type="spellEnd"/>
            <w:r w:rsidRPr="001C55A3">
              <w:rPr>
                <w:rFonts w:eastAsia="Times New Roman" w:cs="Calibri"/>
                <w:color w:val="000000"/>
                <w:kern w:val="0"/>
                <w:sz w:val="16"/>
                <w:szCs w:val="16"/>
                <w:lang w:eastAsia="pl-PL"/>
                <w14:ligatures w14:val="none"/>
              </w:rPr>
              <w:t>.</w:t>
            </w:r>
          </w:p>
        </w:tc>
      </w:tr>
      <w:tr w:rsidR="00801275" w:rsidRPr="00ED52BB" w14:paraId="7969BFB1" w14:textId="77777777" w:rsidTr="00300186">
        <w:trPr>
          <w:cnfStyle w:val="000000100000" w:firstRow="0" w:lastRow="0" w:firstColumn="0" w:lastColumn="0" w:oddVBand="0" w:evenVBand="0" w:oddHBand="1" w:evenHBand="0" w:firstRowFirstColumn="0" w:firstRowLastColumn="0" w:lastRowFirstColumn="0" w:lastRowLastColumn="0"/>
          <w:trHeight w:val="1032"/>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bottom w:val="single" w:sz="4" w:space="0" w:color="3A7C22" w:themeColor="accent6" w:themeShade="BF"/>
            </w:tcBorders>
            <w:noWrap/>
          </w:tcPr>
          <w:p w14:paraId="5734090C" w14:textId="2950EADE" w:rsidR="00781523" w:rsidRPr="002B271B" w:rsidRDefault="00781523"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bottom w:val="single" w:sz="4" w:space="0" w:color="3A7C22" w:themeColor="accent6" w:themeShade="BF"/>
            </w:tcBorders>
            <w:hideMark/>
          </w:tcPr>
          <w:p w14:paraId="024BF4DE"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Ulgi i zwolnienia fakultatywne wprowadzane przez rady gmin w podatkach samorządowych</w:t>
            </w:r>
          </w:p>
        </w:tc>
        <w:tc>
          <w:tcPr>
            <w:tcW w:w="1559" w:type="dxa"/>
            <w:tcBorders>
              <w:top w:val="single" w:sz="4" w:space="0" w:color="3A7C22" w:themeColor="accent6" w:themeShade="BF"/>
              <w:bottom w:val="single" w:sz="4" w:space="0" w:color="3A7C22" w:themeColor="accent6" w:themeShade="BF"/>
            </w:tcBorders>
            <w:hideMark/>
          </w:tcPr>
          <w:p w14:paraId="36FDA484"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Inne sektory</w:t>
            </w:r>
          </w:p>
        </w:tc>
        <w:tc>
          <w:tcPr>
            <w:tcW w:w="1701" w:type="dxa"/>
            <w:tcBorders>
              <w:top w:val="single" w:sz="4" w:space="0" w:color="3A7C22" w:themeColor="accent6" w:themeShade="BF"/>
              <w:bottom w:val="single" w:sz="4" w:space="0" w:color="3A7C22" w:themeColor="accent6" w:themeShade="BF"/>
            </w:tcBorders>
            <w:hideMark/>
          </w:tcPr>
          <w:p w14:paraId="3B9D3AD1"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 xml:space="preserve">Trudna do oszacowania ze względu na swoją konstrukcję. </w:t>
            </w:r>
          </w:p>
        </w:tc>
        <w:tc>
          <w:tcPr>
            <w:tcW w:w="1559" w:type="dxa"/>
            <w:tcBorders>
              <w:top w:val="single" w:sz="4" w:space="0" w:color="3A7C22" w:themeColor="accent6" w:themeShade="BF"/>
              <w:bottom w:val="single" w:sz="4" w:space="0" w:color="3A7C22" w:themeColor="accent6" w:themeShade="BF"/>
            </w:tcBorders>
            <w:hideMark/>
          </w:tcPr>
          <w:p w14:paraId="19E62CC2" w14:textId="6091F6DD"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Wdrożony</w:t>
            </w:r>
            <w:r>
              <w:rPr>
                <w:rFonts w:eastAsia="Times New Roman" w:cs="Calibri"/>
                <w:color w:val="000000"/>
                <w:kern w:val="0"/>
                <w:sz w:val="16"/>
                <w:szCs w:val="16"/>
                <w:lang w:eastAsia="pl-PL"/>
                <w14:ligatures w14:val="none"/>
              </w:rPr>
              <w:t xml:space="preserve"> – </w:t>
            </w:r>
            <w:r w:rsidRPr="001C55A3">
              <w:rPr>
                <w:rFonts w:eastAsia="Times New Roman" w:cs="Calibri"/>
                <w:color w:val="000000"/>
                <w:kern w:val="0"/>
                <w:sz w:val="16"/>
                <w:szCs w:val="16"/>
                <w:lang w:eastAsia="pl-PL"/>
                <w14:ligatures w14:val="none"/>
              </w:rPr>
              <w:t>nie określono daty końcowej</w:t>
            </w:r>
          </w:p>
        </w:tc>
        <w:tc>
          <w:tcPr>
            <w:tcW w:w="1281" w:type="dxa"/>
            <w:tcBorders>
              <w:top w:val="single" w:sz="4" w:space="0" w:color="3A7C22" w:themeColor="accent6" w:themeShade="BF"/>
              <w:bottom w:val="single" w:sz="4" w:space="0" w:color="3A7C22" w:themeColor="accent6" w:themeShade="BF"/>
            </w:tcBorders>
            <w:noWrap/>
            <w:hideMark/>
          </w:tcPr>
          <w:p w14:paraId="2E4FD73C"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Budżet gminy</w:t>
            </w:r>
          </w:p>
        </w:tc>
        <w:tc>
          <w:tcPr>
            <w:tcW w:w="1186" w:type="dxa"/>
            <w:tcBorders>
              <w:top w:val="single" w:sz="4" w:space="0" w:color="3A7C22" w:themeColor="accent6" w:themeShade="BF"/>
              <w:bottom w:val="single" w:sz="4" w:space="0" w:color="3A7C22" w:themeColor="accent6" w:themeShade="BF"/>
            </w:tcBorders>
            <w:noWrap/>
            <w:hideMark/>
          </w:tcPr>
          <w:p w14:paraId="4800DA95"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Ulgi podatkowe</w:t>
            </w:r>
          </w:p>
        </w:tc>
        <w:tc>
          <w:tcPr>
            <w:tcW w:w="1413" w:type="dxa"/>
            <w:tcBorders>
              <w:top w:val="single" w:sz="4" w:space="0" w:color="3A7C22" w:themeColor="accent6" w:themeShade="BF"/>
              <w:bottom w:val="single" w:sz="4" w:space="0" w:color="3A7C22" w:themeColor="accent6" w:themeShade="BF"/>
            </w:tcBorders>
            <w:noWrap/>
            <w:hideMark/>
          </w:tcPr>
          <w:p w14:paraId="63CE7266" w14:textId="77777777" w:rsidR="00781523" w:rsidRPr="001C55A3" w:rsidRDefault="00781523" w:rsidP="00781523">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Rady gmin</w:t>
            </w:r>
          </w:p>
        </w:tc>
        <w:tc>
          <w:tcPr>
            <w:tcW w:w="3548" w:type="dxa"/>
            <w:tcBorders>
              <w:top w:val="single" w:sz="4" w:space="0" w:color="3A7C22" w:themeColor="accent6" w:themeShade="BF"/>
              <w:bottom w:val="single" w:sz="4" w:space="0" w:color="3A7C22" w:themeColor="accent6" w:themeShade="BF"/>
            </w:tcBorders>
            <w:hideMark/>
          </w:tcPr>
          <w:p w14:paraId="02079EF5" w14:textId="77777777" w:rsidR="00781523" w:rsidRPr="001C55A3" w:rsidRDefault="00781523" w:rsidP="00781523">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kern w:val="0"/>
                <w:sz w:val="16"/>
                <w:szCs w:val="16"/>
                <w:lang w:eastAsia="pl-PL"/>
                <w14:ligatures w14:val="none"/>
              </w:rPr>
            </w:pPr>
            <w:r w:rsidRPr="001C55A3">
              <w:rPr>
                <w:rFonts w:eastAsia="Times New Roman" w:cs="Calibri"/>
                <w:color w:val="000000"/>
                <w:kern w:val="0"/>
                <w:sz w:val="16"/>
                <w:szCs w:val="16"/>
                <w:lang w:eastAsia="pl-PL"/>
                <w14:ligatures w14:val="none"/>
              </w:rPr>
              <w:t>Różnicowanie wysokości stawek podatku od nieruchomości od gruntów, budynków i budowli.</w:t>
            </w:r>
            <w:r w:rsidRPr="001C55A3">
              <w:rPr>
                <w:rFonts w:eastAsia="Times New Roman" w:cs="Calibri"/>
                <w:color w:val="000000"/>
                <w:kern w:val="0"/>
                <w:sz w:val="16"/>
                <w:szCs w:val="16"/>
                <w:lang w:eastAsia="pl-PL"/>
                <w14:ligatures w14:val="none"/>
              </w:rPr>
              <w:br/>
              <w:t xml:space="preserve"> </w:t>
            </w:r>
            <w:r w:rsidRPr="001C55A3">
              <w:rPr>
                <w:rFonts w:eastAsia="Times New Roman" w:cs="Calibri"/>
                <w:color w:val="000000"/>
                <w:kern w:val="0"/>
                <w:sz w:val="16"/>
                <w:szCs w:val="16"/>
                <w:lang w:eastAsia="pl-PL"/>
                <w14:ligatures w14:val="none"/>
              </w:rPr>
              <w:br/>
              <w:t>Podstawa prawna: art. 5 ust. 2, 3 i 4 ustawy z dnia 12 stycznia 1991 r.  o podatkach i opłatach  lokalnych</w:t>
            </w:r>
          </w:p>
        </w:tc>
      </w:tr>
      <w:tr w:rsidR="00EC3492" w:rsidRPr="00ED52BB" w14:paraId="67BC9D2B" w14:textId="77777777" w:rsidTr="00300186">
        <w:trPr>
          <w:trHeight w:val="1032"/>
        </w:trPr>
        <w:tc>
          <w:tcPr>
            <w:cnfStyle w:val="001000000000" w:firstRow="0" w:lastRow="0" w:firstColumn="1" w:lastColumn="0" w:oddVBand="0" w:evenVBand="0" w:oddHBand="0" w:evenHBand="0" w:firstRowFirstColumn="0" w:firstRowLastColumn="0" w:lastRowFirstColumn="0" w:lastRowLastColumn="0"/>
            <w:tcW w:w="454" w:type="dxa"/>
            <w:tcBorders>
              <w:top w:val="single" w:sz="4" w:space="0" w:color="3A7C22" w:themeColor="accent6" w:themeShade="BF"/>
            </w:tcBorders>
            <w:noWrap/>
          </w:tcPr>
          <w:p w14:paraId="2F00AAFD" w14:textId="77777777" w:rsidR="00481AB7" w:rsidRPr="002B271B" w:rsidRDefault="00481AB7" w:rsidP="00781523">
            <w:pPr>
              <w:pStyle w:val="Akapitzlist"/>
              <w:numPr>
                <w:ilvl w:val="0"/>
                <w:numId w:val="4"/>
              </w:numPr>
              <w:ind w:left="57" w:firstLine="0"/>
              <w:jc w:val="center"/>
              <w:rPr>
                <w:rFonts w:eastAsia="Times New Roman" w:cs="Calibri"/>
                <w:color w:val="000000"/>
                <w:kern w:val="0"/>
                <w:sz w:val="16"/>
                <w:szCs w:val="16"/>
                <w:lang w:eastAsia="pl-PL"/>
                <w14:ligatures w14:val="none"/>
              </w:rPr>
            </w:pPr>
          </w:p>
        </w:tc>
        <w:tc>
          <w:tcPr>
            <w:tcW w:w="1474" w:type="dxa"/>
            <w:tcBorders>
              <w:top w:val="single" w:sz="4" w:space="0" w:color="3A7C22" w:themeColor="accent6" w:themeShade="BF"/>
            </w:tcBorders>
          </w:tcPr>
          <w:p w14:paraId="47AC780A" w14:textId="65EB0709" w:rsidR="00481AB7" w:rsidRPr="001C55A3" w:rsidRDefault="00481AB7"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Program Zielona Transformacja</w:t>
            </w:r>
          </w:p>
        </w:tc>
        <w:tc>
          <w:tcPr>
            <w:tcW w:w="1559" w:type="dxa"/>
            <w:tcBorders>
              <w:top w:val="single" w:sz="4" w:space="0" w:color="3A7C22" w:themeColor="accent6" w:themeShade="BF"/>
            </w:tcBorders>
          </w:tcPr>
          <w:p w14:paraId="3E85E017" w14:textId="063549D6" w:rsidR="00481AB7" w:rsidRPr="001C55A3" w:rsidRDefault="00481AB7"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Różne sektory</w:t>
            </w:r>
          </w:p>
        </w:tc>
        <w:tc>
          <w:tcPr>
            <w:tcW w:w="1701" w:type="dxa"/>
            <w:tcBorders>
              <w:top w:val="single" w:sz="4" w:space="0" w:color="3A7C22" w:themeColor="accent6" w:themeShade="BF"/>
            </w:tcBorders>
          </w:tcPr>
          <w:p w14:paraId="30F29EA2" w14:textId="14CE4A86" w:rsidR="00481AB7" w:rsidRPr="001C55A3" w:rsidRDefault="00507B8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Ok. 190 mln EUR</w:t>
            </w:r>
          </w:p>
        </w:tc>
        <w:tc>
          <w:tcPr>
            <w:tcW w:w="1559" w:type="dxa"/>
            <w:tcBorders>
              <w:top w:val="single" w:sz="4" w:space="0" w:color="3A7C22" w:themeColor="accent6" w:themeShade="BF"/>
            </w:tcBorders>
          </w:tcPr>
          <w:p w14:paraId="66BC833E" w14:textId="39B15E03" w:rsidR="00481AB7" w:rsidRPr="001C55A3" w:rsidRDefault="00507B8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2026-2031</w:t>
            </w:r>
          </w:p>
        </w:tc>
        <w:tc>
          <w:tcPr>
            <w:tcW w:w="1281" w:type="dxa"/>
            <w:tcBorders>
              <w:top w:val="single" w:sz="4" w:space="0" w:color="3A7C22" w:themeColor="accent6" w:themeShade="BF"/>
            </w:tcBorders>
            <w:noWrap/>
          </w:tcPr>
          <w:p w14:paraId="6903CBEB" w14:textId="6572EA7D" w:rsidR="00481AB7" w:rsidRPr="001C55A3" w:rsidRDefault="00507B8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Mechanizm Finansowy Europejskiego Obszaru Gospodarczego 2021-2028</w:t>
            </w:r>
          </w:p>
        </w:tc>
        <w:tc>
          <w:tcPr>
            <w:tcW w:w="1186" w:type="dxa"/>
            <w:tcBorders>
              <w:top w:val="single" w:sz="4" w:space="0" w:color="3A7C22" w:themeColor="accent6" w:themeShade="BF"/>
            </w:tcBorders>
            <w:noWrap/>
          </w:tcPr>
          <w:p w14:paraId="51B2F3E0" w14:textId="09D69EAD" w:rsidR="00481AB7" w:rsidRPr="001C55A3" w:rsidRDefault="00507B8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Inwestycyjne</w:t>
            </w:r>
          </w:p>
        </w:tc>
        <w:tc>
          <w:tcPr>
            <w:tcW w:w="1413" w:type="dxa"/>
            <w:tcBorders>
              <w:top w:val="single" w:sz="4" w:space="0" w:color="3A7C22" w:themeColor="accent6" w:themeShade="BF"/>
            </w:tcBorders>
            <w:noWrap/>
          </w:tcPr>
          <w:p w14:paraId="5942BBBB" w14:textId="644A46BD" w:rsidR="00481AB7" w:rsidRPr="001C55A3" w:rsidRDefault="00507B83" w:rsidP="00781523">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xml:space="preserve">Ministerstwo Klimatu i Środowiska we współpracy z Narodowym Funduszem </w:t>
            </w:r>
            <w:r>
              <w:rPr>
                <w:rFonts w:eastAsia="Times New Roman" w:cs="Calibri"/>
                <w:color w:val="000000"/>
                <w:kern w:val="0"/>
                <w:sz w:val="16"/>
                <w:szCs w:val="16"/>
                <w:lang w:eastAsia="pl-PL"/>
                <w14:ligatures w14:val="none"/>
              </w:rPr>
              <w:lastRenderedPageBreak/>
              <w:t>Ochrony Środowiska i Gospodarki Wodnej</w:t>
            </w:r>
          </w:p>
        </w:tc>
        <w:tc>
          <w:tcPr>
            <w:tcW w:w="3548" w:type="dxa"/>
            <w:tcBorders>
              <w:top w:val="single" w:sz="4" w:space="0" w:color="3A7C22" w:themeColor="accent6" w:themeShade="BF"/>
            </w:tcBorders>
          </w:tcPr>
          <w:p w14:paraId="1B008199" w14:textId="77777777" w:rsidR="00507B83" w:rsidRDefault="00507B8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lastRenderedPageBreak/>
              <w:t xml:space="preserve">Program znajduje się na wstępnym etapie uzgodnień. Zakłada się, że obejmie swoim zakresem działania dotyczące adaptacji do zmian klimatu, ochrony różnorodności biologicznej, rozwoju odnawialnych źródeł energii, poprawy efektywności energetycznej. </w:t>
            </w:r>
            <w:r>
              <w:rPr>
                <w:rFonts w:eastAsia="Times New Roman" w:cs="Calibri"/>
                <w:color w:val="000000"/>
                <w:kern w:val="0"/>
                <w:sz w:val="16"/>
                <w:szCs w:val="16"/>
                <w:lang w:eastAsia="pl-PL"/>
                <w14:ligatures w14:val="none"/>
              </w:rPr>
              <w:lastRenderedPageBreak/>
              <w:t>Uruchomienie konkursów planowane jest na 2026 r.</w:t>
            </w:r>
          </w:p>
          <w:p w14:paraId="7028C93A" w14:textId="53C48ED9" w:rsidR="00481AB7" w:rsidRPr="001C55A3" w:rsidRDefault="00507B83" w:rsidP="00781523">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kern w:val="0"/>
                <w:sz w:val="16"/>
                <w:szCs w:val="16"/>
                <w:lang w:eastAsia="pl-PL"/>
                <w14:ligatures w14:val="none"/>
              </w:rPr>
            </w:pPr>
            <w:r>
              <w:rPr>
                <w:rFonts w:eastAsia="Times New Roman" w:cs="Calibri"/>
                <w:color w:val="000000"/>
                <w:kern w:val="0"/>
                <w:sz w:val="16"/>
                <w:szCs w:val="16"/>
                <w:lang w:eastAsia="pl-PL"/>
                <w14:ligatures w14:val="none"/>
              </w:rPr>
              <w:t xml:space="preserve">W ramach MF EOG i Norweskiego Mechanizmu Finansowego będą realizowane także inne programy (przez Ministerstwo Funduszy i Polityki Regionalnej, Polska Agencja Rozwoju Przedsiębiorczości, Narodowe Centrum Badań i Rozwoju, Narodowe Centrum Nauki), które w sposób pośredni mogą przyczyniać się do realizacji celów aKPEiK. </w:t>
            </w:r>
          </w:p>
        </w:tc>
      </w:tr>
    </w:tbl>
    <w:p w14:paraId="4B9EF3E7" w14:textId="77777777" w:rsidR="00C71705" w:rsidRDefault="00C71705"/>
    <w:p w14:paraId="0FE20B2C" w14:textId="0BC7E594" w:rsidR="00E45E69" w:rsidRDefault="00E45E69">
      <w:pPr>
        <w:rPr>
          <w:sz w:val="16"/>
          <w:szCs w:val="16"/>
        </w:rPr>
        <w:sectPr w:rsidR="00E45E69" w:rsidSect="003B55AA">
          <w:pgSz w:w="16838" w:h="11906" w:orient="landscape"/>
          <w:pgMar w:top="851" w:right="1417" w:bottom="709" w:left="1417" w:header="794" w:footer="708" w:gutter="0"/>
          <w:cols w:space="708"/>
          <w:docGrid w:linePitch="360"/>
        </w:sectPr>
      </w:pPr>
    </w:p>
    <w:p w14:paraId="3AEF06BB" w14:textId="2350936F" w:rsidR="00870BF9" w:rsidRDefault="00E45E69" w:rsidP="00E45E69">
      <w:pPr>
        <w:pStyle w:val="Nagwek1"/>
      </w:pPr>
      <w:bookmarkStart w:id="18" w:name="_Toc195860635"/>
      <w:bookmarkStart w:id="19" w:name="_Toc202967958"/>
      <w:r>
        <w:lastRenderedPageBreak/>
        <w:t>Podsumowanie</w:t>
      </w:r>
      <w:bookmarkEnd w:id="18"/>
      <w:bookmarkEnd w:id="19"/>
    </w:p>
    <w:p w14:paraId="2BA74A11" w14:textId="59EC2B19" w:rsidR="008C5408" w:rsidRPr="008C5408" w:rsidRDefault="008C5408" w:rsidP="008C5408">
      <w:pPr>
        <w:rPr>
          <w:rFonts w:eastAsia="Aptos" w:cs="Arial"/>
          <w:kern w:val="0"/>
          <w:szCs w:val="20"/>
        </w:rPr>
      </w:pPr>
      <w:r w:rsidRPr="008C5408">
        <w:rPr>
          <w:rFonts w:eastAsia="Aptos" w:cs="Arial"/>
          <w:kern w:val="0"/>
          <w:szCs w:val="20"/>
        </w:rPr>
        <w:t xml:space="preserve">Transformacja </w:t>
      </w:r>
      <w:r w:rsidR="0049733B">
        <w:rPr>
          <w:rFonts w:eastAsia="Aptos" w:cs="Arial"/>
          <w:kern w:val="0"/>
          <w:szCs w:val="20"/>
        </w:rPr>
        <w:t>klimatyczno-</w:t>
      </w:r>
      <w:r w:rsidRPr="008C5408">
        <w:rPr>
          <w:rFonts w:eastAsia="Aptos" w:cs="Arial"/>
          <w:kern w:val="0"/>
          <w:szCs w:val="20"/>
        </w:rPr>
        <w:t>energetyczna w Polsce stanowi jedno z najważniejszych wyzwań gospodarczych i społecznych nadchodzących dekad. Kluczowym elementem tego procesu jest jego odpowiednie finansowanie, które musi obejmować zarówno środki publiczne, jak i prywatne. Ze względu na ogromne koszty oraz konieczność przekształcenia całego sektora elektroenergetycznego, inwestycje te muszą być starannie zaplanowane, a ich realizacja wymaga wielostronnego wsparcia.</w:t>
      </w:r>
    </w:p>
    <w:p w14:paraId="48E31C4B" w14:textId="6C3EC12C" w:rsidR="008C5408" w:rsidRPr="008C5408" w:rsidRDefault="008C5408" w:rsidP="008C5408">
      <w:pPr>
        <w:rPr>
          <w:rFonts w:eastAsia="Aptos" w:cs="Arial"/>
          <w:kern w:val="0"/>
          <w:szCs w:val="20"/>
        </w:rPr>
      </w:pPr>
      <w:r w:rsidRPr="008C5408">
        <w:rPr>
          <w:rFonts w:eastAsia="Aptos" w:cs="Arial"/>
          <w:kern w:val="0"/>
          <w:szCs w:val="20"/>
        </w:rPr>
        <w:t>Fundusze unijn</w:t>
      </w:r>
      <w:r>
        <w:rPr>
          <w:rFonts w:eastAsia="Aptos" w:cs="Arial"/>
          <w:kern w:val="0"/>
          <w:szCs w:val="20"/>
        </w:rPr>
        <w:t>e</w:t>
      </w:r>
      <w:r w:rsidRPr="008C5408">
        <w:rPr>
          <w:rFonts w:eastAsia="Aptos" w:cs="Arial"/>
          <w:kern w:val="0"/>
          <w:szCs w:val="20"/>
        </w:rPr>
        <w:t xml:space="preserve"> od</w:t>
      </w:r>
      <w:r>
        <w:rPr>
          <w:rFonts w:eastAsia="Aptos" w:cs="Arial"/>
          <w:kern w:val="0"/>
          <w:szCs w:val="20"/>
        </w:rPr>
        <w:t>egrają</w:t>
      </w:r>
      <w:r w:rsidRPr="008C5408">
        <w:rPr>
          <w:rFonts w:eastAsia="Aptos" w:cs="Arial"/>
          <w:kern w:val="0"/>
          <w:szCs w:val="20"/>
        </w:rPr>
        <w:t xml:space="preserve"> fundamentalną rolę w finansowaniu transformacji </w:t>
      </w:r>
      <w:r w:rsidR="00C61CA7">
        <w:rPr>
          <w:rFonts w:eastAsia="Aptos" w:cs="Arial"/>
          <w:kern w:val="0"/>
          <w:szCs w:val="20"/>
        </w:rPr>
        <w:t>klimatyczno-</w:t>
      </w:r>
      <w:r w:rsidRPr="008C5408">
        <w:rPr>
          <w:rFonts w:eastAsia="Aptos" w:cs="Arial"/>
          <w:kern w:val="0"/>
          <w:szCs w:val="20"/>
        </w:rPr>
        <w:t>energetycznej w Polsce. W obecnej perspektywie finansowej Unii Europejskiej na lata 2021</w:t>
      </w:r>
      <w:r w:rsidR="002A2374">
        <w:rPr>
          <w:rFonts w:eastAsia="Aptos" w:cs="Arial"/>
          <w:kern w:val="0"/>
          <w:szCs w:val="20"/>
        </w:rPr>
        <w:t>–2</w:t>
      </w:r>
      <w:r w:rsidRPr="008C5408">
        <w:rPr>
          <w:rFonts w:eastAsia="Aptos" w:cs="Arial"/>
          <w:kern w:val="0"/>
          <w:szCs w:val="20"/>
        </w:rPr>
        <w:t xml:space="preserve">027 szczególne znaczenie mają Europejski Fundusz Rozwoju Regionalnego oraz Fundusz Spójności, z których środki będą alokowane m.in. na programy </w:t>
      </w:r>
      <w:proofErr w:type="spellStart"/>
      <w:r w:rsidRPr="008C5408">
        <w:rPr>
          <w:rFonts w:eastAsia="Aptos" w:cs="Arial"/>
          <w:kern w:val="0"/>
          <w:szCs w:val="20"/>
        </w:rPr>
        <w:t>FEnIKS</w:t>
      </w:r>
      <w:proofErr w:type="spellEnd"/>
      <w:r w:rsidRPr="008C5408">
        <w:rPr>
          <w:rFonts w:eastAsia="Aptos" w:cs="Arial"/>
          <w:kern w:val="0"/>
          <w:szCs w:val="20"/>
        </w:rPr>
        <w:t xml:space="preserve"> (</w:t>
      </w:r>
      <w:r w:rsidR="00D154A3">
        <w:rPr>
          <w:rFonts w:eastAsia="Aptos" w:cs="Arial"/>
          <w:kern w:val="0"/>
          <w:szCs w:val="20"/>
        </w:rPr>
        <w:t>Fundusze Europejskie na Infrastrukturę, Klimat</w:t>
      </w:r>
      <w:r w:rsidR="00F84C85">
        <w:rPr>
          <w:rFonts w:eastAsia="Aptos" w:cs="Arial"/>
          <w:kern w:val="0"/>
          <w:szCs w:val="20"/>
        </w:rPr>
        <w:t>,</w:t>
      </w:r>
      <w:r w:rsidR="00D154A3">
        <w:rPr>
          <w:rFonts w:eastAsia="Aptos" w:cs="Arial"/>
          <w:kern w:val="0"/>
          <w:szCs w:val="20"/>
        </w:rPr>
        <w:t xml:space="preserve"> Środowisko</w:t>
      </w:r>
      <w:r w:rsidRPr="008C5408">
        <w:rPr>
          <w:rFonts w:eastAsia="Aptos" w:cs="Arial"/>
          <w:kern w:val="0"/>
          <w:szCs w:val="20"/>
        </w:rPr>
        <w:t>) i FEPW (</w:t>
      </w:r>
      <w:r w:rsidR="00D154A3" w:rsidRPr="00D154A3">
        <w:rPr>
          <w:rFonts w:eastAsia="Aptos" w:cs="Arial"/>
          <w:kern w:val="0"/>
          <w:szCs w:val="20"/>
        </w:rPr>
        <w:t>Fundusze Europejskie dla Polski Wschodniej</w:t>
      </w:r>
      <w:r w:rsidRPr="008C5408">
        <w:rPr>
          <w:rFonts w:eastAsia="Aptos" w:cs="Arial"/>
          <w:kern w:val="0"/>
          <w:szCs w:val="20"/>
        </w:rPr>
        <w:t>). Te fundusze mają za zadanie wspierać projekty infrastrukturalne, które przyczynią się do realizacji celów klimatycznych oraz transformacji sektora energetycznego. Równolegle, Instrument na rzecz Odbudowy i Zwiększania Odporności (KPO), będący częścią unijnego planu naprawy gospodarczej po pandemii COVID-19, stanowi istotne źródło finansowania działań mających na celu redukcję emisji CO2 oraz promowanie energii odnawialnej.</w:t>
      </w:r>
      <w:r>
        <w:rPr>
          <w:rFonts w:eastAsia="Aptos" w:cs="Arial"/>
          <w:kern w:val="0"/>
          <w:szCs w:val="20"/>
        </w:rPr>
        <w:t xml:space="preserve"> </w:t>
      </w:r>
      <w:r w:rsidRPr="008C5408">
        <w:rPr>
          <w:rFonts w:eastAsia="Aptos" w:cs="Arial"/>
          <w:kern w:val="0"/>
          <w:szCs w:val="20"/>
        </w:rPr>
        <w:t xml:space="preserve">W kontekście sprawiedliwej transformacji szczególną rolę pełni Fundusz na rzecz Sprawiedliwej Transformacji (FST), który ma za zadanie wspierać regiony i społeczności najbardziej dotknięte skutkami transformacji </w:t>
      </w:r>
      <w:r w:rsidR="00535672">
        <w:rPr>
          <w:rFonts w:eastAsia="Aptos" w:cs="Arial"/>
          <w:kern w:val="0"/>
          <w:szCs w:val="20"/>
        </w:rPr>
        <w:t>klimatyczno-</w:t>
      </w:r>
      <w:r w:rsidRPr="008C5408">
        <w:rPr>
          <w:rFonts w:eastAsia="Aptos" w:cs="Arial"/>
          <w:kern w:val="0"/>
          <w:szCs w:val="20"/>
        </w:rPr>
        <w:t xml:space="preserve">energetycznej. Polska, będąca jednym z największych beneficjentów tego funduszu, ma możliwość skierowania znacznych środków na restrukturyzację regionów węglowych oraz rozwój nowych gałęzi przemysłu, które będą zgodne z zieloną gospodarką. Dodatkowo, nowo utworzony </w:t>
      </w:r>
      <w:r w:rsidR="00C9290E">
        <w:rPr>
          <w:rFonts w:eastAsia="Aptos" w:cs="Arial"/>
          <w:kern w:val="0"/>
          <w:szCs w:val="20"/>
        </w:rPr>
        <w:t xml:space="preserve">Społeczny Fundusz Klimatyczny </w:t>
      </w:r>
      <w:r w:rsidRPr="008C5408">
        <w:rPr>
          <w:rFonts w:eastAsia="Aptos" w:cs="Arial"/>
          <w:kern w:val="0"/>
          <w:szCs w:val="20"/>
        </w:rPr>
        <w:t>ma na celu złagodzenie wpływu</w:t>
      </w:r>
      <w:r w:rsidR="001E66AC">
        <w:rPr>
          <w:rFonts w:eastAsia="Aptos" w:cs="Arial"/>
          <w:kern w:val="0"/>
          <w:szCs w:val="20"/>
        </w:rPr>
        <w:t xml:space="preserve"> </w:t>
      </w:r>
      <w:r w:rsidR="00D0633A">
        <w:rPr>
          <w:rFonts w:eastAsia="Aptos" w:cs="Arial"/>
          <w:kern w:val="0"/>
          <w:szCs w:val="20"/>
        </w:rPr>
        <w:t xml:space="preserve">nowego sytemu </w:t>
      </w:r>
      <w:r w:rsidR="00D0633A" w:rsidRPr="00D0633A">
        <w:rPr>
          <w:rFonts w:eastAsia="Aptos" w:cs="Arial"/>
          <w:kern w:val="0"/>
          <w:szCs w:val="20"/>
        </w:rPr>
        <w:t xml:space="preserve">handlu uprawnieniami do emisji gazów cieplarnianych dla budynków i transportu drogowego </w:t>
      </w:r>
      <w:r w:rsidR="00D0633A">
        <w:rPr>
          <w:rFonts w:eastAsia="Aptos" w:cs="Arial"/>
          <w:kern w:val="0"/>
          <w:szCs w:val="20"/>
        </w:rPr>
        <w:t>(ETS-2)</w:t>
      </w:r>
      <w:r w:rsidRPr="008C5408">
        <w:rPr>
          <w:rFonts w:eastAsia="Aptos" w:cs="Arial"/>
          <w:kern w:val="0"/>
          <w:szCs w:val="20"/>
        </w:rPr>
        <w:t xml:space="preserve"> na </w:t>
      </w:r>
      <w:r w:rsidR="00D0633A">
        <w:rPr>
          <w:rFonts w:eastAsia="Aptos" w:cs="Arial"/>
          <w:kern w:val="0"/>
          <w:szCs w:val="20"/>
        </w:rPr>
        <w:t xml:space="preserve">znajdujące się w trudnej sytuacji </w:t>
      </w:r>
      <w:r w:rsidRPr="008C5408">
        <w:rPr>
          <w:rFonts w:eastAsia="Aptos" w:cs="Arial"/>
          <w:kern w:val="0"/>
          <w:szCs w:val="20"/>
        </w:rPr>
        <w:t>gospodarstwa domowe</w:t>
      </w:r>
      <w:r w:rsidR="00D0633A" w:rsidRPr="00D0633A">
        <w:rPr>
          <w:rFonts w:eastAsia="Aptos" w:cs="Arial"/>
          <w:kern w:val="0"/>
          <w:szCs w:val="20"/>
        </w:rPr>
        <w:t>, mikroprzedsiębiorstwa i użytkowników transportu</w:t>
      </w:r>
      <w:r w:rsidRPr="008C5408">
        <w:rPr>
          <w:rFonts w:eastAsia="Aptos" w:cs="Arial"/>
          <w:kern w:val="0"/>
          <w:szCs w:val="20"/>
        </w:rPr>
        <w:t>, które mogą odczuć negatywne skutki rosnących cen energii</w:t>
      </w:r>
      <w:r w:rsidR="00D0633A">
        <w:rPr>
          <w:rFonts w:eastAsia="Aptos" w:cs="Arial"/>
          <w:kern w:val="0"/>
          <w:szCs w:val="20"/>
        </w:rPr>
        <w:t xml:space="preserve"> i paliw</w:t>
      </w:r>
      <w:r w:rsidR="00621AD4">
        <w:rPr>
          <w:rFonts w:eastAsia="Aptos" w:cs="Arial"/>
          <w:kern w:val="0"/>
          <w:szCs w:val="20"/>
        </w:rPr>
        <w:t xml:space="preserve"> transportowych</w:t>
      </w:r>
      <w:r w:rsidR="00D0633A">
        <w:rPr>
          <w:rFonts w:eastAsia="Aptos" w:cs="Arial"/>
          <w:kern w:val="0"/>
          <w:szCs w:val="20"/>
        </w:rPr>
        <w:t>.</w:t>
      </w:r>
      <w:r>
        <w:rPr>
          <w:rFonts w:eastAsia="Aptos" w:cs="Arial"/>
          <w:kern w:val="0"/>
          <w:szCs w:val="20"/>
        </w:rPr>
        <w:t xml:space="preserve"> </w:t>
      </w:r>
      <w:r w:rsidRPr="008C5408">
        <w:rPr>
          <w:rFonts w:eastAsia="Aptos" w:cs="Arial"/>
          <w:kern w:val="0"/>
          <w:szCs w:val="20"/>
        </w:rPr>
        <w:t>Komplementarność funduszy unijnych z krajowymi programami wsparcia jest kluczowa dla efektywnego wykorzystania dostępnych środków. Należy zapewnić, aby każdy z programów finansowanych z budżetu UE przyczyniał się do osiągnięcia efektu mnożnikowego, zwiększając skalę inwestycji, a także efektu rewolwingowego, umożliwiając długoterminowe wsparcie poprzez pożyczki i inne formy finansowania zwrotnego. Na tym etapie szczególnie istotne jest również zaangażowanie komercyjnych instytucji finansowych, które mogą dostarczyć wielokrotnie większe środki na finansowanie transformacji niż te, które są dostępne w ramach programów publicznych.</w:t>
      </w:r>
    </w:p>
    <w:p w14:paraId="4B87D570" w14:textId="730595B1" w:rsidR="008C5408" w:rsidRPr="008C5408" w:rsidRDefault="008C5408" w:rsidP="008C5408">
      <w:pPr>
        <w:rPr>
          <w:rFonts w:eastAsia="Aptos" w:cs="Arial"/>
          <w:kern w:val="0"/>
          <w:szCs w:val="20"/>
        </w:rPr>
      </w:pPr>
      <w:r w:rsidRPr="008C5408">
        <w:rPr>
          <w:rFonts w:eastAsia="Aptos" w:cs="Arial"/>
          <w:kern w:val="0"/>
          <w:szCs w:val="20"/>
        </w:rPr>
        <w:t xml:space="preserve">Instytucje finansowe odgrywają kluczową rolę we wsparciu transformacji </w:t>
      </w:r>
      <w:r w:rsidR="00535672">
        <w:rPr>
          <w:rFonts w:eastAsia="Aptos" w:cs="Arial"/>
          <w:kern w:val="0"/>
          <w:szCs w:val="20"/>
        </w:rPr>
        <w:t>klimatyczno-</w:t>
      </w:r>
      <w:r w:rsidRPr="008C5408">
        <w:rPr>
          <w:rFonts w:eastAsia="Aptos" w:cs="Arial"/>
          <w:kern w:val="0"/>
          <w:szCs w:val="20"/>
        </w:rPr>
        <w:t xml:space="preserve">energetycznej, szczególnie poprzez finansowanie projektów zrównoważonych, związanych z odnawialnymi źródłami energii, inwestycjami w inteligentne sieci przesyłowe i dystrybucyjne, a także innowacjami w dziedzinie efektywności energetycznej. Ważne jest, aby finansowanie odbywało się nie tylko w ramach standardowych kredytów, ale także poprzez bardziej złożone instrumenty finansowe, takie jak finansowanie spółek celowych (SPV), refinansowanie istniejącego zadłużenia, udzielanie finansowania podporządkowanego, czy też zastosowanie mechanizmów takich jak kredyty bez </w:t>
      </w:r>
      <w:proofErr w:type="spellStart"/>
      <w:r w:rsidRPr="008C5408">
        <w:rPr>
          <w:rFonts w:eastAsia="Aptos" w:cs="Arial"/>
          <w:kern w:val="0"/>
          <w:szCs w:val="20"/>
        </w:rPr>
        <w:t>kowenantów</w:t>
      </w:r>
      <w:proofErr w:type="spellEnd"/>
      <w:r w:rsidRPr="008C5408">
        <w:rPr>
          <w:rFonts w:eastAsia="Aptos" w:cs="Arial"/>
          <w:kern w:val="0"/>
          <w:szCs w:val="20"/>
        </w:rPr>
        <w:t xml:space="preserve"> finansowych. Kluczowym aspektem jest również uproszczenie i skrócenie procedur akceptacyjnych, co przyspieszy realizację projektów.</w:t>
      </w:r>
    </w:p>
    <w:p w14:paraId="35140CD2" w14:textId="15391492" w:rsidR="008C5408" w:rsidRPr="008C5408" w:rsidRDefault="008C5408" w:rsidP="008C5408">
      <w:pPr>
        <w:rPr>
          <w:rFonts w:eastAsia="Aptos" w:cs="Arial"/>
          <w:kern w:val="0"/>
          <w:szCs w:val="20"/>
        </w:rPr>
      </w:pPr>
      <w:r w:rsidRPr="008C5408">
        <w:rPr>
          <w:rFonts w:eastAsia="Aptos" w:cs="Arial"/>
          <w:kern w:val="0"/>
          <w:szCs w:val="20"/>
        </w:rPr>
        <w:t xml:space="preserve">Pozostałe formy finansowania transformacji </w:t>
      </w:r>
      <w:r w:rsidR="00535672">
        <w:rPr>
          <w:rFonts w:eastAsia="Aptos" w:cs="Arial"/>
          <w:kern w:val="0"/>
          <w:szCs w:val="20"/>
        </w:rPr>
        <w:t>klimatyczno-</w:t>
      </w:r>
      <w:r w:rsidRPr="008C5408">
        <w:rPr>
          <w:rFonts w:eastAsia="Aptos" w:cs="Arial"/>
          <w:kern w:val="0"/>
          <w:szCs w:val="20"/>
        </w:rPr>
        <w:t xml:space="preserve">energetycznej obejmują szeroki wachlarz mechanizmów wsparcia publicznego, które mogą być wykorzystane w zależności od specyfiki i potrzeb danego projektu. Wśród nich znajdują się takie narzędzia jak </w:t>
      </w:r>
      <w:proofErr w:type="spellStart"/>
      <w:r w:rsidR="00507B83">
        <w:rPr>
          <w:rFonts w:eastAsia="Aptos" w:cs="Arial"/>
          <w:kern w:val="0"/>
          <w:szCs w:val="20"/>
        </w:rPr>
        <w:t>pozaunijne</w:t>
      </w:r>
      <w:proofErr w:type="spellEnd"/>
      <w:r w:rsidR="00507B83">
        <w:rPr>
          <w:rFonts w:eastAsia="Aptos" w:cs="Arial"/>
          <w:kern w:val="0"/>
          <w:szCs w:val="20"/>
        </w:rPr>
        <w:t xml:space="preserve"> instrumenty, takie jak Mechanizm Finansowy Europejskiego Obszaru Gospodarczego (MF EOG), </w:t>
      </w:r>
      <w:r w:rsidRPr="008C5408">
        <w:rPr>
          <w:rFonts w:eastAsia="Aptos" w:cs="Arial"/>
          <w:kern w:val="0"/>
          <w:szCs w:val="20"/>
        </w:rPr>
        <w:t xml:space="preserve">system aukcyjny OZE, system wsparcia </w:t>
      </w:r>
      <w:r w:rsidR="00CC049C">
        <w:rPr>
          <w:rFonts w:eastAsia="Aptos" w:cs="Arial"/>
          <w:kern w:val="0"/>
          <w:szCs w:val="20"/>
        </w:rPr>
        <w:t>m</w:t>
      </w:r>
      <w:r w:rsidRPr="008C5408">
        <w:rPr>
          <w:rFonts w:eastAsia="Aptos" w:cs="Arial"/>
          <w:kern w:val="0"/>
          <w:szCs w:val="20"/>
        </w:rPr>
        <w:t>orski</w:t>
      </w:r>
      <w:r w:rsidR="00CC049C">
        <w:rPr>
          <w:rFonts w:eastAsia="Aptos" w:cs="Arial"/>
          <w:kern w:val="0"/>
          <w:szCs w:val="20"/>
        </w:rPr>
        <w:t>ej</w:t>
      </w:r>
      <w:r w:rsidRPr="008C5408">
        <w:rPr>
          <w:rFonts w:eastAsia="Aptos" w:cs="Arial"/>
          <w:kern w:val="0"/>
          <w:szCs w:val="20"/>
        </w:rPr>
        <w:t xml:space="preserve"> </w:t>
      </w:r>
      <w:r w:rsidR="00CC049C">
        <w:rPr>
          <w:rFonts w:eastAsia="Aptos" w:cs="Arial"/>
          <w:kern w:val="0"/>
          <w:szCs w:val="20"/>
        </w:rPr>
        <w:t>energetyki</w:t>
      </w:r>
      <w:r w:rsidR="00CC049C" w:rsidRPr="008C5408">
        <w:rPr>
          <w:rFonts w:eastAsia="Aptos" w:cs="Arial"/>
          <w:kern w:val="0"/>
          <w:szCs w:val="20"/>
        </w:rPr>
        <w:t xml:space="preserve"> </w:t>
      </w:r>
      <w:r w:rsidR="00CC049C">
        <w:rPr>
          <w:rFonts w:eastAsia="Aptos" w:cs="Arial"/>
          <w:kern w:val="0"/>
          <w:szCs w:val="20"/>
        </w:rPr>
        <w:t>w</w:t>
      </w:r>
      <w:r w:rsidRPr="008C5408">
        <w:rPr>
          <w:rFonts w:eastAsia="Aptos" w:cs="Arial"/>
          <w:kern w:val="0"/>
          <w:szCs w:val="20"/>
        </w:rPr>
        <w:t>iatrow</w:t>
      </w:r>
      <w:r w:rsidR="00CC049C">
        <w:rPr>
          <w:rFonts w:eastAsia="Aptos" w:cs="Arial"/>
          <w:kern w:val="0"/>
          <w:szCs w:val="20"/>
        </w:rPr>
        <w:t>ej</w:t>
      </w:r>
      <w:r w:rsidRPr="008C5408">
        <w:rPr>
          <w:rFonts w:eastAsia="Aptos" w:cs="Arial"/>
          <w:kern w:val="0"/>
          <w:szCs w:val="20"/>
        </w:rPr>
        <w:t xml:space="preserve"> (kontrakt różnicowy), system wsparcia wysokosprawnej kogeneracji, system </w:t>
      </w:r>
      <w:r w:rsidR="0005717C">
        <w:rPr>
          <w:rFonts w:eastAsia="Aptos" w:cs="Arial"/>
          <w:kern w:val="0"/>
          <w:szCs w:val="20"/>
        </w:rPr>
        <w:t>b</w:t>
      </w:r>
      <w:r w:rsidRPr="008C5408">
        <w:rPr>
          <w:rFonts w:eastAsia="Aptos" w:cs="Arial"/>
          <w:kern w:val="0"/>
          <w:szCs w:val="20"/>
        </w:rPr>
        <w:t xml:space="preserve">iałych </w:t>
      </w:r>
      <w:r w:rsidR="006A175E">
        <w:rPr>
          <w:rFonts w:eastAsia="Aptos" w:cs="Arial"/>
          <w:kern w:val="0"/>
          <w:szCs w:val="20"/>
        </w:rPr>
        <w:t>c</w:t>
      </w:r>
      <w:r w:rsidRPr="008C5408">
        <w:rPr>
          <w:rFonts w:eastAsia="Aptos" w:cs="Arial"/>
          <w:kern w:val="0"/>
          <w:szCs w:val="20"/>
        </w:rPr>
        <w:t>ertyfikatów, czy rynek mocy. Równie ważne są mechanizmy taryf gwarantowanych (FIT), systemy dopłat do ceny rynkowej (FIP), oraz specjalne taryfy uwzględniające koszty związane z</w:t>
      </w:r>
      <w:r w:rsidR="00A347F9">
        <w:rPr>
          <w:rFonts w:eastAsia="Aptos" w:cs="Arial"/>
          <w:kern w:val="0"/>
          <w:szCs w:val="20"/>
        </w:rPr>
        <w:t> </w:t>
      </w:r>
      <w:r w:rsidRPr="008C5408">
        <w:rPr>
          <w:rFonts w:eastAsia="Aptos" w:cs="Arial"/>
          <w:kern w:val="0"/>
          <w:szCs w:val="20"/>
        </w:rPr>
        <w:t>prowadzeniem działalności przez przedsiębiorstwa energetyczne.</w:t>
      </w:r>
    </w:p>
    <w:p w14:paraId="77FA474F" w14:textId="16DA843E" w:rsidR="008C5408" w:rsidRPr="008C5408" w:rsidRDefault="008C5408" w:rsidP="008C5408">
      <w:pPr>
        <w:rPr>
          <w:rFonts w:eastAsia="Aptos" w:cs="Arial"/>
          <w:kern w:val="0"/>
          <w:szCs w:val="20"/>
        </w:rPr>
      </w:pPr>
      <w:r w:rsidRPr="008C5408">
        <w:rPr>
          <w:rFonts w:eastAsia="Aptos" w:cs="Arial"/>
          <w:kern w:val="0"/>
          <w:szCs w:val="20"/>
        </w:rPr>
        <w:t xml:space="preserve">Interwencje publiczne w postaci specjalnego opodatkowania, ulg podatkowych, a także przekierowywania przepływów kapitałowych zgodnie z Taksonomią oraz Standardem Zielonych </w:t>
      </w:r>
      <w:r w:rsidRPr="008C5408">
        <w:rPr>
          <w:rFonts w:eastAsia="Aptos" w:cs="Arial"/>
          <w:kern w:val="0"/>
          <w:szCs w:val="20"/>
        </w:rPr>
        <w:lastRenderedPageBreak/>
        <w:t xml:space="preserve">Obligacji również mogą odegrać istotną rolę w mobilizowaniu dodatkowych środków na potrzeby transformacji energetycznej. Ważnym aspektem jest również wykorzystanie środków pozabudżetowych, w tym </w:t>
      </w:r>
      <w:r>
        <w:rPr>
          <w:rFonts w:eastAsia="Aptos" w:cs="Arial"/>
          <w:kern w:val="0"/>
          <w:szCs w:val="20"/>
        </w:rPr>
        <w:t>środków</w:t>
      </w:r>
      <w:r w:rsidRPr="008C5408">
        <w:rPr>
          <w:rFonts w:eastAsia="Aptos" w:cs="Arial"/>
          <w:kern w:val="0"/>
          <w:szCs w:val="20"/>
        </w:rPr>
        <w:t xml:space="preserve"> pochodzących z Narodowego Funduszu Ochrony Środowiska i Gospodarki Wodnej (NFOŚiGW) oraz jednostek samorządu terytorialnego. Szczególną uwagę należy także zwrócić na odpowiednie zarządzanie i przekierowywanie wpływów z systemu EU ETS, które mogą stanowić znaczące źródło finansowania dla projektów mających na celu redukcję emisji i promowanie zielonej energii.</w:t>
      </w:r>
    </w:p>
    <w:p w14:paraId="1EC0F406" w14:textId="3349FFF6" w:rsidR="007E19F7" w:rsidRPr="008C5408" w:rsidRDefault="008C5408" w:rsidP="008C5408">
      <w:pPr>
        <w:rPr>
          <w:rFonts w:eastAsia="Aptos" w:cs="Arial"/>
          <w:kern w:val="0"/>
          <w:szCs w:val="20"/>
        </w:rPr>
      </w:pPr>
      <w:r w:rsidRPr="008C5408">
        <w:rPr>
          <w:rFonts w:eastAsia="Aptos" w:cs="Arial"/>
          <w:kern w:val="0"/>
          <w:szCs w:val="20"/>
        </w:rPr>
        <w:t xml:space="preserve">Podsumowując, transformacja </w:t>
      </w:r>
      <w:r w:rsidR="0049733B">
        <w:rPr>
          <w:rFonts w:eastAsia="Aptos" w:cs="Arial"/>
          <w:kern w:val="0"/>
          <w:szCs w:val="20"/>
        </w:rPr>
        <w:t>klimatyczno-</w:t>
      </w:r>
      <w:r w:rsidRPr="008C5408">
        <w:rPr>
          <w:rFonts w:eastAsia="Aptos" w:cs="Arial"/>
          <w:kern w:val="0"/>
          <w:szCs w:val="20"/>
        </w:rPr>
        <w:t xml:space="preserve">energetyczna w Polsce wymaga mobilizacji zarówno publicznych, jak i prywatnych źródeł finansowania. Środki publiczne, choć znaczące, nie są wystarczające do pełnego pokrycia kosztów transformacji, dlatego konieczne jest zaangażowanie kapitału prywatnego poprzez tworzenie korzystnych warunków inwestycyjnych, takich jak obniżenie ryzyka inwestycyjnego lub zwiększenie potencjalnych zysków. Dostępne aktualnie środki finansowe, zarówno w sektorze publicznym, jak i prywatnym, przeznaczone na sektor elektroenergetyczny, są trudne do oszacowania, co dodatkowo podkreśla konieczność ścisłej współpracy między wszystkimi zainteresowanymi stronami. Istnieje także potrzeba elastycznego podejścia do finansowania, ponieważ nie istnieje jeden, uniwersalny mechanizm czy instrument, który byłby najlepszy dla wszystkich projektów związanych z transformacją </w:t>
      </w:r>
      <w:r w:rsidR="0049733B">
        <w:rPr>
          <w:rFonts w:eastAsia="Aptos" w:cs="Arial"/>
          <w:kern w:val="0"/>
          <w:szCs w:val="20"/>
        </w:rPr>
        <w:t>klimatyczno-</w:t>
      </w:r>
      <w:r w:rsidRPr="008C5408">
        <w:rPr>
          <w:rFonts w:eastAsia="Aptos" w:cs="Arial"/>
          <w:kern w:val="0"/>
          <w:szCs w:val="20"/>
        </w:rPr>
        <w:t>energetyczną.</w:t>
      </w:r>
      <w:r w:rsidRPr="008C5408">
        <w:t xml:space="preserve"> </w:t>
      </w:r>
      <w:r w:rsidRPr="008C5408">
        <w:rPr>
          <w:rFonts w:eastAsia="Aptos" w:cs="Arial"/>
          <w:kern w:val="0"/>
          <w:szCs w:val="20"/>
        </w:rPr>
        <w:t>Dlatego kluczowe będzie elastyczne podejście, które pozwoli na efektywne i</w:t>
      </w:r>
      <w:r w:rsidR="00EC292C">
        <w:rPr>
          <w:rFonts w:eastAsia="Aptos" w:cs="Arial"/>
          <w:kern w:val="0"/>
          <w:szCs w:val="20"/>
        </w:rPr>
        <w:t> </w:t>
      </w:r>
      <w:r w:rsidRPr="008C5408">
        <w:rPr>
          <w:rFonts w:eastAsia="Aptos" w:cs="Arial"/>
          <w:kern w:val="0"/>
          <w:szCs w:val="20"/>
        </w:rPr>
        <w:t xml:space="preserve">skuteczne wykorzystanie dostępnych zasobów finansowych, zarówno krajowych, jak i unijnych. Każdy cel wymaga indywidualnego doboru narzędzi finansowych, co podkreśla znaczenie starannego planowania i koordynacji działań na każdym etapie realizacji projektów. </w:t>
      </w:r>
    </w:p>
    <w:sectPr w:rsidR="007E19F7" w:rsidRPr="008C5408" w:rsidSect="00E45E69">
      <w:pgSz w:w="11906" w:h="1683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12B34" w14:textId="77777777" w:rsidR="00445384" w:rsidRDefault="00445384" w:rsidP="0055519E">
      <w:pPr>
        <w:spacing w:after="0" w:line="240" w:lineRule="auto"/>
      </w:pPr>
      <w:r>
        <w:separator/>
      </w:r>
    </w:p>
  </w:endnote>
  <w:endnote w:type="continuationSeparator" w:id="0">
    <w:p w14:paraId="7FFCD6BC" w14:textId="77777777" w:rsidR="00445384" w:rsidRDefault="00445384" w:rsidP="0055519E">
      <w:pPr>
        <w:spacing w:after="0" w:line="240" w:lineRule="auto"/>
      </w:pPr>
      <w:r>
        <w:continuationSeparator/>
      </w:r>
    </w:p>
  </w:endnote>
  <w:endnote w:type="continuationNotice" w:id="1">
    <w:p w14:paraId="67D41A2C" w14:textId="77777777" w:rsidR="00445384" w:rsidRDefault="004453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Bahnschrift">
    <w:panose1 w:val="020B0502040204020203"/>
    <w:charset w:val="EE"/>
    <w:family w:val="swiss"/>
    <w:pitch w:val="variable"/>
    <w:sig w:usb0="A00002C7" w:usb1="00000002" w:usb2="00000000" w:usb3="00000000" w:csb0="0000019F" w:csb1="00000000"/>
  </w:font>
  <w:font w:name="Aptos Display">
    <w:charset w:val="00"/>
    <w:family w:val="swiss"/>
    <w:pitch w:val="variable"/>
    <w:sig w:usb0="20000287" w:usb1="00000003" w:usb2="00000000" w:usb3="00000000" w:csb0="0000019F" w:csb1="00000000"/>
  </w:font>
  <w:font w:name="EC Square Sans Pro">
    <w:altName w:val="Calibri"/>
    <w:panose1 w:val="00000000000000000000"/>
    <w:charset w:val="00"/>
    <w:family w:val="swiss"/>
    <w:notTrueType/>
    <w:pitch w:val="default"/>
    <w:sig w:usb0="00000007" w:usb1="00000000" w:usb2="00000000" w:usb3="00000000" w:csb0="00000003"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044249"/>
      <w:docPartObj>
        <w:docPartGallery w:val="Page Numbers (Bottom of Page)"/>
        <w:docPartUnique/>
      </w:docPartObj>
    </w:sdtPr>
    <w:sdtEndPr/>
    <w:sdtContent>
      <w:p w14:paraId="667876F0" w14:textId="55E04451" w:rsidR="0055519E" w:rsidRDefault="00C10FDC">
        <w:pPr>
          <w:pStyle w:val="Stopka"/>
          <w:jc w:val="center"/>
        </w:pPr>
        <w:r>
          <w:br/>
        </w:r>
        <w:r w:rsidR="0055519E">
          <w:fldChar w:fldCharType="begin"/>
        </w:r>
        <w:r w:rsidR="0055519E">
          <w:instrText>PAGE   \* MERGEFORMAT</w:instrText>
        </w:r>
        <w:r w:rsidR="0055519E">
          <w:fldChar w:fldCharType="separate"/>
        </w:r>
        <w:r w:rsidR="0055519E">
          <w:t>2</w:t>
        </w:r>
        <w:r w:rsidR="0055519E">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22C47" w14:textId="77777777" w:rsidR="00445384" w:rsidRDefault="00445384" w:rsidP="0055519E">
      <w:pPr>
        <w:spacing w:after="0" w:line="240" w:lineRule="auto"/>
      </w:pPr>
      <w:r>
        <w:separator/>
      </w:r>
    </w:p>
  </w:footnote>
  <w:footnote w:type="continuationSeparator" w:id="0">
    <w:p w14:paraId="34C31D0B" w14:textId="77777777" w:rsidR="00445384" w:rsidRDefault="00445384" w:rsidP="0055519E">
      <w:pPr>
        <w:spacing w:after="0" w:line="240" w:lineRule="auto"/>
      </w:pPr>
      <w:r>
        <w:continuationSeparator/>
      </w:r>
    </w:p>
  </w:footnote>
  <w:footnote w:type="continuationNotice" w:id="1">
    <w:p w14:paraId="3233936F" w14:textId="77777777" w:rsidR="00445384" w:rsidRDefault="00445384">
      <w:pPr>
        <w:spacing w:after="0" w:line="240" w:lineRule="auto"/>
      </w:pPr>
    </w:p>
  </w:footnote>
  <w:footnote w:id="2">
    <w:p w14:paraId="7203F8B2" w14:textId="3740FC98" w:rsidR="00C8277A" w:rsidRPr="00FE7CA5" w:rsidRDefault="00C8277A" w:rsidP="00FE7CA5">
      <w:pPr>
        <w:pStyle w:val="Tekstprzypisudolnego"/>
        <w:rPr>
          <w:sz w:val="18"/>
          <w:szCs w:val="18"/>
        </w:rPr>
      </w:pPr>
      <w:r w:rsidRPr="00FE7CA5">
        <w:rPr>
          <w:rStyle w:val="Odwoanieprzypisudolnego"/>
          <w:sz w:val="18"/>
          <w:szCs w:val="18"/>
        </w:rPr>
        <w:footnoteRef/>
      </w:r>
      <w:r w:rsidRPr="00FE7CA5">
        <w:rPr>
          <w:sz w:val="18"/>
          <w:szCs w:val="18"/>
        </w:rPr>
        <w:t xml:space="preserve"> Kursy wymiany walut zgodne z wartościami z załącznika 3. do aKPEiK</w:t>
      </w:r>
      <w:r w:rsidR="00C741A8">
        <w:rPr>
          <w:sz w:val="18"/>
          <w:szCs w:val="18"/>
        </w:rPr>
        <w:t xml:space="preserve"> – </w:t>
      </w:r>
      <w:r w:rsidRPr="00FE7CA5">
        <w:rPr>
          <w:sz w:val="18"/>
          <w:szCs w:val="18"/>
        </w:rPr>
        <w:t>Założenia prognostyczne i metodyka prognozowania</w:t>
      </w:r>
    </w:p>
  </w:footnote>
  <w:footnote w:id="3">
    <w:p w14:paraId="131C359C" w14:textId="5FC75F29" w:rsidR="00691D35" w:rsidRPr="00FE7CA5" w:rsidRDefault="00691D35" w:rsidP="00FE7CA5">
      <w:pPr>
        <w:pStyle w:val="Tekstprzypisudolnego"/>
        <w:rPr>
          <w:sz w:val="18"/>
          <w:szCs w:val="18"/>
        </w:rPr>
      </w:pPr>
      <w:r w:rsidRPr="00FE7CA5">
        <w:rPr>
          <w:rStyle w:val="Odwoanieprzypisudolnego"/>
          <w:sz w:val="18"/>
          <w:szCs w:val="18"/>
        </w:rPr>
        <w:footnoteRef/>
      </w:r>
      <w:r w:rsidRPr="00FE7CA5">
        <w:rPr>
          <w:sz w:val="18"/>
          <w:szCs w:val="18"/>
        </w:rPr>
        <w:t xml:space="preserve"> </w:t>
      </w:r>
      <w:r w:rsidR="00FE7CA5" w:rsidRPr="00FE7CA5">
        <w:rPr>
          <w:sz w:val="18"/>
          <w:szCs w:val="18"/>
        </w:rPr>
        <w:t>Zgodnie jednak z art. 10 ust. 1 rozporządzenia PE i Rady (UE) 2023/955 z dnia 10 maja 2023 r. w sprawie ustanowienia Społecznego Funduszu Klimatycznego oraz zmieniającego rozporządzenie (UE) 2021/1060, maksymalna kwota przeznaczona na Fundusz ulegnie zmniejszeniu, jeżeli system ETS2 zostanie przesunięty na 2028</w:t>
      </w:r>
      <w:r w:rsidR="005C76F9">
        <w:rPr>
          <w:sz w:val="18"/>
          <w:szCs w:val="18"/>
        </w:rPr>
        <w:t> </w:t>
      </w:r>
      <w:r w:rsidR="00FE7CA5" w:rsidRPr="00FE7CA5">
        <w:rPr>
          <w:sz w:val="18"/>
          <w:szCs w:val="18"/>
        </w:rPr>
        <w:t xml:space="preserve">r. w sytuacji wyjątkowo wysokich cen energii. Do 15 lipca 2026 r. zgodnie z dyrektywą 2003/87/WE z </w:t>
      </w:r>
      <w:r w:rsidR="00FE7CA5" w:rsidRPr="00FE7CA5">
        <w:rPr>
          <w:sz w:val="18"/>
          <w:szCs w:val="18"/>
        </w:rPr>
        <w:t>późn. zm. Komisja Europejska opublikuje zawiadomienie w tej sprawie (art. 30k ust. 1). Natomiast ew. odroczenie wejścia w życia obowiązywania ETS2, oznaczałoby także obniżenie maksymalnej alokacji dla państw członkowskich, w tym Polski. Zgodnie z Załącznikiem II do ww. rozporządzenia, w takim przypadku alokacja finansowa dla Polski wyniosłaby 9,6</w:t>
      </w:r>
      <w:r w:rsidR="005C76F9">
        <w:rPr>
          <w:sz w:val="18"/>
          <w:szCs w:val="18"/>
        </w:rPr>
        <w:t> </w:t>
      </w:r>
      <w:r w:rsidR="00FE7CA5" w:rsidRPr="00FE7CA5">
        <w:rPr>
          <w:sz w:val="18"/>
          <w:szCs w:val="18"/>
        </w:rPr>
        <w:t>mld EUR zamiast pierwotnie planowanych 11,4 mld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3C83B" w14:textId="68BAF31E" w:rsidR="0080256E" w:rsidRPr="00EC292C" w:rsidRDefault="0032069F" w:rsidP="0080256E">
    <w:pPr>
      <w:pStyle w:val="Nagwek"/>
      <w:jc w:val="right"/>
      <w:rPr>
        <w:i/>
        <w:iCs/>
      </w:rPr>
    </w:pPr>
    <w:r w:rsidRPr="00EC292C">
      <w:rPr>
        <w:i/>
        <w:iCs/>
      </w:rPr>
      <w:t>Z</w:t>
    </w:r>
    <w:r w:rsidR="0080256E" w:rsidRPr="00EC292C">
      <w:rPr>
        <w:i/>
        <w:iCs/>
      </w:rPr>
      <w:t>ałącznik 5</w:t>
    </w:r>
    <w:r w:rsidR="00B511D5" w:rsidRPr="00EC292C">
      <w:rPr>
        <w:i/>
        <w:iCs/>
      </w:rPr>
      <w:t>.</w:t>
    </w:r>
    <w:r w:rsidR="0080256E" w:rsidRPr="00EC292C">
      <w:rPr>
        <w:i/>
        <w:iCs/>
      </w:rPr>
      <w:t xml:space="preserve"> </w:t>
    </w:r>
    <w:r w:rsidR="00630563" w:rsidRPr="00EC292C">
      <w:rPr>
        <w:i/>
        <w:iCs/>
      </w:rPr>
      <w:t>do</w:t>
    </w:r>
    <w:r w:rsidR="0061002C" w:rsidRPr="00EC292C">
      <w:rPr>
        <w:i/>
        <w:iCs/>
      </w:rPr>
      <w:t xml:space="preserve"> </w:t>
    </w:r>
    <w:r w:rsidR="0080256E" w:rsidRPr="00EC292C">
      <w:rPr>
        <w:i/>
        <w:iCs/>
      </w:rPr>
      <w:t>aKPE</w:t>
    </w:r>
    <w:r w:rsidR="00EC292C">
      <w:rPr>
        <w:i/>
        <w:iCs/>
      </w:rPr>
      <w:t>i</w:t>
    </w:r>
    <w:r w:rsidR="0080256E" w:rsidRPr="00EC292C">
      <w:rPr>
        <w:i/>
        <w:iCs/>
      </w:rPr>
      <w:t>K</w:t>
    </w:r>
  </w:p>
  <w:p w14:paraId="7EB26B8A" w14:textId="77777777" w:rsidR="00B511D5" w:rsidRDefault="00B511D5" w:rsidP="0080256E">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6D2A"/>
    <w:multiLevelType w:val="hybridMultilevel"/>
    <w:tmpl w:val="42F8A2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D54968"/>
    <w:multiLevelType w:val="hybridMultilevel"/>
    <w:tmpl w:val="2D347A4C"/>
    <w:lvl w:ilvl="0" w:tplc="FFFFFFFF">
      <w:start w:val="1"/>
      <w:numFmt w:val="bullet"/>
      <w:lvlText w:val=""/>
      <w:lvlJc w:val="left"/>
      <w:pPr>
        <w:ind w:left="720" w:hanging="360"/>
      </w:pPr>
      <w:rPr>
        <w:rFonts w:ascii="Symbol" w:hAnsi="Symbol" w:hint="default"/>
      </w:rPr>
    </w:lvl>
    <w:lvl w:ilvl="1" w:tplc="0415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2887A5E"/>
    <w:multiLevelType w:val="hybridMultilevel"/>
    <w:tmpl w:val="57A83E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0D925B5"/>
    <w:multiLevelType w:val="multilevel"/>
    <w:tmpl w:val="9992E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955B5A"/>
    <w:multiLevelType w:val="hybridMultilevel"/>
    <w:tmpl w:val="9E280F64"/>
    <w:lvl w:ilvl="0" w:tplc="7E28544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B560B89"/>
    <w:multiLevelType w:val="hybridMultilevel"/>
    <w:tmpl w:val="1FDA599E"/>
    <w:lvl w:ilvl="0" w:tplc="58E24CBE">
      <w:start w:val="1"/>
      <w:numFmt w:val="decimal"/>
      <w:lvlText w:val="%1."/>
      <w:lvlJc w:val="left"/>
      <w:pPr>
        <w:ind w:left="720" w:hanging="360"/>
      </w:pPr>
      <w:rPr>
        <w:i w:val="0"/>
        <w:iCs w:val="0"/>
      </w:rPr>
    </w:lvl>
    <w:lvl w:ilvl="1" w:tplc="EA9281EC">
      <w:start w:val="1"/>
      <w:numFmt w:val="decimal"/>
      <w:lvlText w:val="%2.  "/>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5650177"/>
    <w:multiLevelType w:val="hybridMultilevel"/>
    <w:tmpl w:val="BE38F7A0"/>
    <w:lvl w:ilvl="0" w:tplc="6E5631FC">
      <w:start w:val="1"/>
      <w:numFmt w:val="bullet"/>
      <w:lvlText w:val=""/>
      <w:lvlJc w:val="left"/>
      <w:pPr>
        <w:ind w:left="720" w:hanging="360"/>
      </w:pPr>
      <w:rPr>
        <w:rFonts w:ascii="Symbol" w:hAnsi="Symbol"/>
      </w:rPr>
    </w:lvl>
    <w:lvl w:ilvl="1" w:tplc="DE1A0FF2">
      <w:start w:val="1"/>
      <w:numFmt w:val="bullet"/>
      <w:lvlText w:val=""/>
      <w:lvlJc w:val="left"/>
      <w:pPr>
        <w:ind w:left="720" w:hanging="360"/>
      </w:pPr>
      <w:rPr>
        <w:rFonts w:ascii="Symbol" w:hAnsi="Symbol"/>
      </w:rPr>
    </w:lvl>
    <w:lvl w:ilvl="2" w:tplc="3C82DA4A">
      <w:start w:val="1"/>
      <w:numFmt w:val="bullet"/>
      <w:lvlText w:val=""/>
      <w:lvlJc w:val="left"/>
      <w:pPr>
        <w:ind w:left="720" w:hanging="360"/>
      </w:pPr>
      <w:rPr>
        <w:rFonts w:ascii="Symbol" w:hAnsi="Symbol"/>
      </w:rPr>
    </w:lvl>
    <w:lvl w:ilvl="3" w:tplc="06B6E8D6">
      <w:start w:val="1"/>
      <w:numFmt w:val="bullet"/>
      <w:lvlText w:val=""/>
      <w:lvlJc w:val="left"/>
      <w:pPr>
        <w:ind w:left="720" w:hanging="360"/>
      </w:pPr>
      <w:rPr>
        <w:rFonts w:ascii="Symbol" w:hAnsi="Symbol"/>
      </w:rPr>
    </w:lvl>
    <w:lvl w:ilvl="4" w:tplc="01FC8BCA">
      <w:start w:val="1"/>
      <w:numFmt w:val="bullet"/>
      <w:lvlText w:val=""/>
      <w:lvlJc w:val="left"/>
      <w:pPr>
        <w:ind w:left="720" w:hanging="360"/>
      </w:pPr>
      <w:rPr>
        <w:rFonts w:ascii="Symbol" w:hAnsi="Symbol"/>
      </w:rPr>
    </w:lvl>
    <w:lvl w:ilvl="5" w:tplc="342039CE">
      <w:start w:val="1"/>
      <w:numFmt w:val="bullet"/>
      <w:lvlText w:val=""/>
      <w:lvlJc w:val="left"/>
      <w:pPr>
        <w:ind w:left="720" w:hanging="360"/>
      </w:pPr>
      <w:rPr>
        <w:rFonts w:ascii="Symbol" w:hAnsi="Symbol"/>
      </w:rPr>
    </w:lvl>
    <w:lvl w:ilvl="6" w:tplc="167CE452">
      <w:start w:val="1"/>
      <w:numFmt w:val="bullet"/>
      <w:lvlText w:val=""/>
      <w:lvlJc w:val="left"/>
      <w:pPr>
        <w:ind w:left="720" w:hanging="360"/>
      </w:pPr>
      <w:rPr>
        <w:rFonts w:ascii="Symbol" w:hAnsi="Symbol"/>
      </w:rPr>
    </w:lvl>
    <w:lvl w:ilvl="7" w:tplc="C3147D82">
      <w:start w:val="1"/>
      <w:numFmt w:val="bullet"/>
      <w:lvlText w:val=""/>
      <w:lvlJc w:val="left"/>
      <w:pPr>
        <w:ind w:left="720" w:hanging="360"/>
      </w:pPr>
      <w:rPr>
        <w:rFonts w:ascii="Symbol" w:hAnsi="Symbol"/>
      </w:rPr>
    </w:lvl>
    <w:lvl w:ilvl="8" w:tplc="7696C23E">
      <w:start w:val="1"/>
      <w:numFmt w:val="bullet"/>
      <w:lvlText w:val=""/>
      <w:lvlJc w:val="left"/>
      <w:pPr>
        <w:ind w:left="720" w:hanging="360"/>
      </w:pPr>
      <w:rPr>
        <w:rFonts w:ascii="Symbol" w:hAnsi="Symbol"/>
      </w:rPr>
    </w:lvl>
  </w:abstractNum>
  <w:abstractNum w:abstractNumId="7" w15:restartNumberingAfterBreak="0">
    <w:nsid w:val="47AE30D5"/>
    <w:multiLevelType w:val="hybridMultilevel"/>
    <w:tmpl w:val="27ECD3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9932857"/>
    <w:multiLevelType w:val="multilevel"/>
    <w:tmpl w:val="57E8C666"/>
    <w:lvl w:ilvl="0">
      <w:start w:val="1"/>
      <w:numFmt w:val="decimal"/>
      <w:pStyle w:val="Nagwek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9" w15:restartNumberingAfterBreak="0">
    <w:nsid w:val="708854F5"/>
    <w:multiLevelType w:val="hybridMultilevel"/>
    <w:tmpl w:val="183E5A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36217166">
    <w:abstractNumId w:val="8"/>
  </w:num>
  <w:num w:numId="2" w16cid:durableId="419984077">
    <w:abstractNumId w:val="0"/>
  </w:num>
  <w:num w:numId="3" w16cid:durableId="179515784">
    <w:abstractNumId w:val="9"/>
  </w:num>
  <w:num w:numId="4" w16cid:durableId="1485126550">
    <w:abstractNumId w:val="5"/>
  </w:num>
  <w:num w:numId="5" w16cid:durableId="468011982">
    <w:abstractNumId w:val="6"/>
  </w:num>
  <w:num w:numId="6" w16cid:durableId="1621451788">
    <w:abstractNumId w:val="2"/>
  </w:num>
  <w:num w:numId="7" w16cid:durableId="2093970504">
    <w:abstractNumId w:val="7"/>
  </w:num>
  <w:num w:numId="8" w16cid:durableId="1668092306">
    <w:abstractNumId w:val="4"/>
  </w:num>
  <w:num w:numId="9" w16cid:durableId="1766682451">
    <w:abstractNumId w:val="1"/>
  </w:num>
  <w:num w:numId="10" w16cid:durableId="656424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8E7"/>
    <w:rsid w:val="00004101"/>
    <w:rsid w:val="0000674F"/>
    <w:rsid w:val="0001094B"/>
    <w:rsid w:val="00012B4F"/>
    <w:rsid w:val="000131E2"/>
    <w:rsid w:val="00017295"/>
    <w:rsid w:val="000172C4"/>
    <w:rsid w:val="00020354"/>
    <w:rsid w:val="00022772"/>
    <w:rsid w:val="000275A8"/>
    <w:rsid w:val="0003358D"/>
    <w:rsid w:val="00035912"/>
    <w:rsid w:val="00036A11"/>
    <w:rsid w:val="00036BC6"/>
    <w:rsid w:val="00041437"/>
    <w:rsid w:val="00044476"/>
    <w:rsid w:val="000445A9"/>
    <w:rsid w:val="000461BC"/>
    <w:rsid w:val="00046DC6"/>
    <w:rsid w:val="0004767D"/>
    <w:rsid w:val="00050893"/>
    <w:rsid w:val="00050A2E"/>
    <w:rsid w:val="00053C0D"/>
    <w:rsid w:val="0005717C"/>
    <w:rsid w:val="00061601"/>
    <w:rsid w:val="00064447"/>
    <w:rsid w:val="000656FA"/>
    <w:rsid w:val="00067541"/>
    <w:rsid w:val="000746D2"/>
    <w:rsid w:val="00076EBE"/>
    <w:rsid w:val="00077655"/>
    <w:rsid w:val="00080917"/>
    <w:rsid w:val="00081664"/>
    <w:rsid w:val="00081E72"/>
    <w:rsid w:val="00082D11"/>
    <w:rsid w:val="00083D40"/>
    <w:rsid w:val="00084443"/>
    <w:rsid w:val="00092BEA"/>
    <w:rsid w:val="0009361B"/>
    <w:rsid w:val="00094B92"/>
    <w:rsid w:val="000A135F"/>
    <w:rsid w:val="000A26A1"/>
    <w:rsid w:val="000A28D6"/>
    <w:rsid w:val="000A3B86"/>
    <w:rsid w:val="000A3BE9"/>
    <w:rsid w:val="000A642B"/>
    <w:rsid w:val="000A7F11"/>
    <w:rsid w:val="000B14DA"/>
    <w:rsid w:val="000B231A"/>
    <w:rsid w:val="000B2F6D"/>
    <w:rsid w:val="000B3821"/>
    <w:rsid w:val="000C3FCC"/>
    <w:rsid w:val="000C4B45"/>
    <w:rsid w:val="000D489C"/>
    <w:rsid w:val="000D7E9A"/>
    <w:rsid w:val="000E129F"/>
    <w:rsid w:val="000E2022"/>
    <w:rsid w:val="000E2107"/>
    <w:rsid w:val="000E7A76"/>
    <w:rsid w:val="000F04B5"/>
    <w:rsid w:val="000F4635"/>
    <w:rsid w:val="000F4F84"/>
    <w:rsid w:val="000F5769"/>
    <w:rsid w:val="000F6750"/>
    <w:rsid w:val="000F764D"/>
    <w:rsid w:val="000F7DBE"/>
    <w:rsid w:val="00102FAF"/>
    <w:rsid w:val="001040A0"/>
    <w:rsid w:val="001141FA"/>
    <w:rsid w:val="00114DA0"/>
    <w:rsid w:val="00114DE0"/>
    <w:rsid w:val="001218A4"/>
    <w:rsid w:val="0012203B"/>
    <w:rsid w:val="00123114"/>
    <w:rsid w:val="00124BB1"/>
    <w:rsid w:val="00124C8F"/>
    <w:rsid w:val="00126654"/>
    <w:rsid w:val="0013190F"/>
    <w:rsid w:val="00132FF3"/>
    <w:rsid w:val="001346E9"/>
    <w:rsid w:val="00134DB4"/>
    <w:rsid w:val="00135B00"/>
    <w:rsid w:val="00140560"/>
    <w:rsid w:val="00140C26"/>
    <w:rsid w:val="00140F48"/>
    <w:rsid w:val="00145223"/>
    <w:rsid w:val="00152992"/>
    <w:rsid w:val="001700FB"/>
    <w:rsid w:val="001706B4"/>
    <w:rsid w:val="001761C3"/>
    <w:rsid w:val="001767E4"/>
    <w:rsid w:val="001771E6"/>
    <w:rsid w:val="00182C01"/>
    <w:rsid w:val="00186C58"/>
    <w:rsid w:val="0018762A"/>
    <w:rsid w:val="00187F49"/>
    <w:rsid w:val="00190F19"/>
    <w:rsid w:val="0019259F"/>
    <w:rsid w:val="00196082"/>
    <w:rsid w:val="00196D27"/>
    <w:rsid w:val="00196DA1"/>
    <w:rsid w:val="001A0EA8"/>
    <w:rsid w:val="001A2EC5"/>
    <w:rsid w:val="001A4DE8"/>
    <w:rsid w:val="001A5CAB"/>
    <w:rsid w:val="001A7642"/>
    <w:rsid w:val="001A7A21"/>
    <w:rsid w:val="001B002E"/>
    <w:rsid w:val="001B17BD"/>
    <w:rsid w:val="001B1DBE"/>
    <w:rsid w:val="001B4300"/>
    <w:rsid w:val="001B6B00"/>
    <w:rsid w:val="001C3A52"/>
    <w:rsid w:val="001C4F12"/>
    <w:rsid w:val="001C55A3"/>
    <w:rsid w:val="001C6149"/>
    <w:rsid w:val="001D0FD0"/>
    <w:rsid w:val="001D1A3A"/>
    <w:rsid w:val="001D55CA"/>
    <w:rsid w:val="001E19FE"/>
    <w:rsid w:val="001E33C3"/>
    <w:rsid w:val="001E44E9"/>
    <w:rsid w:val="001E5B2E"/>
    <w:rsid w:val="001E5FC0"/>
    <w:rsid w:val="001E66AC"/>
    <w:rsid w:val="001E7C20"/>
    <w:rsid w:val="001F5B68"/>
    <w:rsid w:val="001F6B4C"/>
    <w:rsid w:val="001F6FD8"/>
    <w:rsid w:val="0020020F"/>
    <w:rsid w:val="0020381D"/>
    <w:rsid w:val="00205F3B"/>
    <w:rsid w:val="00206A08"/>
    <w:rsid w:val="00206C34"/>
    <w:rsid w:val="0021147F"/>
    <w:rsid w:val="0021295A"/>
    <w:rsid w:val="00221091"/>
    <w:rsid w:val="00221528"/>
    <w:rsid w:val="002226EA"/>
    <w:rsid w:val="00222740"/>
    <w:rsid w:val="0022499D"/>
    <w:rsid w:val="00225D2F"/>
    <w:rsid w:val="002271A4"/>
    <w:rsid w:val="00231310"/>
    <w:rsid w:val="002331F9"/>
    <w:rsid w:val="002333DD"/>
    <w:rsid w:val="00236A18"/>
    <w:rsid w:val="00237CF4"/>
    <w:rsid w:val="00242732"/>
    <w:rsid w:val="00242FBE"/>
    <w:rsid w:val="00244879"/>
    <w:rsid w:val="002449DA"/>
    <w:rsid w:val="002451C3"/>
    <w:rsid w:val="00245783"/>
    <w:rsid w:val="00251DB9"/>
    <w:rsid w:val="002538C9"/>
    <w:rsid w:val="00254C78"/>
    <w:rsid w:val="00260A48"/>
    <w:rsid w:val="00273E59"/>
    <w:rsid w:val="00275FEB"/>
    <w:rsid w:val="002769A8"/>
    <w:rsid w:val="00277159"/>
    <w:rsid w:val="00280455"/>
    <w:rsid w:val="00280B43"/>
    <w:rsid w:val="0028605D"/>
    <w:rsid w:val="0028619A"/>
    <w:rsid w:val="002870DD"/>
    <w:rsid w:val="00287EBB"/>
    <w:rsid w:val="0029049F"/>
    <w:rsid w:val="002907BC"/>
    <w:rsid w:val="00291E63"/>
    <w:rsid w:val="00292322"/>
    <w:rsid w:val="00293306"/>
    <w:rsid w:val="002957E8"/>
    <w:rsid w:val="00295931"/>
    <w:rsid w:val="002A0E26"/>
    <w:rsid w:val="002A0EA1"/>
    <w:rsid w:val="002A2108"/>
    <w:rsid w:val="002A2374"/>
    <w:rsid w:val="002A7A4C"/>
    <w:rsid w:val="002B271B"/>
    <w:rsid w:val="002B29E1"/>
    <w:rsid w:val="002B33DD"/>
    <w:rsid w:val="002B5E17"/>
    <w:rsid w:val="002C08FF"/>
    <w:rsid w:val="002C0EA8"/>
    <w:rsid w:val="002C15FC"/>
    <w:rsid w:val="002C45B6"/>
    <w:rsid w:val="002D1C8F"/>
    <w:rsid w:val="002E2D85"/>
    <w:rsid w:val="002E6BDF"/>
    <w:rsid w:val="002E7852"/>
    <w:rsid w:val="002F222F"/>
    <w:rsid w:val="002F5C70"/>
    <w:rsid w:val="002F64A5"/>
    <w:rsid w:val="002F79DF"/>
    <w:rsid w:val="00300186"/>
    <w:rsid w:val="003008FF"/>
    <w:rsid w:val="00302854"/>
    <w:rsid w:val="00302F92"/>
    <w:rsid w:val="00303AEA"/>
    <w:rsid w:val="0030472C"/>
    <w:rsid w:val="003065A4"/>
    <w:rsid w:val="0030753D"/>
    <w:rsid w:val="00314A5A"/>
    <w:rsid w:val="00315F1D"/>
    <w:rsid w:val="003166A3"/>
    <w:rsid w:val="00316866"/>
    <w:rsid w:val="003168BE"/>
    <w:rsid w:val="0032069F"/>
    <w:rsid w:val="0032153C"/>
    <w:rsid w:val="003215B6"/>
    <w:rsid w:val="003220D1"/>
    <w:rsid w:val="0032296C"/>
    <w:rsid w:val="003301E0"/>
    <w:rsid w:val="003416D6"/>
    <w:rsid w:val="003424EA"/>
    <w:rsid w:val="0034403F"/>
    <w:rsid w:val="0034690C"/>
    <w:rsid w:val="00347183"/>
    <w:rsid w:val="00357907"/>
    <w:rsid w:val="00361564"/>
    <w:rsid w:val="00363C25"/>
    <w:rsid w:val="003642F2"/>
    <w:rsid w:val="00364991"/>
    <w:rsid w:val="00366126"/>
    <w:rsid w:val="00372ABB"/>
    <w:rsid w:val="003735DC"/>
    <w:rsid w:val="003767B5"/>
    <w:rsid w:val="0038053A"/>
    <w:rsid w:val="0038134B"/>
    <w:rsid w:val="00381FF2"/>
    <w:rsid w:val="00382618"/>
    <w:rsid w:val="00383392"/>
    <w:rsid w:val="0038370C"/>
    <w:rsid w:val="003858E5"/>
    <w:rsid w:val="00385AE5"/>
    <w:rsid w:val="00385F1C"/>
    <w:rsid w:val="003864F9"/>
    <w:rsid w:val="00387B9B"/>
    <w:rsid w:val="00392946"/>
    <w:rsid w:val="00394F79"/>
    <w:rsid w:val="00395AE7"/>
    <w:rsid w:val="00397310"/>
    <w:rsid w:val="00397C7E"/>
    <w:rsid w:val="003A0458"/>
    <w:rsid w:val="003A19DC"/>
    <w:rsid w:val="003A4B9B"/>
    <w:rsid w:val="003A58AE"/>
    <w:rsid w:val="003A6270"/>
    <w:rsid w:val="003B0853"/>
    <w:rsid w:val="003B17C2"/>
    <w:rsid w:val="003B2FBF"/>
    <w:rsid w:val="003B34A2"/>
    <w:rsid w:val="003B55AA"/>
    <w:rsid w:val="003C1672"/>
    <w:rsid w:val="003C3D72"/>
    <w:rsid w:val="003C42B0"/>
    <w:rsid w:val="003C4371"/>
    <w:rsid w:val="003C485C"/>
    <w:rsid w:val="003D38A3"/>
    <w:rsid w:val="003D63B4"/>
    <w:rsid w:val="003E1718"/>
    <w:rsid w:val="003E2E40"/>
    <w:rsid w:val="003E3F8A"/>
    <w:rsid w:val="003E40CA"/>
    <w:rsid w:val="003E4A5F"/>
    <w:rsid w:val="003F3312"/>
    <w:rsid w:val="003F7109"/>
    <w:rsid w:val="00404AD1"/>
    <w:rsid w:val="004115E3"/>
    <w:rsid w:val="00415658"/>
    <w:rsid w:val="004214E9"/>
    <w:rsid w:val="00425447"/>
    <w:rsid w:val="00425A11"/>
    <w:rsid w:val="004325A8"/>
    <w:rsid w:val="00432BDF"/>
    <w:rsid w:val="00432E2B"/>
    <w:rsid w:val="004405EC"/>
    <w:rsid w:val="00441085"/>
    <w:rsid w:val="00443954"/>
    <w:rsid w:val="00445384"/>
    <w:rsid w:val="004462E6"/>
    <w:rsid w:val="0044674C"/>
    <w:rsid w:val="004511E7"/>
    <w:rsid w:val="00452733"/>
    <w:rsid w:val="004575A9"/>
    <w:rsid w:val="004629D6"/>
    <w:rsid w:val="00462FA8"/>
    <w:rsid w:val="00463F9E"/>
    <w:rsid w:val="0046477E"/>
    <w:rsid w:val="00464A34"/>
    <w:rsid w:val="00465185"/>
    <w:rsid w:val="00467F53"/>
    <w:rsid w:val="00470FCA"/>
    <w:rsid w:val="0047294E"/>
    <w:rsid w:val="0047401D"/>
    <w:rsid w:val="004751D6"/>
    <w:rsid w:val="00475A43"/>
    <w:rsid w:val="00475EE3"/>
    <w:rsid w:val="00475F18"/>
    <w:rsid w:val="00477C51"/>
    <w:rsid w:val="0048007F"/>
    <w:rsid w:val="00481AB7"/>
    <w:rsid w:val="00481BD0"/>
    <w:rsid w:val="00483AAC"/>
    <w:rsid w:val="0048462D"/>
    <w:rsid w:val="00485B64"/>
    <w:rsid w:val="004876BE"/>
    <w:rsid w:val="00487AB7"/>
    <w:rsid w:val="00491007"/>
    <w:rsid w:val="00491217"/>
    <w:rsid w:val="0049158E"/>
    <w:rsid w:val="0049197C"/>
    <w:rsid w:val="00492133"/>
    <w:rsid w:val="00493F01"/>
    <w:rsid w:val="00494973"/>
    <w:rsid w:val="0049503F"/>
    <w:rsid w:val="0049653D"/>
    <w:rsid w:val="0049733B"/>
    <w:rsid w:val="004A1B08"/>
    <w:rsid w:val="004A733A"/>
    <w:rsid w:val="004B4E67"/>
    <w:rsid w:val="004B78FD"/>
    <w:rsid w:val="004C2DF8"/>
    <w:rsid w:val="004C33BC"/>
    <w:rsid w:val="004C57E3"/>
    <w:rsid w:val="004C5B07"/>
    <w:rsid w:val="004D0462"/>
    <w:rsid w:val="004D0F5B"/>
    <w:rsid w:val="004D13D6"/>
    <w:rsid w:val="004D3401"/>
    <w:rsid w:val="004D6938"/>
    <w:rsid w:val="004D7F7E"/>
    <w:rsid w:val="004E0337"/>
    <w:rsid w:val="004E16ED"/>
    <w:rsid w:val="004E1A63"/>
    <w:rsid w:val="004E21B4"/>
    <w:rsid w:val="004E474A"/>
    <w:rsid w:val="004E603F"/>
    <w:rsid w:val="004E6932"/>
    <w:rsid w:val="004F0733"/>
    <w:rsid w:val="004F2C7F"/>
    <w:rsid w:val="004F43B1"/>
    <w:rsid w:val="004F57F9"/>
    <w:rsid w:val="004F6917"/>
    <w:rsid w:val="00500FD1"/>
    <w:rsid w:val="00503A42"/>
    <w:rsid w:val="00507A1F"/>
    <w:rsid w:val="00507B83"/>
    <w:rsid w:val="00521A9D"/>
    <w:rsid w:val="00523194"/>
    <w:rsid w:val="0052461A"/>
    <w:rsid w:val="00524918"/>
    <w:rsid w:val="00527FC3"/>
    <w:rsid w:val="00534CDD"/>
    <w:rsid w:val="00535672"/>
    <w:rsid w:val="00535DC2"/>
    <w:rsid w:val="0054128B"/>
    <w:rsid w:val="00546192"/>
    <w:rsid w:val="00546E40"/>
    <w:rsid w:val="0054707A"/>
    <w:rsid w:val="0054790C"/>
    <w:rsid w:val="00547FB4"/>
    <w:rsid w:val="00551732"/>
    <w:rsid w:val="0055348B"/>
    <w:rsid w:val="00553A5D"/>
    <w:rsid w:val="0055519E"/>
    <w:rsid w:val="0055524E"/>
    <w:rsid w:val="005555CA"/>
    <w:rsid w:val="00555A4B"/>
    <w:rsid w:val="00556A1F"/>
    <w:rsid w:val="00561090"/>
    <w:rsid w:val="00563661"/>
    <w:rsid w:val="005667BF"/>
    <w:rsid w:val="00566C5D"/>
    <w:rsid w:val="00572A85"/>
    <w:rsid w:val="00574177"/>
    <w:rsid w:val="00576A23"/>
    <w:rsid w:val="005778FE"/>
    <w:rsid w:val="005807CA"/>
    <w:rsid w:val="005826E0"/>
    <w:rsid w:val="00590202"/>
    <w:rsid w:val="0059079E"/>
    <w:rsid w:val="00591661"/>
    <w:rsid w:val="00592586"/>
    <w:rsid w:val="00594468"/>
    <w:rsid w:val="005971B3"/>
    <w:rsid w:val="005A4CA8"/>
    <w:rsid w:val="005A54E0"/>
    <w:rsid w:val="005B30B0"/>
    <w:rsid w:val="005B5A1F"/>
    <w:rsid w:val="005B63C2"/>
    <w:rsid w:val="005C16B8"/>
    <w:rsid w:val="005C32A7"/>
    <w:rsid w:val="005C5D38"/>
    <w:rsid w:val="005C6180"/>
    <w:rsid w:val="005C76F9"/>
    <w:rsid w:val="005C7A79"/>
    <w:rsid w:val="005D0C3B"/>
    <w:rsid w:val="005D40B8"/>
    <w:rsid w:val="005D4111"/>
    <w:rsid w:val="005D45FF"/>
    <w:rsid w:val="005D5E93"/>
    <w:rsid w:val="005D7930"/>
    <w:rsid w:val="005D7F74"/>
    <w:rsid w:val="005E279A"/>
    <w:rsid w:val="005E30E8"/>
    <w:rsid w:val="005E4901"/>
    <w:rsid w:val="005E4A4D"/>
    <w:rsid w:val="005E50DB"/>
    <w:rsid w:val="005E601F"/>
    <w:rsid w:val="005E7E55"/>
    <w:rsid w:val="005F33CE"/>
    <w:rsid w:val="005F4344"/>
    <w:rsid w:val="005F72CD"/>
    <w:rsid w:val="006001D8"/>
    <w:rsid w:val="0060745E"/>
    <w:rsid w:val="00607A4E"/>
    <w:rsid w:val="0061002C"/>
    <w:rsid w:val="00611764"/>
    <w:rsid w:val="0061241D"/>
    <w:rsid w:val="00615653"/>
    <w:rsid w:val="00616254"/>
    <w:rsid w:val="00616CF9"/>
    <w:rsid w:val="00620DD2"/>
    <w:rsid w:val="00621AD4"/>
    <w:rsid w:val="00623558"/>
    <w:rsid w:val="00623F21"/>
    <w:rsid w:val="00626036"/>
    <w:rsid w:val="006273C1"/>
    <w:rsid w:val="00627731"/>
    <w:rsid w:val="00630563"/>
    <w:rsid w:val="00631380"/>
    <w:rsid w:val="006314AC"/>
    <w:rsid w:val="006325BB"/>
    <w:rsid w:val="00632643"/>
    <w:rsid w:val="00632DA6"/>
    <w:rsid w:val="006340D1"/>
    <w:rsid w:val="006341D2"/>
    <w:rsid w:val="00634555"/>
    <w:rsid w:val="00634879"/>
    <w:rsid w:val="00634D1D"/>
    <w:rsid w:val="00636077"/>
    <w:rsid w:val="00641FAE"/>
    <w:rsid w:val="006427D9"/>
    <w:rsid w:val="006445AF"/>
    <w:rsid w:val="00645523"/>
    <w:rsid w:val="00646AB0"/>
    <w:rsid w:val="00652240"/>
    <w:rsid w:val="00652B1C"/>
    <w:rsid w:val="00654F11"/>
    <w:rsid w:val="00667D48"/>
    <w:rsid w:val="00673F64"/>
    <w:rsid w:val="00676324"/>
    <w:rsid w:val="006833BA"/>
    <w:rsid w:val="006844D3"/>
    <w:rsid w:val="00684654"/>
    <w:rsid w:val="00685731"/>
    <w:rsid w:val="00686547"/>
    <w:rsid w:val="00687819"/>
    <w:rsid w:val="00691D35"/>
    <w:rsid w:val="00691FB2"/>
    <w:rsid w:val="00695D8B"/>
    <w:rsid w:val="00697BB1"/>
    <w:rsid w:val="00697C15"/>
    <w:rsid w:val="006A175E"/>
    <w:rsid w:val="006A1818"/>
    <w:rsid w:val="006A1820"/>
    <w:rsid w:val="006B0CDB"/>
    <w:rsid w:val="006B2A0C"/>
    <w:rsid w:val="006B5ADA"/>
    <w:rsid w:val="006B6C56"/>
    <w:rsid w:val="006B79A2"/>
    <w:rsid w:val="006B7EE3"/>
    <w:rsid w:val="006C25CF"/>
    <w:rsid w:val="006C4ED4"/>
    <w:rsid w:val="006C6797"/>
    <w:rsid w:val="006C7662"/>
    <w:rsid w:val="006D56C7"/>
    <w:rsid w:val="006D7E55"/>
    <w:rsid w:val="006E1905"/>
    <w:rsid w:val="006E205B"/>
    <w:rsid w:val="006E263B"/>
    <w:rsid w:val="006E6C22"/>
    <w:rsid w:val="006E7C87"/>
    <w:rsid w:val="006F00EE"/>
    <w:rsid w:val="006F023D"/>
    <w:rsid w:val="006F143A"/>
    <w:rsid w:val="006F2234"/>
    <w:rsid w:val="006F33AC"/>
    <w:rsid w:val="006F5EBA"/>
    <w:rsid w:val="00700063"/>
    <w:rsid w:val="00700A44"/>
    <w:rsid w:val="0070278A"/>
    <w:rsid w:val="00705BB1"/>
    <w:rsid w:val="00706AA0"/>
    <w:rsid w:val="00706DF9"/>
    <w:rsid w:val="0070783B"/>
    <w:rsid w:val="00711A8F"/>
    <w:rsid w:val="0071425E"/>
    <w:rsid w:val="00714865"/>
    <w:rsid w:val="00715604"/>
    <w:rsid w:val="00716134"/>
    <w:rsid w:val="007174EA"/>
    <w:rsid w:val="00720482"/>
    <w:rsid w:val="00722B02"/>
    <w:rsid w:val="007230EC"/>
    <w:rsid w:val="00723523"/>
    <w:rsid w:val="007236AF"/>
    <w:rsid w:val="00724DF3"/>
    <w:rsid w:val="00725134"/>
    <w:rsid w:val="007266DF"/>
    <w:rsid w:val="0073070F"/>
    <w:rsid w:val="007314F3"/>
    <w:rsid w:val="0073325E"/>
    <w:rsid w:val="0073400C"/>
    <w:rsid w:val="00734D3E"/>
    <w:rsid w:val="00736225"/>
    <w:rsid w:val="00741152"/>
    <w:rsid w:val="007416F7"/>
    <w:rsid w:val="00742663"/>
    <w:rsid w:val="00742DEF"/>
    <w:rsid w:val="00747DD1"/>
    <w:rsid w:val="00747F63"/>
    <w:rsid w:val="00751911"/>
    <w:rsid w:val="00751D83"/>
    <w:rsid w:val="0075229E"/>
    <w:rsid w:val="0075278C"/>
    <w:rsid w:val="007541D9"/>
    <w:rsid w:val="0075423F"/>
    <w:rsid w:val="00755CC9"/>
    <w:rsid w:val="00757683"/>
    <w:rsid w:val="0075780F"/>
    <w:rsid w:val="00762FE0"/>
    <w:rsid w:val="00765E21"/>
    <w:rsid w:val="00766E6F"/>
    <w:rsid w:val="0077030C"/>
    <w:rsid w:val="0077062A"/>
    <w:rsid w:val="00771912"/>
    <w:rsid w:val="00771A99"/>
    <w:rsid w:val="007732FC"/>
    <w:rsid w:val="0077720F"/>
    <w:rsid w:val="00777435"/>
    <w:rsid w:val="00781523"/>
    <w:rsid w:val="00784588"/>
    <w:rsid w:val="00784EDA"/>
    <w:rsid w:val="0078541E"/>
    <w:rsid w:val="0078575B"/>
    <w:rsid w:val="00785E5A"/>
    <w:rsid w:val="00786213"/>
    <w:rsid w:val="00787406"/>
    <w:rsid w:val="00790347"/>
    <w:rsid w:val="00795ABB"/>
    <w:rsid w:val="00797C06"/>
    <w:rsid w:val="007A72BC"/>
    <w:rsid w:val="007A7765"/>
    <w:rsid w:val="007A7DA6"/>
    <w:rsid w:val="007B1F45"/>
    <w:rsid w:val="007B3BA5"/>
    <w:rsid w:val="007C044F"/>
    <w:rsid w:val="007C0956"/>
    <w:rsid w:val="007C137F"/>
    <w:rsid w:val="007C3157"/>
    <w:rsid w:val="007C34C4"/>
    <w:rsid w:val="007C3EDB"/>
    <w:rsid w:val="007C5388"/>
    <w:rsid w:val="007C5D27"/>
    <w:rsid w:val="007C5E21"/>
    <w:rsid w:val="007D2C5A"/>
    <w:rsid w:val="007D483F"/>
    <w:rsid w:val="007E19F7"/>
    <w:rsid w:val="007E501A"/>
    <w:rsid w:val="007E5498"/>
    <w:rsid w:val="007E5548"/>
    <w:rsid w:val="007E6FC2"/>
    <w:rsid w:val="007E7241"/>
    <w:rsid w:val="007F054F"/>
    <w:rsid w:val="007F099E"/>
    <w:rsid w:val="007F113E"/>
    <w:rsid w:val="007F1EC8"/>
    <w:rsid w:val="007F455F"/>
    <w:rsid w:val="00801275"/>
    <w:rsid w:val="00802295"/>
    <w:rsid w:val="0080256E"/>
    <w:rsid w:val="00803431"/>
    <w:rsid w:val="008039AF"/>
    <w:rsid w:val="00803B4B"/>
    <w:rsid w:val="008136B5"/>
    <w:rsid w:val="00820FBA"/>
    <w:rsid w:val="008238DA"/>
    <w:rsid w:val="00830624"/>
    <w:rsid w:val="00830B5A"/>
    <w:rsid w:val="00833578"/>
    <w:rsid w:val="008347AD"/>
    <w:rsid w:val="0083554F"/>
    <w:rsid w:val="0084336E"/>
    <w:rsid w:val="008436FC"/>
    <w:rsid w:val="008509E2"/>
    <w:rsid w:val="00850B1C"/>
    <w:rsid w:val="00851C68"/>
    <w:rsid w:val="0085259C"/>
    <w:rsid w:val="00856A13"/>
    <w:rsid w:val="00860773"/>
    <w:rsid w:val="00860C5C"/>
    <w:rsid w:val="0086223E"/>
    <w:rsid w:val="00863AEE"/>
    <w:rsid w:val="00864470"/>
    <w:rsid w:val="008665B9"/>
    <w:rsid w:val="008707C0"/>
    <w:rsid w:val="00870BF9"/>
    <w:rsid w:val="00870D0B"/>
    <w:rsid w:val="00871962"/>
    <w:rsid w:val="00873156"/>
    <w:rsid w:val="00876546"/>
    <w:rsid w:val="00883DBB"/>
    <w:rsid w:val="008945EB"/>
    <w:rsid w:val="00896790"/>
    <w:rsid w:val="008A580C"/>
    <w:rsid w:val="008A6459"/>
    <w:rsid w:val="008A68DC"/>
    <w:rsid w:val="008B057F"/>
    <w:rsid w:val="008B40AD"/>
    <w:rsid w:val="008B4404"/>
    <w:rsid w:val="008B4B49"/>
    <w:rsid w:val="008C3270"/>
    <w:rsid w:val="008C5408"/>
    <w:rsid w:val="008C5EEE"/>
    <w:rsid w:val="008C6AF9"/>
    <w:rsid w:val="008C6DC4"/>
    <w:rsid w:val="008D4F86"/>
    <w:rsid w:val="008E1391"/>
    <w:rsid w:val="008E16C2"/>
    <w:rsid w:val="008E3DFF"/>
    <w:rsid w:val="008E4190"/>
    <w:rsid w:val="008E640D"/>
    <w:rsid w:val="008E67FA"/>
    <w:rsid w:val="008E73C7"/>
    <w:rsid w:val="008F03FB"/>
    <w:rsid w:val="008F5072"/>
    <w:rsid w:val="008F59E4"/>
    <w:rsid w:val="008F6E6E"/>
    <w:rsid w:val="008F753E"/>
    <w:rsid w:val="00904CF3"/>
    <w:rsid w:val="00911772"/>
    <w:rsid w:val="009133AF"/>
    <w:rsid w:val="00913893"/>
    <w:rsid w:val="00914ADB"/>
    <w:rsid w:val="00915842"/>
    <w:rsid w:val="00915A41"/>
    <w:rsid w:val="00917569"/>
    <w:rsid w:val="00920BE5"/>
    <w:rsid w:val="00921D17"/>
    <w:rsid w:val="00926626"/>
    <w:rsid w:val="00926822"/>
    <w:rsid w:val="0093208E"/>
    <w:rsid w:val="00935379"/>
    <w:rsid w:val="0093638C"/>
    <w:rsid w:val="009412D5"/>
    <w:rsid w:val="00941696"/>
    <w:rsid w:val="009436E6"/>
    <w:rsid w:val="0094485E"/>
    <w:rsid w:val="009500F3"/>
    <w:rsid w:val="009511F4"/>
    <w:rsid w:val="00951320"/>
    <w:rsid w:val="00952AB3"/>
    <w:rsid w:val="009530AF"/>
    <w:rsid w:val="00954547"/>
    <w:rsid w:val="00956D2A"/>
    <w:rsid w:val="00956DEF"/>
    <w:rsid w:val="00957C27"/>
    <w:rsid w:val="00961016"/>
    <w:rsid w:val="0096352C"/>
    <w:rsid w:val="0096366E"/>
    <w:rsid w:val="009639FB"/>
    <w:rsid w:val="00963E0C"/>
    <w:rsid w:val="009656BE"/>
    <w:rsid w:val="00967787"/>
    <w:rsid w:val="00970A47"/>
    <w:rsid w:val="009716BD"/>
    <w:rsid w:val="00975168"/>
    <w:rsid w:val="009756A2"/>
    <w:rsid w:val="009759D1"/>
    <w:rsid w:val="00980434"/>
    <w:rsid w:val="00982FD5"/>
    <w:rsid w:val="00983B71"/>
    <w:rsid w:val="00987219"/>
    <w:rsid w:val="00987C82"/>
    <w:rsid w:val="00990D8D"/>
    <w:rsid w:val="00991175"/>
    <w:rsid w:val="00991C51"/>
    <w:rsid w:val="00993E16"/>
    <w:rsid w:val="009A4BB9"/>
    <w:rsid w:val="009A4C2A"/>
    <w:rsid w:val="009A6C2A"/>
    <w:rsid w:val="009A7F3E"/>
    <w:rsid w:val="009B0989"/>
    <w:rsid w:val="009B1482"/>
    <w:rsid w:val="009B27D6"/>
    <w:rsid w:val="009B3360"/>
    <w:rsid w:val="009B7311"/>
    <w:rsid w:val="009C4EEE"/>
    <w:rsid w:val="009D1741"/>
    <w:rsid w:val="009D2E86"/>
    <w:rsid w:val="009D3C50"/>
    <w:rsid w:val="009D5BC7"/>
    <w:rsid w:val="009D6043"/>
    <w:rsid w:val="009D7EE1"/>
    <w:rsid w:val="009E2DFF"/>
    <w:rsid w:val="009E5833"/>
    <w:rsid w:val="009F3C35"/>
    <w:rsid w:val="009F7201"/>
    <w:rsid w:val="00A02137"/>
    <w:rsid w:val="00A05A91"/>
    <w:rsid w:val="00A07194"/>
    <w:rsid w:val="00A07869"/>
    <w:rsid w:val="00A11F33"/>
    <w:rsid w:val="00A1340F"/>
    <w:rsid w:val="00A15514"/>
    <w:rsid w:val="00A1577E"/>
    <w:rsid w:val="00A157F3"/>
    <w:rsid w:val="00A17031"/>
    <w:rsid w:val="00A2571A"/>
    <w:rsid w:val="00A268C7"/>
    <w:rsid w:val="00A2730C"/>
    <w:rsid w:val="00A27676"/>
    <w:rsid w:val="00A30151"/>
    <w:rsid w:val="00A30E0F"/>
    <w:rsid w:val="00A31F69"/>
    <w:rsid w:val="00A3334E"/>
    <w:rsid w:val="00A34151"/>
    <w:rsid w:val="00A3418A"/>
    <w:rsid w:val="00A347F9"/>
    <w:rsid w:val="00A35366"/>
    <w:rsid w:val="00A35B35"/>
    <w:rsid w:val="00A409E1"/>
    <w:rsid w:val="00A40BDC"/>
    <w:rsid w:val="00A410D7"/>
    <w:rsid w:val="00A41BA9"/>
    <w:rsid w:val="00A422A8"/>
    <w:rsid w:val="00A43EF0"/>
    <w:rsid w:val="00A54105"/>
    <w:rsid w:val="00A545E3"/>
    <w:rsid w:val="00A54D43"/>
    <w:rsid w:val="00A6057C"/>
    <w:rsid w:val="00A63E5C"/>
    <w:rsid w:val="00A6670B"/>
    <w:rsid w:val="00A6743E"/>
    <w:rsid w:val="00A67864"/>
    <w:rsid w:val="00A733FF"/>
    <w:rsid w:val="00A75886"/>
    <w:rsid w:val="00A761A4"/>
    <w:rsid w:val="00A839D2"/>
    <w:rsid w:val="00A85385"/>
    <w:rsid w:val="00A87114"/>
    <w:rsid w:val="00A904E6"/>
    <w:rsid w:val="00A91A6A"/>
    <w:rsid w:val="00A922E4"/>
    <w:rsid w:val="00A9263B"/>
    <w:rsid w:val="00A94061"/>
    <w:rsid w:val="00A94423"/>
    <w:rsid w:val="00A95C15"/>
    <w:rsid w:val="00A95DF9"/>
    <w:rsid w:val="00AA19B2"/>
    <w:rsid w:val="00AA4D8F"/>
    <w:rsid w:val="00AA7177"/>
    <w:rsid w:val="00AB0C0A"/>
    <w:rsid w:val="00AB2B9F"/>
    <w:rsid w:val="00AB48AA"/>
    <w:rsid w:val="00AB48CD"/>
    <w:rsid w:val="00AB4CEE"/>
    <w:rsid w:val="00AB537B"/>
    <w:rsid w:val="00AB5BC7"/>
    <w:rsid w:val="00AB6555"/>
    <w:rsid w:val="00AB6C88"/>
    <w:rsid w:val="00AB7603"/>
    <w:rsid w:val="00AC09D5"/>
    <w:rsid w:val="00AC137D"/>
    <w:rsid w:val="00AC37E8"/>
    <w:rsid w:val="00AC3811"/>
    <w:rsid w:val="00AC456D"/>
    <w:rsid w:val="00AC489E"/>
    <w:rsid w:val="00AD15B9"/>
    <w:rsid w:val="00AD1B0E"/>
    <w:rsid w:val="00AD27F6"/>
    <w:rsid w:val="00AD2F3D"/>
    <w:rsid w:val="00AD41D2"/>
    <w:rsid w:val="00AD6174"/>
    <w:rsid w:val="00AD6251"/>
    <w:rsid w:val="00AE151F"/>
    <w:rsid w:val="00AE1F66"/>
    <w:rsid w:val="00AE37FA"/>
    <w:rsid w:val="00AE397F"/>
    <w:rsid w:val="00AE3A30"/>
    <w:rsid w:val="00AE3F01"/>
    <w:rsid w:val="00AE61CA"/>
    <w:rsid w:val="00AE6BDF"/>
    <w:rsid w:val="00AF1CB5"/>
    <w:rsid w:val="00AF2CE5"/>
    <w:rsid w:val="00AF3C78"/>
    <w:rsid w:val="00AF3CAA"/>
    <w:rsid w:val="00AF4033"/>
    <w:rsid w:val="00AF5787"/>
    <w:rsid w:val="00AF57D9"/>
    <w:rsid w:val="00B01ABE"/>
    <w:rsid w:val="00B020C3"/>
    <w:rsid w:val="00B023D0"/>
    <w:rsid w:val="00B03286"/>
    <w:rsid w:val="00B04532"/>
    <w:rsid w:val="00B0513B"/>
    <w:rsid w:val="00B06802"/>
    <w:rsid w:val="00B06D7C"/>
    <w:rsid w:val="00B1023B"/>
    <w:rsid w:val="00B1147E"/>
    <w:rsid w:val="00B11CD6"/>
    <w:rsid w:val="00B14426"/>
    <w:rsid w:val="00B146C4"/>
    <w:rsid w:val="00B14833"/>
    <w:rsid w:val="00B15AC2"/>
    <w:rsid w:val="00B15AF3"/>
    <w:rsid w:val="00B15F4F"/>
    <w:rsid w:val="00B1657F"/>
    <w:rsid w:val="00B16B05"/>
    <w:rsid w:val="00B16D42"/>
    <w:rsid w:val="00B20666"/>
    <w:rsid w:val="00B23AF9"/>
    <w:rsid w:val="00B269C2"/>
    <w:rsid w:val="00B30609"/>
    <w:rsid w:val="00B30834"/>
    <w:rsid w:val="00B34CD7"/>
    <w:rsid w:val="00B365FD"/>
    <w:rsid w:val="00B41E37"/>
    <w:rsid w:val="00B423CD"/>
    <w:rsid w:val="00B42A8B"/>
    <w:rsid w:val="00B43947"/>
    <w:rsid w:val="00B45134"/>
    <w:rsid w:val="00B50734"/>
    <w:rsid w:val="00B511D5"/>
    <w:rsid w:val="00B5177A"/>
    <w:rsid w:val="00B51D8F"/>
    <w:rsid w:val="00B5234F"/>
    <w:rsid w:val="00B5258F"/>
    <w:rsid w:val="00B52D6E"/>
    <w:rsid w:val="00B55320"/>
    <w:rsid w:val="00B55448"/>
    <w:rsid w:val="00B55BA0"/>
    <w:rsid w:val="00B56684"/>
    <w:rsid w:val="00B6194E"/>
    <w:rsid w:val="00B623CF"/>
    <w:rsid w:val="00B6421E"/>
    <w:rsid w:val="00B661F7"/>
    <w:rsid w:val="00B710E4"/>
    <w:rsid w:val="00B71347"/>
    <w:rsid w:val="00B742FC"/>
    <w:rsid w:val="00B81DF4"/>
    <w:rsid w:val="00B86CE3"/>
    <w:rsid w:val="00B875B2"/>
    <w:rsid w:val="00B91C00"/>
    <w:rsid w:val="00B9202A"/>
    <w:rsid w:val="00B92039"/>
    <w:rsid w:val="00B9548C"/>
    <w:rsid w:val="00BA0FF8"/>
    <w:rsid w:val="00BA5C66"/>
    <w:rsid w:val="00BB1145"/>
    <w:rsid w:val="00BB3241"/>
    <w:rsid w:val="00BB3474"/>
    <w:rsid w:val="00BB57CD"/>
    <w:rsid w:val="00BB602A"/>
    <w:rsid w:val="00BC0844"/>
    <w:rsid w:val="00BC316F"/>
    <w:rsid w:val="00BC3EBA"/>
    <w:rsid w:val="00BD037E"/>
    <w:rsid w:val="00BD1434"/>
    <w:rsid w:val="00BD2525"/>
    <w:rsid w:val="00BD7329"/>
    <w:rsid w:val="00BE3F2B"/>
    <w:rsid w:val="00BE581D"/>
    <w:rsid w:val="00BE6FD9"/>
    <w:rsid w:val="00BE7697"/>
    <w:rsid w:val="00BF07C6"/>
    <w:rsid w:val="00BF1A7A"/>
    <w:rsid w:val="00BF20DC"/>
    <w:rsid w:val="00BF6A16"/>
    <w:rsid w:val="00C00B95"/>
    <w:rsid w:val="00C01E40"/>
    <w:rsid w:val="00C02AB9"/>
    <w:rsid w:val="00C05BEF"/>
    <w:rsid w:val="00C0600F"/>
    <w:rsid w:val="00C06342"/>
    <w:rsid w:val="00C075CF"/>
    <w:rsid w:val="00C07A35"/>
    <w:rsid w:val="00C10117"/>
    <w:rsid w:val="00C10FDC"/>
    <w:rsid w:val="00C1403A"/>
    <w:rsid w:val="00C147D5"/>
    <w:rsid w:val="00C17DF3"/>
    <w:rsid w:val="00C21F33"/>
    <w:rsid w:val="00C23118"/>
    <w:rsid w:val="00C24888"/>
    <w:rsid w:val="00C267F0"/>
    <w:rsid w:val="00C269AE"/>
    <w:rsid w:val="00C27A6F"/>
    <w:rsid w:val="00C33382"/>
    <w:rsid w:val="00C34686"/>
    <w:rsid w:val="00C360EE"/>
    <w:rsid w:val="00C4275E"/>
    <w:rsid w:val="00C42E1D"/>
    <w:rsid w:val="00C44DC0"/>
    <w:rsid w:val="00C4562E"/>
    <w:rsid w:val="00C50626"/>
    <w:rsid w:val="00C51988"/>
    <w:rsid w:val="00C603E1"/>
    <w:rsid w:val="00C607AA"/>
    <w:rsid w:val="00C61CA7"/>
    <w:rsid w:val="00C63F8B"/>
    <w:rsid w:val="00C64386"/>
    <w:rsid w:val="00C6631D"/>
    <w:rsid w:val="00C70834"/>
    <w:rsid w:val="00C71705"/>
    <w:rsid w:val="00C741A8"/>
    <w:rsid w:val="00C76FA9"/>
    <w:rsid w:val="00C80CBC"/>
    <w:rsid w:val="00C80E7A"/>
    <w:rsid w:val="00C81D5A"/>
    <w:rsid w:val="00C81E6D"/>
    <w:rsid w:val="00C8277A"/>
    <w:rsid w:val="00C835DA"/>
    <w:rsid w:val="00C872A3"/>
    <w:rsid w:val="00C87891"/>
    <w:rsid w:val="00C9290E"/>
    <w:rsid w:val="00C932FB"/>
    <w:rsid w:val="00C93E9A"/>
    <w:rsid w:val="00C94A5F"/>
    <w:rsid w:val="00C95F58"/>
    <w:rsid w:val="00C965A3"/>
    <w:rsid w:val="00C96769"/>
    <w:rsid w:val="00C970E9"/>
    <w:rsid w:val="00CA38B2"/>
    <w:rsid w:val="00CA405C"/>
    <w:rsid w:val="00CA52ED"/>
    <w:rsid w:val="00CA5906"/>
    <w:rsid w:val="00CA5FED"/>
    <w:rsid w:val="00CB018F"/>
    <w:rsid w:val="00CB1A49"/>
    <w:rsid w:val="00CB4B7C"/>
    <w:rsid w:val="00CB6EB7"/>
    <w:rsid w:val="00CC049C"/>
    <w:rsid w:val="00CC12EB"/>
    <w:rsid w:val="00CC234F"/>
    <w:rsid w:val="00CC7B19"/>
    <w:rsid w:val="00CD0A75"/>
    <w:rsid w:val="00CD6F22"/>
    <w:rsid w:val="00CD7B31"/>
    <w:rsid w:val="00CE1803"/>
    <w:rsid w:val="00CE20BD"/>
    <w:rsid w:val="00CE2585"/>
    <w:rsid w:val="00CE5CB5"/>
    <w:rsid w:val="00CF0E55"/>
    <w:rsid w:val="00CF25B0"/>
    <w:rsid w:val="00CF4193"/>
    <w:rsid w:val="00CF5E8B"/>
    <w:rsid w:val="00D018E7"/>
    <w:rsid w:val="00D06305"/>
    <w:rsid w:val="00D0633A"/>
    <w:rsid w:val="00D069FA"/>
    <w:rsid w:val="00D154A3"/>
    <w:rsid w:val="00D15D97"/>
    <w:rsid w:val="00D16D64"/>
    <w:rsid w:val="00D170CA"/>
    <w:rsid w:val="00D21FF1"/>
    <w:rsid w:val="00D30FDA"/>
    <w:rsid w:val="00D315E3"/>
    <w:rsid w:val="00D35BE5"/>
    <w:rsid w:val="00D35C76"/>
    <w:rsid w:val="00D36335"/>
    <w:rsid w:val="00D36AB6"/>
    <w:rsid w:val="00D41089"/>
    <w:rsid w:val="00D41394"/>
    <w:rsid w:val="00D41BB5"/>
    <w:rsid w:val="00D42AB7"/>
    <w:rsid w:val="00D45167"/>
    <w:rsid w:val="00D4612E"/>
    <w:rsid w:val="00D463A7"/>
    <w:rsid w:val="00D46BFB"/>
    <w:rsid w:val="00D47AEB"/>
    <w:rsid w:val="00D51908"/>
    <w:rsid w:val="00D52BBF"/>
    <w:rsid w:val="00D53577"/>
    <w:rsid w:val="00D54BE8"/>
    <w:rsid w:val="00D5536C"/>
    <w:rsid w:val="00D5699E"/>
    <w:rsid w:val="00D56C3B"/>
    <w:rsid w:val="00D579DC"/>
    <w:rsid w:val="00D602BD"/>
    <w:rsid w:val="00D62E8F"/>
    <w:rsid w:val="00D667EF"/>
    <w:rsid w:val="00D6746A"/>
    <w:rsid w:val="00D67961"/>
    <w:rsid w:val="00D71588"/>
    <w:rsid w:val="00D74714"/>
    <w:rsid w:val="00D8239D"/>
    <w:rsid w:val="00D85123"/>
    <w:rsid w:val="00D85731"/>
    <w:rsid w:val="00D93429"/>
    <w:rsid w:val="00D946C0"/>
    <w:rsid w:val="00D96380"/>
    <w:rsid w:val="00DA30CA"/>
    <w:rsid w:val="00DA3C52"/>
    <w:rsid w:val="00DA4E94"/>
    <w:rsid w:val="00DA6442"/>
    <w:rsid w:val="00DA7027"/>
    <w:rsid w:val="00DB0577"/>
    <w:rsid w:val="00DB344A"/>
    <w:rsid w:val="00DB7A44"/>
    <w:rsid w:val="00DB7EDB"/>
    <w:rsid w:val="00DC43BD"/>
    <w:rsid w:val="00DC664F"/>
    <w:rsid w:val="00DC6E3D"/>
    <w:rsid w:val="00DD0AE6"/>
    <w:rsid w:val="00DD10A3"/>
    <w:rsid w:val="00DD18F0"/>
    <w:rsid w:val="00DD4040"/>
    <w:rsid w:val="00DD5754"/>
    <w:rsid w:val="00DD5D25"/>
    <w:rsid w:val="00DE4B83"/>
    <w:rsid w:val="00DE71B2"/>
    <w:rsid w:val="00DE77FA"/>
    <w:rsid w:val="00DF1849"/>
    <w:rsid w:val="00DF4348"/>
    <w:rsid w:val="00DF6236"/>
    <w:rsid w:val="00DF7523"/>
    <w:rsid w:val="00E01666"/>
    <w:rsid w:val="00E01B9F"/>
    <w:rsid w:val="00E01EA3"/>
    <w:rsid w:val="00E056FA"/>
    <w:rsid w:val="00E06843"/>
    <w:rsid w:val="00E07E4B"/>
    <w:rsid w:val="00E11106"/>
    <w:rsid w:val="00E12DC9"/>
    <w:rsid w:val="00E149F9"/>
    <w:rsid w:val="00E14A5B"/>
    <w:rsid w:val="00E22644"/>
    <w:rsid w:val="00E22851"/>
    <w:rsid w:val="00E24751"/>
    <w:rsid w:val="00E27203"/>
    <w:rsid w:val="00E278C4"/>
    <w:rsid w:val="00E31D4A"/>
    <w:rsid w:val="00E32334"/>
    <w:rsid w:val="00E332FB"/>
    <w:rsid w:val="00E33471"/>
    <w:rsid w:val="00E3669E"/>
    <w:rsid w:val="00E4134E"/>
    <w:rsid w:val="00E45E69"/>
    <w:rsid w:val="00E45F2F"/>
    <w:rsid w:val="00E470ED"/>
    <w:rsid w:val="00E50E8E"/>
    <w:rsid w:val="00E52353"/>
    <w:rsid w:val="00E531D2"/>
    <w:rsid w:val="00E55CB0"/>
    <w:rsid w:val="00E55FA7"/>
    <w:rsid w:val="00E57569"/>
    <w:rsid w:val="00E60907"/>
    <w:rsid w:val="00E61618"/>
    <w:rsid w:val="00E61663"/>
    <w:rsid w:val="00E64EE5"/>
    <w:rsid w:val="00E76CB2"/>
    <w:rsid w:val="00E83841"/>
    <w:rsid w:val="00E84690"/>
    <w:rsid w:val="00E9030E"/>
    <w:rsid w:val="00E91511"/>
    <w:rsid w:val="00E94917"/>
    <w:rsid w:val="00E9725F"/>
    <w:rsid w:val="00EA281E"/>
    <w:rsid w:val="00EA3918"/>
    <w:rsid w:val="00EA3E52"/>
    <w:rsid w:val="00EB2C84"/>
    <w:rsid w:val="00EB4B99"/>
    <w:rsid w:val="00EB4C4F"/>
    <w:rsid w:val="00EB62D5"/>
    <w:rsid w:val="00EC0C47"/>
    <w:rsid w:val="00EC17C7"/>
    <w:rsid w:val="00EC292C"/>
    <w:rsid w:val="00EC3492"/>
    <w:rsid w:val="00EC4529"/>
    <w:rsid w:val="00EC5702"/>
    <w:rsid w:val="00ED1472"/>
    <w:rsid w:val="00ED1C26"/>
    <w:rsid w:val="00ED2207"/>
    <w:rsid w:val="00ED2351"/>
    <w:rsid w:val="00ED52BB"/>
    <w:rsid w:val="00ED5993"/>
    <w:rsid w:val="00ED5DE2"/>
    <w:rsid w:val="00ED716B"/>
    <w:rsid w:val="00EE6B10"/>
    <w:rsid w:val="00EE6CBD"/>
    <w:rsid w:val="00EE78CB"/>
    <w:rsid w:val="00EF38E3"/>
    <w:rsid w:val="00EF4CCD"/>
    <w:rsid w:val="00EF6EA7"/>
    <w:rsid w:val="00F00EB9"/>
    <w:rsid w:val="00F01BCB"/>
    <w:rsid w:val="00F02EDB"/>
    <w:rsid w:val="00F05A53"/>
    <w:rsid w:val="00F107A0"/>
    <w:rsid w:val="00F12C3A"/>
    <w:rsid w:val="00F13628"/>
    <w:rsid w:val="00F244BE"/>
    <w:rsid w:val="00F25BFA"/>
    <w:rsid w:val="00F2782B"/>
    <w:rsid w:val="00F27A62"/>
    <w:rsid w:val="00F302C0"/>
    <w:rsid w:val="00F30427"/>
    <w:rsid w:val="00F3079B"/>
    <w:rsid w:val="00F323B9"/>
    <w:rsid w:val="00F32BEB"/>
    <w:rsid w:val="00F34F4F"/>
    <w:rsid w:val="00F42166"/>
    <w:rsid w:val="00F42A27"/>
    <w:rsid w:val="00F4513C"/>
    <w:rsid w:val="00F455C8"/>
    <w:rsid w:val="00F50005"/>
    <w:rsid w:val="00F50479"/>
    <w:rsid w:val="00F50EEE"/>
    <w:rsid w:val="00F51071"/>
    <w:rsid w:val="00F54438"/>
    <w:rsid w:val="00F56907"/>
    <w:rsid w:val="00F57797"/>
    <w:rsid w:val="00F57CBD"/>
    <w:rsid w:val="00F61544"/>
    <w:rsid w:val="00F615BC"/>
    <w:rsid w:val="00F6362C"/>
    <w:rsid w:val="00F63912"/>
    <w:rsid w:val="00F63D97"/>
    <w:rsid w:val="00F64D22"/>
    <w:rsid w:val="00F77225"/>
    <w:rsid w:val="00F774A4"/>
    <w:rsid w:val="00F77955"/>
    <w:rsid w:val="00F77F84"/>
    <w:rsid w:val="00F77FBB"/>
    <w:rsid w:val="00F83B72"/>
    <w:rsid w:val="00F83FFE"/>
    <w:rsid w:val="00F84A6F"/>
    <w:rsid w:val="00F84C85"/>
    <w:rsid w:val="00F85C37"/>
    <w:rsid w:val="00F90D28"/>
    <w:rsid w:val="00F92F15"/>
    <w:rsid w:val="00FA1D94"/>
    <w:rsid w:val="00FA1DFC"/>
    <w:rsid w:val="00FA549A"/>
    <w:rsid w:val="00FB04BC"/>
    <w:rsid w:val="00FB0DB0"/>
    <w:rsid w:val="00FB2D76"/>
    <w:rsid w:val="00FB44A1"/>
    <w:rsid w:val="00FB6C8C"/>
    <w:rsid w:val="00FB763A"/>
    <w:rsid w:val="00FC01B3"/>
    <w:rsid w:val="00FC05E2"/>
    <w:rsid w:val="00FC08C2"/>
    <w:rsid w:val="00FC21F9"/>
    <w:rsid w:val="00FC3515"/>
    <w:rsid w:val="00FC5B04"/>
    <w:rsid w:val="00FC6204"/>
    <w:rsid w:val="00FC69A0"/>
    <w:rsid w:val="00FD4E61"/>
    <w:rsid w:val="00FD64FB"/>
    <w:rsid w:val="00FD79A8"/>
    <w:rsid w:val="00FE10AC"/>
    <w:rsid w:val="00FE3581"/>
    <w:rsid w:val="00FE4130"/>
    <w:rsid w:val="00FE4767"/>
    <w:rsid w:val="00FE758A"/>
    <w:rsid w:val="00FE7CA5"/>
    <w:rsid w:val="00FF488A"/>
    <w:rsid w:val="00FF7A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3CE69"/>
  <w15:chartTrackingRefBased/>
  <w15:docId w15:val="{BE3C8E83-B9D7-4BD7-9821-CE70C3DB8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C76F9"/>
    <w:pPr>
      <w:jc w:val="both"/>
    </w:pPr>
    <w:rPr>
      <w:rFonts w:ascii="Lato" w:hAnsi="Lato"/>
      <w:sz w:val="20"/>
    </w:rPr>
  </w:style>
  <w:style w:type="paragraph" w:styleId="Nagwek1">
    <w:name w:val="heading 1"/>
    <w:basedOn w:val="Normalny"/>
    <w:next w:val="Normalny"/>
    <w:link w:val="Nagwek1Znak"/>
    <w:uiPriority w:val="9"/>
    <w:qFormat/>
    <w:rsid w:val="00EC292C"/>
    <w:pPr>
      <w:keepNext/>
      <w:keepLines/>
      <w:numPr>
        <w:numId w:val="1"/>
      </w:numPr>
      <w:spacing w:before="160"/>
      <w:ind w:left="431" w:hanging="431"/>
      <w:jc w:val="left"/>
      <w:outlineLvl w:val="0"/>
    </w:pPr>
    <w:rPr>
      <w:rFonts w:ascii="Bahnschrift" w:eastAsiaTheme="majorEastAsia" w:hAnsi="Bahnschrift" w:cstheme="majorBidi"/>
      <w:b/>
      <w:color w:val="000000" w:themeColor="text1"/>
      <w:sz w:val="40"/>
      <w:szCs w:val="40"/>
    </w:rPr>
  </w:style>
  <w:style w:type="paragraph" w:styleId="Nagwek2">
    <w:name w:val="heading 2"/>
    <w:basedOn w:val="Normalny"/>
    <w:next w:val="Normalny"/>
    <w:link w:val="Nagwek2Znak"/>
    <w:uiPriority w:val="9"/>
    <w:unhideWhenUsed/>
    <w:qFormat/>
    <w:rsid w:val="00C50626"/>
    <w:pPr>
      <w:keepNext/>
      <w:keepLines/>
      <w:spacing w:before="160" w:after="240"/>
      <w:outlineLvl w:val="1"/>
    </w:pPr>
    <w:rPr>
      <w:rFonts w:ascii="Bahnschrift" w:eastAsiaTheme="majorEastAsia" w:hAnsi="Bahnschrift" w:cstheme="majorBidi"/>
      <w:b/>
      <w:color w:val="000000" w:themeColor="text1"/>
      <w:sz w:val="36"/>
      <w:szCs w:val="32"/>
    </w:rPr>
  </w:style>
  <w:style w:type="paragraph" w:styleId="Nagwek3">
    <w:name w:val="heading 3"/>
    <w:basedOn w:val="Normalny"/>
    <w:next w:val="Normalny"/>
    <w:link w:val="Nagwek3Znak"/>
    <w:uiPriority w:val="9"/>
    <w:semiHidden/>
    <w:unhideWhenUsed/>
    <w:qFormat/>
    <w:rsid w:val="00D018E7"/>
    <w:pPr>
      <w:keepNext/>
      <w:keepLines/>
      <w:numPr>
        <w:ilvl w:val="2"/>
        <w:numId w:val="1"/>
      </w:numPr>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018E7"/>
    <w:pPr>
      <w:keepNext/>
      <w:keepLines/>
      <w:numPr>
        <w:ilvl w:val="3"/>
        <w:numId w:val="1"/>
      </w:numPr>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018E7"/>
    <w:pPr>
      <w:keepNext/>
      <w:keepLines/>
      <w:numPr>
        <w:ilvl w:val="4"/>
        <w:numId w:val="1"/>
      </w:numPr>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018E7"/>
    <w:pPr>
      <w:keepNext/>
      <w:keepLines/>
      <w:numPr>
        <w:ilvl w:val="5"/>
        <w:numId w:val="1"/>
      </w:numPr>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018E7"/>
    <w:pPr>
      <w:keepNext/>
      <w:keepLines/>
      <w:numPr>
        <w:ilvl w:val="6"/>
        <w:numId w:val="1"/>
      </w:numPr>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018E7"/>
    <w:pPr>
      <w:keepNext/>
      <w:keepLines/>
      <w:numPr>
        <w:ilvl w:val="7"/>
        <w:numId w:val="1"/>
      </w:numPr>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018E7"/>
    <w:pPr>
      <w:keepNext/>
      <w:keepLines/>
      <w:numPr>
        <w:ilvl w:val="8"/>
        <w:numId w:val="1"/>
      </w:numPr>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C292C"/>
    <w:rPr>
      <w:rFonts w:ascii="Bahnschrift" w:eastAsiaTheme="majorEastAsia" w:hAnsi="Bahnschrift" w:cstheme="majorBidi"/>
      <w:b/>
      <w:color w:val="000000" w:themeColor="text1"/>
      <w:sz w:val="40"/>
      <w:szCs w:val="40"/>
    </w:rPr>
  </w:style>
  <w:style w:type="character" w:customStyle="1" w:styleId="Nagwek2Znak">
    <w:name w:val="Nagłówek 2 Znak"/>
    <w:basedOn w:val="Domylnaczcionkaakapitu"/>
    <w:link w:val="Nagwek2"/>
    <w:uiPriority w:val="9"/>
    <w:rsid w:val="00C50626"/>
    <w:rPr>
      <w:rFonts w:ascii="Bahnschrift" w:eastAsiaTheme="majorEastAsia" w:hAnsi="Bahnschrift" w:cstheme="majorBidi"/>
      <w:b/>
      <w:color w:val="000000" w:themeColor="text1"/>
      <w:sz w:val="36"/>
      <w:szCs w:val="32"/>
    </w:rPr>
  </w:style>
  <w:style w:type="character" w:customStyle="1" w:styleId="Nagwek3Znak">
    <w:name w:val="Nagłówek 3 Znak"/>
    <w:basedOn w:val="Domylnaczcionkaakapitu"/>
    <w:link w:val="Nagwek3"/>
    <w:uiPriority w:val="9"/>
    <w:semiHidden/>
    <w:rsid w:val="00D018E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018E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018E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018E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018E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018E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018E7"/>
    <w:rPr>
      <w:rFonts w:eastAsiaTheme="majorEastAsia" w:cstheme="majorBidi"/>
      <w:color w:val="272727" w:themeColor="text1" w:themeTint="D8"/>
    </w:rPr>
  </w:style>
  <w:style w:type="paragraph" w:styleId="Tytu">
    <w:name w:val="Title"/>
    <w:aliases w:val="spisy"/>
    <w:basedOn w:val="Normalny"/>
    <w:next w:val="Normalny"/>
    <w:link w:val="TytuZnak"/>
    <w:uiPriority w:val="10"/>
    <w:qFormat/>
    <w:rsid w:val="00D018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aliases w:val="spisy Znak"/>
    <w:basedOn w:val="Domylnaczcionkaakapitu"/>
    <w:link w:val="Tytu"/>
    <w:uiPriority w:val="10"/>
    <w:rsid w:val="00D018E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018E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018E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018E7"/>
    <w:pPr>
      <w:spacing w:before="160"/>
      <w:jc w:val="center"/>
    </w:pPr>
    <w:rPr>
      <w:i/>
      <w:iCs/>
      <w:color w:val="404040" w:themeColor="text1" w:themeTint="BF"/>
    </w:rPr>
  </w:style>
  <w:style w:type="character" w:customStyle="1" w:styleId="CytatZnak">
    <w:name w:val="Cytat Znak"/>
    <w:basedOn w:val="Domylnaczcionkaakapitu"/>
    <w:link w:val="Cytat"/>
    <w:uiPriority w:val="29"/>
    <w:rsid w:val="00D018E7"/>
    <w:rPr>
      <w:i/>
      <w:iCs/>
      <w:color w:val="404040" w:themeColor="text1" w:themeTint="BF"/>
    </w:rPr>
  </w:style>
  <w:style w:type="paragraph" w:styleId="Akapitzlist">
    <w:name w:val="List Paragraph"/>
    <w:aliases w:val="Dot pt,F5 List Paragraph,List Paragraph1,Recommendation,List Paragraph11,Kolorowa lista — akcent 11,Akapit z listą1,Numerowanie,1 Akapit z listą,목록 단락,Akapit z listą11,Numbered Para 1,No Spacing1,List Paragraph Char Char Ch,List Paragraph"/>
    <w:basedOn w:val="Normalny"/>
    <w:link w:val="AkapitzlistZnak"/>
    <w:uiPriority w:val="34"/>
    <w:qFormat/>
    <w:rsid w:val="00D018E7"/>
    <w:pPr>
      <w:ind w:left="720"/>
      <w:contextualSpacing/>
    </w:pPr>
  </w:style>
  <w:style w:type="character" w:styleId="Wyrnienieintensywne">
    <w:name w:val="Intense Emphasis"/>
    <w:basedOn w:val="Domylnaczcionkaakapitu"/>
    <w:uiPriority w:val="21"/>
    <w:qFormat/>
    <w:rsid w:val="00D018E7"/>
    <w:rPr>
      <w:i/>
      <w:iCs/>
      <w:color w:val="0F4761" w:themeColor="accent1" w:themeShade="BF"/>
    </w:rPr>
  </w:style>
  <w:style w:type="paragraph" w:styleId="Cytatintensywny">
    <w:name w:val="Intense Quote"/>
    <w:basedOn w:val="Normalny"/>
    <w:next w:val="Normalny"/>
    <w:link w:val="CytatintensywnyZnak"/>
    <w:uiPriority w:val="30"/>
    <w:qFormat/>
    <w:rsid w:val="00D018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018E7"/>
    <w:rPr>
      <w:i/>
      <w:iCs/>
      <w:color w:val="0F4761" w:themeColor="accent1" w:themeShade="BF"/>
    </w:rPr>
  </w:style>
  <w:style w:type="character" w:styleId="Odwoanieintensywne">
    <w:name w:val="Intense Reference"/>
    <w:basedOn w:val="Domylnaczcionkaakapitu"/>
    <w:uiPriority w:val="32"/>
    <w:qFormat/>
    <w:rsid w:val="00D018E7"/>
    <w:rPr>
      <w:b/>
      <w:bCs/>
      <w:smallCaps/>
      <w:color w:val="0F4761" w:themeColor="accent1" w:themeShade="BF"/>
      <w:spacing w:val="5"/>
    </w:rPr>
  </w:style>
  <w:style w:type="character" w:styleId="Hipercze">
    <w:name w:val="Hyperlink"/>
    <w:basedOn w:val="Domylnaczcionkaakapitu"/>
    <w:uiPriority w:val="99"/>
    <w:unhideWhenUsed/>
    <w:rsid w:val="00B16B05"/>
    <w:rPr>
      <w:color w:val="0563C1"/>
      <w:u w:val="single"/>
    </w:rPr>
  </w:style>
  <w:style w:type="table" w:styleId="Tabela-Siatka">
    <w:name w:val="Table Grid"/>
    <w:basedOn w:val="Standardowy"/>
    <w:uiPriority w:val="39"/>
    <w:rsid w:val="00B16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B16B05"/>
    <w:rPr>
      <w:color w:val="605E5C"/>
      <w:shd w:val="clear" w:color="auto" w:fill="E1DFDD"/>
    </w:rPr>
  </w:style>
  <w:style w:type="table" w:styleId="Siatkatabelijasna">
    <w:name w:val="Grid Table Light"/>
    <w:basedOn w:val="Standardowy"/>
    <w:uiPriority w:val="40"/>
    <w:rsid w:val="00E31D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Zwykatabela1">
    <w:name w:val="Plain Table 1"/>
    <w:basedOn w:val="Standardowy"/>
    <w:uiPriority w:val="41"/>
    <w:rsid w:val="00E31D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E31D4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2akcent6">
    <w:name w:val="Grid Table 2 Accent 6"/>
    <w:basedOn w:val="Standardowy"/>
    <w:uiPriority w:val="47"/>
    <w:rsid w:val="002B33DD"/>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Tabelalisty7kolorowaakcent6">
    <w:name w:val="List Table 7 Colorful Accent 6"/>
    <w:basedOn w:val="Standardowy"/>
    <w:uiPriority w:val="52"/>
    <w:rsid w:val="002B33DD"/>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agwek">
    <w:name w:val="header"/>
    <w:basedOn w:val="Normalny"/>
    <w:link w:val="NagwekZnak"/>
    <w:uiPriority w:val="99"/>
    <w:unhideWhenUsed/>
    <w:rsid w:val="005551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19E"/>
    <w:rPr>
      <w:rFonts w:ascii="Lato" w:hAnsi="Lato"/>
    </w:rPr>
  </w:style>
  <w:style w:type="paragraph" w:styleId="Stopka">
    <w:name w:val="footer"/>
    <w:basedOn w:val="Normalny"/>
    <w:link w:val="StopkaZnak"/>
    <w:uiPriority w:val="99"/>
    <w:unhideWhenUsed/>
    <w:rsid w:val="005551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19E"/>
    <w:rPr>
      <w:rFonts w:ascii="Lato" w:hAnsi="Lato"/>
    </w:rPr>
  </w:style>
  <w:style w:type="paragraph" w:styleId="Tekstprzypisudolnego">
    <w:name w:val="footnote text"/>
    <w:basedOn w:val="Normalny"/>
    <w:link w:val="TekstprzypisudolnegoZnak"/>
    <w:uiPriority w:val="99"/>
    <w:semiHidden/>
    <w:unhideWhenUsed/>
    <w:rsid w:val="005D45FF"/>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5D45FF"/>
    <w:rPr>
      <w:rFonts w:ascii="Lato" w:hAnsi="Lato"/>
      <w:sz w:val="20"/>
      <w:szCs w:val="20"/>
    </w:rPr>
  </w:style>
  <w:style w:type="character" w:styleId="Odwoanieprzypisudolnego">
    <w:name w:val="footnote reference"/>
    <w:basedOn w:val="Domylnaczcionkaakapitu"/>
    <w:uiPriority w:val="99"/>
    <w:semiHidden/>
    <w:unhideWhenUsed/>
    <w:rsid w:val="005D45FF"/>
    <w:rPr>
      <w:vertAlign w:val="superscript"/>
    </w:rPr>
  </w:style>
  <w:style w:type="character" w:styleId="Odwoaniedokomentarza">
    <w:name w:val="annotation reference"/>
    <w:basedOn w:val="Domylnaczcionkaakapitu"/>
    <w:uiPriority w:val="99"/>
    <w:unhideWhenUsed/>
    <w:rsid w:val="005D45FF"/>
    <w:rPr>
      <w:sz w:val="16"/>
      <w:szCs w:val="16"/>
    </w:rPr>
  </w:style>
  <w:style w:type="paragraph" w:styleId="Tekstkomentarza">
    <w:name w:val="annotation text"/>
    <w:basedOn w:val="Normalny"/>
    <w:link w:val="TekstkomentarzaZnak"/>
    <w:uiPriority w:val="99"/>
    <w:unhideWhenUsed/>
    <w:rsid w:val="005D45FF"/>
    <w:pPr>
      <w:spacing w:line="240" w:lineRule="auto"/>
    </w:pPr>
    <w:rPr>
      <w:szCs w:val="20"/>
      <w:lang w:val="en-GB"/>
    </w:rPr>
  </w:style>
  <w:style w:type="character" w:customStyle="1" w:styleId="TekstkomentarzaZnak">
    <w:name w:val="Tekst komentarza Znak"/>
    <w:basedOn w:val="Domylnaczcionkaakapitu"/>
    <w:link w:val="Tekstkomentarza"/>
    <w:uiPriority w:val="99"/>
    <w:rsid w:val="005D45FF"/>
    <w:rPr>
      <w:rFonts w:ascii="Lato" w:hAnsi="Lato"/>
      <w:sz w:val="20"/>
      <w:szCs w:val="20"/>
      <w:lang w:val="en-GB"/>
    </w:rPr>
  </w:style>
  <w:style w:type="paragraph" w:styleId="Legenda">
    <w:name w:val="caption"/>
    <w:basedOn w:val="Normalny"/>
    <w:next w:val="Normalny"/>
    <w:uiPriority w:val="35"/>
    <w:unhideWhenUsed/>
    <w:qFormat/>
    <w:rsid w:val="00ED5993"/>
    <w:pPr>
      <w:spacing w:after="200" w:line="240" w:lineRule="auto"/>
    </w:pPr>
    <w:rPr>
      <w:i/>
      <w:iCs/>
      <w:color w:val="0E2841" w:themeColor="text2"/>
      <w:sz w:val="18"/>
      <w:szCs w:val="18"/>
      <w:lang w:val="en-GB"/>
    </w:rPr>
  </w:style>
  <w:style w:type="paragraph" w:styleId="Poprawka">
    <w:name w:val="Revision"/>
    <w:hidden/>
    <w:uiPriority w:val="99"/>
    <w:semiHidden/>
    <w:rsid w:val="001B4300"/>
    <w:pPr>
      <w:spacing w:after="0" w:line="240" w:lineRule="auto"/>
    </w:pPr>
    <w:rPr>
      <w:rFonts w:ascii="Lato" w:hAnsi="Lato"/>
    </w:rPr>
  </w:style>
  <w:style w:type="paragraph" w:styleId="Tematkomentarza">
    <w:name w:val="annotation subject"/>
    <w:basedOn w:val="Tekstkomentarza"/>
    <w:next w:val="Tekstkomentarza"/>
    <w:link w:val="TematkomentarzaZnak"/>
    <w:uiPriority w:val="99"/>
    <w:semiHidden/>
    <w:unhideWhenUsed/>
    <w:rsid w:val="00FF7A1B"/>
    <w:rPr>
      <w:b/>
      <w:bCs/>
      <w:lang w:val="pl-PL"/>
    </w:rPr>
  </w:style>
  <w:style w:type="character" w:customStyle="1" w:styleId="TematkomentarzaZnak">
    <w:name w:val="Temat komentarza Znak"/>
    <w:basedOn w:val="TekstkomentarzaZnak"/>
    <w:link w:val="Tematkomentarza"/>
    <w:uiPriority w:val="99"/>
    <w:semiHidden/>
    <w:rsid w:val="00FF7A1B"/>
    <w:rPr>
      <w:rFonts w:ascii="Lato" w:hAnsi="Lato"/>
      <w:b/>
      <w:bCs/>
      <w:sz w:val="20"/>
      <w:szCs w:val="20"/>
      <w:lang w:val="en-GB"/>
    </w:rPr>
  </w:style>
  <w:style w:type="paragraph" w:customStyle="1" w:styleId="Default">
    <w:name w:val="Default"/>
    <w:rsid w:val="004C57E3"/>
    <w:pPr>
      <w:autoSpaceDE w:val="0"/>
      <w:autoSpaceDN w:val="0"/>
      <w:adjustRightInd w:val="0"/>
      <w:spacing w:after="0" w:line="240" w:lineRule="auto"/>
    </w:pPr>
    <w:rPr>
      <w:rFonts w:ascii="EC Square Sans Pro" w:hAnsi="EC Square Sans Pro" w:cs="EC Square Sans Pro"/>
      <w:color w:val="000000"/>
      <w:kern w:val="0"/>
      <w:sz w:val="24"/>
      <w:szCs w:val="24"/>
    </w:rPr>
  </w:style>
  <w:style w:type="table" w:customStyle="1" w:styleId="KPEiK">
    <w:name w:val="KPEiK"/>
    <w:basedOn w:val="Standardowy"/>
    <w:uiPriority w:val="99"/>
    <w:rsid w:val="00D8239D"/>
    <w:pPr>
      <w:spacing w:after="0"/>
    </w:pPr>
    <w:rPr>
      <w:rFonts w:ascii="Lato" w:hAnsi="Lato"/>
      <w:kern w:val="0"/>
      <w:sz w:val="16"/>
      <w14:ligatures w14:val="none"/>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left w:w="68" w:type="dxa"/>
        <w:bottom w:w="28" w:type="dxa"/>
        <w:right w:w="68" w:type="dxa"/>
      </w:tblCellMar>
    </w:tblPr>
    <w:trPr>
      <w:cantSplit/>
    </w:trPr>
    <w:tcPr>
      <w:vAlign w:val="center"/>
    </w:tcPr>
    <w:tblStylePr w:type="firstRow">
      <w:pPr>
        <w:wordWrap/>
        <w:jc w:val="center"/>
      </w:pPr>
      <w:rPr>
        <w:rFonts w:ascii="Aptos Display" w:hAnsi="Aptos Display"/>
        <w:b/>
        <w:color w:val="FFFFFF"/>
        <w:sz w:val="16"/>
      </w:rPr>
      <w:tblPr/>
      <w:tcPr>
        <w:shd w:val="clear" w:color="auto" w:fill="70AD47"/>
      </w:tcPr>
    </w:tblStylePr>
  </w:style>
  <w:style w:type="paragraph" w:styleId="Nagwekspisutreci">
    <w:name w:val="TOC Heading"/>
    <w:basedOn w:val="Nagwek1"/>
    <w:next w:val="Normalny"/>
    <w:uiPriority w:val="39"/>
    <w:unhideWhenUsed/>
    <w:qFormat/>
    <w:rsid w:val="00D41BB5"/>
    <w:pPr>
      <w:numPr>
        <w:numId w:val="0"/>
      </w:numPr>
      <w:spacing w:before="240" w:after="0"/>
      <w:outlineLvl w:val="9"/>
    </w:pPr>
    <w:rPr>
      <w:rFonts w:asciiTheme="majorHAnsi" w:hAnsiTheme="majorHAnsi"/>
      <w:b w:val="0"/>
      <w:color w:val="0F4761" w:themeColor="accent1" w:themeShade="BF"/>
      <w:kern w:val="0"/>
      <w:sz w:val="32"/>
      <w:szCs w:val="32"/>
      <w:lang w:eastAsia="pl-PL"/>
      <w14:ligatures w14:val="none"/>
    </w:rPr>
  </w:style>
  <w:style w:type="paragraph" w:styleId="Spistreci1">
    <w:name w:val="toc 1"/>
    <w:basedOn w:val="Normalny"/>
    <w:next w:val="Normalny"/>
    <w:autoRedefine/>
    <w:uiPriority w:val="39"/>
    <w:unhideWhenUsed/>
    <w:rsid w:val="00C50626"/>
    <w:pPr>
      <w:tabs>
        <w:tab w:val="left" w:pos="480"/>
        <w:tab w:val="right" w:leader="dot" w:pos="9062"/>
      </w:tabs>
      <w:spacing w:after="100"/>
      <w:ind w:left="426" w:hanging="426"/>
      <w:jc w:val="left"/>
    </w:pPr>
  </w:style>
  <w:style w:type="character" w:customStyle="1" w:styleId="AkapitzlistZnak">
    <w:name w:val="Akapit z listą Znak"/>
    <w:aliases w:val="Dot pt Znak,F5 List Paragraph Znak,List Paragraph1 Znak,Recommendation Znak,List Paragraph11 Znak,Kolorowa lista — akcent 11 Znak,Akapit z listą1 Znak,Numerowanie Znak,1 Akapit z listą Znak,목록 단락 Znak,Akapit z listą11 Znak"/>
    <w:link w:val="Akapitzlist"/>
    <w:uiPriority w:val="34"/>
    <w:qFormat/>
    <w:locked/>
    <w:rsid w:val="00245783"/>
    <w:rPr>
      <w:rFonts w:ascii="Lato" w:hAnsi="Lato"/>
      <w:sz w:val="20"/>
    </w:rPr>
  </w:style>
  <w:style w:type="paragraph" w:styleId="Spistreci2">
    <w:name w:val="toc 2"/>
    <w:basedOn w:val="Normalny"/>
    <w:next w:val="Normalny"/>
    <w:autoRedefine/>
    <w:uiPriority w:val="39"/>
    <w:unhideWhenUsed/>
    <w:rsid w:val="00572A85"/>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6902">
      <w:bodyDiv w:val="1"/>
      <w:marLeft w:val="0"/>
      <w:marRight w:val="0"/>
      <w:marTop w:val="0"/>
      <w:marBottom w:val="0"/>
      <w:divBdr>
        <w:top w:val="none" w:sz="0" w:space="0" w:color="auto"/>
        <w:left w:val="none" w:sz="0" w:space="0" w:color="auto"/>
        <w:bottom w:val="none" w:sz="0" w:space="0" w:color="auto"/>
        <w:right w:val="none" w:sz="0" w:space="0" w:color="auto"/>
      </w:divBdr>
    </w:div>
    <w:div w:id="9838988">
      <w:bodyDiv w:val="1"/>
      <w:marLeft w:val="0"/>
      <w:marRight w:val="0"/>
      <w:marTop w:val="0"/>
      <w:marBottom w:val="0"/>
      <w:divBdr>
        <w:top w:val="none" w:sz="0" w:space="0" w:color="auto"/>
        <w:left w:val="none" w:sz="0" w:space="0" w:color="auto"/>
        <w:bottom w:val="none" w:sz="0" w:space="0" w:color="auto"/>
        <w:right w:val="none" w:sz="0" w:space="0" w:color="auto"/>
      </w:divBdr>
    </w:div>
    <w:div w:id="116680960">
      <w:bodyDiv w:val="1"/>
      <w:marLeft w:val="0"/>
      <w:marRight w:val="0"/>
      <w:marTop w:val="0"/>
      <w:marBottom w:val="0"/>
      <w:divBdr>
        <w:top w:val="none" w:sz="0" w:space="0" w:color="auto"/>
        <w:left w:val="none" w:sz="0" w:space="0" w:color="auto"/>
        <w:bottom w:val="none" w:sz="0" w:space="0" w:color="auto"/>
        <w:right w:val="none" w:sz="0" w:space="0" w:color="auto"/>
      </w:divBdr>
    </w:div>
    <w:div w:id="156113387">
      <w:bodyDiv w:val="1"/>
      <w:marLeft w:val="0"/>
      <w:marRight w:val="0"/>
      <w:marTop w:val="0"/>
      <w:marBottom w:val="0"/>
      <w:divBdr>
        <w:top w:val="none" w:sz="0" w:space="0" w:color="auto"/>
        <w:left w:val="none" w:sz="0" w:space="0" w:color="auto"/>
        <w:bottom w:val="none" w:sz="0" w:space="0" w:color="auto"/>
        <w:right w:val="none" w:sz="0" w:space="0" w:color="auto"/>
      </w:divBdr>
    </w:div>
    <w:div w:id="456339553">
      <w:bodyDiv w:val="1"/>
      <w:marLeft w:val="0"/>
      <w:marRight w:val="0"/>
      <w:marTop w:val="0"/>
      <w:marBottom w:val="0"/>
      <w:divBdr>
        <w:top w:val="none" w:sz="0" w:space="0" w:color="auto"/>
        <w:left w:val="none" w:sz="0" w:space="0" w:color="auto"/>
        <w:bottom w:val="none" w:sz="0" w:space="0" w:color="auto"/>
        <w:right w:val="none" w:sz="0" w:space="0" w:color="auto"/>
      </w:divBdr>
    </w:div>
    <w:div w:id="471289086">
      <w:bodyDiv w:val="1"/>
      <w:marLeft w:val="0"/>
      <w:marRight w:val="0"/>
      <w:marTop w:val="0"/>
      <w:marBottom w:val="0"/>
      <w:divBdr>
        <w:top w:val="none" w:sz="0" w:space="0" w:color="auto"/>
        <w:left w:val="none" w:sz="0" w:space="0" w:color="auto"/>
        <w:bottom w:val="none" w:sz="0" w:space="0" w:color="auto"/>
        <w:right w:val="none" w:sz="0" w:space="0" w:color="auto"/>
      </w:divBdr>
    </w:div>
    <w:div w:id="513301054">
      <w:bodyDiv w:val="1"/>
      <w:marLeft w:val="0"/>
      <w:marRight w:val="0"/>
      <w:marTop w:val="0"/>
      <w:marBottom w:val="0"/>
      <w:divBdr>
        <w:top w:val="none" w:sz="0" w:space="0" w:color="auto"/>
        <w:left w:val="none" w:sz="0" w:space="0" w:color="auto"/>
        <w:bottom w:val="none" w:sz="0" w:space="0" w:color="auto"/>
        <w:right w:val="none" w:sz="0" w:space="0" w:color="auto"/>
      </w:divBdr>
    </w:div>
    <w:div w:id="799615284">
      <w:bodyDiv w:val="1"/>
      <w:marLeft w:val="0"/>
      <w:marRight w:val="0"/>
      <w:marTop w:val="0"/>
      <w:marBottom w:val="0"/>
      <w:divBdr>
        <w:top w:val="none" w:sz="0" w:space="0" w:color="auto"/>
        <w:left w:val="none" w:sz="0" w:space="0" w:color="auto"/>
        <w:bottom w:val="none" w:sz="0" w:space="0" w:color="auto"/>
        <w:right w:val="none" w:sz="0" w:space="0" w:color="auto"/>
      </w:divBdr>
    </w:div>
    <w:div w:id="799885861">
      <w:bodyDiv w:val="1"/>
      <w:marLeft w:val="0"/>
      <w:marRight w:val="0"/>
      <w:marTop w:val="0"/>
      <w:marBottom w:val="0"/>
      <w:divBdr>
        <w:top w:val="none" w:sz="0" w:space="0" w:color="auto"/>
        <w:left w:val="none" w:sz="0" w:space="0" w:color="auto"/>
        <w:bottom w:val="none" w:sz="0" w:space="0" w:color="auto"/>
        <w:right w:val="none" w:sz="0" w:space="0" w:color="auto"/>
      </w:divBdr>
    </w:div>
    <w:div w:id="848329266">
      <w:bodyDiv w:val="1"/>
      <w:marLeft w:val="0"/>
      <w:marRight w:val="0"/>
      <w:marTop w:val="0"/>
      <w:marBottom w:val="0"/>
      <w:divBdr>
        <w:top w:val="none" w:sz="0" w:space="0" w:color="auto"/>
        <w:left w:val="none" w:sz="0" w:space="0" w:color="auto"/>
        <w:bottom w:val="none" w:sz="0" w:space="0" w:color="auto"/>
        <w:right w:val="none" w:sz="0" w:space="0" w:color="auto"/>
      </w:divBdr>
    </w:div>
    <w:div w:id="908079205">
      <w:bodyDiv w:val="1"/>
      <w:marLeft w:val="0"/>
      <w:marRight w:val="0"/>
      <w:marTop w:val="0"/>
      <w:marBottom w:val="0"/>
      <w:divBdr>
        <w:top w:val="none" w:sz="0" w:space="0" w:color="auto"/>
        <w:left w:val="none" w:sz="0" w:space="0" w:color="auto"/>
        <w:bottom w:val="none" w:sz="0" w:space="0" w:color="auto"/>
        <w:right w:val="none" w:sz="0" w:space="0" w:color="auto"/>
      </w:divBdr>
    </w:div>
    <w:div w:id="954991042">
      <w:bodyDiv w:val="1"/>
      <w:marLeft w:val="0"/>
      <w:marRight w:val="0"/>
      <w:marTop w:val="0"/>
      <w:marBottom w:val="0"/>
      <w:divBdr>
        <w:top w:val="none" w:sz="0" w:space="0" w:color="auto"/>
        <w:left w:val="none" w:sz="0" w:space="0" w:color="auto"/>
        <w:bottom w:val="none" w:sz="0" w:space="0" w:color="auto"/>
        <w:right w:val="none" w:sz="0" w:space="0" w:color="auto"/>
      </w:divBdr>
    </w:div>
    <w:div w:id="954992333">
      <w:bodyDiv w:val="1"/>
      <w:marLeft w:val="0"/>
      <w:marRight w:val="0"/>
      <w:marTop w:val="0"/>
      <w:marBottom w:val="0"/>
      <w:divBdr>
        <w:top w:val="none" w:sz="0" w:space="0" w:color="auto"/>
        <w:left w:val="none" w:sz="0" w:space="0" w:color="auto"/>
        <w:bottom w:val="none" w:sz="0" w:space="0" w:color="auto"/>
        <w:right w:val="none" w:sz="0" w:space="0" w:color="auto"/>
      </w:divBdr>
    </w:div>
    <w:div w:id="982657868">
      <w:bodyDiv w:val="1"/>
      <w:marLeft w:val="0"/>
      <w:marRight w:val="0"/>
      <w:marTop w:val="0"/>
      <w:marBottom w:val="0"/>
      <w:divBdr>
        <w:top w:val="none" w:sz="0" w:space="0" w:color="auto"/>
        <w:left w:val="none" w:sz="0" w:space="0" w:color="auto"/>
        <w:bottom w:val="none" w:sz="0" w:space="0" w:color="auto"/>
        <w:right w:val="none" w:sz="0" w:space="0" w:color="auto"/>
      </w:divBdr>
    </w:div>
    <w:div w:id="1551073121">
      <w:bodyDiv w:val="1"/>
      <w:marLeft w:val="0"/>
      <w:marRight w:val="0"/>
      <w:marTop w:val="0"/>
      <w:marBottom w:val="0"/>
      <w:divBdr>
        <w:top w:val="none" w:sz="0" w:space="0" w:color="auto"/>
        <w:left w:val="none" w:sz="0" w:space="0" w:color="auto"/>
        <w:bottom w:val="none" w:sz="0" w:space="0" w:color="auto"/>
        <w:right w:val="none" w:sz="0" w:space="0" w:color="auto"/>
      </w:divBdr>
    </w:div>
    <w:div w:id="1695156934">
      <w:bodyDiv w:val="1"/>
      <w:marLeft w:val="0"/>
      <w:marRight w:val="0"/>
      <w:marTop w:val="0"/>
      <w:marBottom w:val="0"/>
      <w:divBdr>
        <w:top w:val="none" w:sz="0" w:space="0" w:color="auto"/>
        <w:left w:val="none" w:sz="0" w:space="0" w:color="auto"/>
        <w:bottom w:val="none" w:sz="0" w:space="0" w:color="auto"/>
        <w:right w:val="none" w:sz="0" w:space="0" w:color="auto"/>
      </w:divBdr>
    </w:div>
    <w:div w:id="1703629829">
      <w:bodyDiv w:val="1"/>
      <w:marLeft w:val="0"/>
      <w:marRight w:val="0"/>
      <w:marTop w:val="0"/>
      <w:marBottom w:val="0"/>
      <w:divBdr>
        <w:top w:val="none" w:sz="0" w:space="0" w:color="auto"/>
        <w:left w:val="none" w:sz="0" w:space="0" w:color="auto"/>
        <w:bottom w:val="none" w:sz="0" w:space="0" w:color="auto"/>
        <w:right w:val="none" w:sz="0" w:space="0" w:color="auto"/>
      </w:divBdr>
    </w:div>
    <w:div w:id="1722557161">
      <w:bodyDiv w:val="1"/>
      <w:marLeft w:val="0"/>
      <w:marRight w:val="0"/>
      <w:marTop w:val="0"/>
      <w:marBottom w:val="0"/>
      <w:divBdr>
        <w:top w:val="none" w:sz="0" w:space="0" w:color="auto"/>
        <w:left w:val="none" w:sz="0" w:space="0" w:color="auto"/>
        <w:bottom w:val="none" w:sz="0" w:space="0" w:color="auto"/>
        <w:right w:val="none" w:sz="0" w:space="0" w:color="auto"/>
      </w:divBdr>
    </w:div>
    <w:div w:id="1944653203">
      <w:bodyDiv w:val="1"/>
      <w:marLeft w:val="0"/>
      <w:marRight w:val="0"/>
      <w:marTop w:val="0"/>
      <w:marBottom w:val="0"/>
      <w:divBdr>
        <w:top w:val="none" w:sz="0" w:space="0" w:color="auto"/>
        <w:left w:val="none" w:sz="0" w:space="0" w:color="auto"/>
        <w:bottom w:val="none" w:sz="0" w:space="0" w:color="auto"/>
        <w:right w:val="none" w:sz="0" w:space="0" w:color="auto"/>
      </w:divBdr>
    </w:div>
    <w:div w:id="197559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lukasiewicz.gov.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cinea.ec.europa.eu/programmes/connecting-europe-facility_en" TargetMode="External"/><Relationship Id="rId2" Type="http://schemas.openxmlformats.org/officeDocument/2006/relationships/customXml" Target="../customXml/item2.xml"/><Relationship Id="rId16" Type="http://schemas.openxmlformats.org/officeDocument/2006/relationships/hyperlink" Target="https://www.kpk.gov.pl/inne-programy/instrument-laczac-europ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hart" Target="charts/char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1"/>
          <c:tx>
            <c:strRef>
              <c:f>'Nakl PLN''24 wykres KPEiK''2019'!$B$8</c:f>
              <c:strCache>
                <c:ptCount val="1"/>
                <c:pt idx="0">
                  <c:v>Przemysł</c:v>
                </c:pt>
              </c:strCache>
            </c:strRef>
          </c:tx>
          <c:spPr>
            <a:solidFill>
              <a:schemeClr val="accent3">
                <a:lumMod val="75000"/>
              </a:schemeClr>
            </a:solidFill>
            <a:ln>
              <a:noFill/>
            </a:ln>
            <a:effectLst/>
          </c:spPr>
          <c:invertIfNegative val="0"/>
          <c:cat>
            <c:multiLvlStrRef>
              <c:f>'Nakl PLN''24 wykres KPEiK''2019'!$C$5:$V$6</c:f>
              <c:multiLvlStrCache>
                <c:ptCount val="20"/>
                <c:lvl>
                  <c:pt idx="0">
                    <c:v>KPEiK 2019</c:v>
                  </c:pt>
                  <c:pt idx="1">
                    <c:v>WEM</c:v>
                  </c:pt>
                  <c:pt idx="2">
                    <c:v>WAM</c:v>
                  </c:pt>
                  <c:pt idx="3">
                    <c:v>KPEiK 2019</c:v>
                  </c:pt>
                  <c:pt idx="4">
                    <c:v>WEM</c:v>
                  </c:pt>
                  <c:pt idx="5">
                    <c:v>WAM</c:v>
                  </c:pt>
                  <c:pt idx="6">
                    <c:v>KPEiK 2019</c:v>
                  </c:pt>
                  <c:pt idx="7">
                    <c:v>WEM</c:v>
                  </c:pt>
                  <c:pt idx="8">
                    <c:v>WAM</c:v>
                  </c:pt>
                  <c:pt idx="9">
                    <c:v>KPEiK 2019</c:v>
                  </c:pt>
                  <c:pt idx="10">
                    <c:v>WEM</c:v>
                  </c:pt>
                  <c:pt idx="11">
                    <c:v>WAM</c:v>
                  </c:pt>
                  <c:pt idx="12">
                    <c:v>WEM</c:v>
                  </c:pt>
                  <c:pt idx="13">
                    <c:v>WAM</c:v>
                  </c:pt>
                  <c:pt idx="14">
                    <c:v>WEM</c:v>
                  </c:pt>
                  <c:pt idx="15">
                    <c:v>WAM</c:v>
                  </c:pt>
                  <c:pt idx="16">
                    <c:v>WEM</c:v>
                  </c:pt>
                  <c:pt idx="17">
                    <c:v>WAM</c:v>
                  </c:pt>
                  <c:pt idx="18">
                    <c:v>WEM</c:v>
                  </c:pt>
                  <c:pt idx="19">
                    <c:v>WAM</c:v>
                  </c:pt>
                </c:lvl>
                <c:lvl>
                  <c:pt idx="0">
                    <c:v>2021-2025</c:v>
                  </c:pt>
                  <c:pt idx="3">
                    <c:v>2026-2030</c:v>
                  </c:pt>
                  <c:pt idx="6">
                    <c:v>2031-2035</c:v>
                  </c:pt>
                  <c:pt idx="9">
                    <c:v>2036-2040</c:v>
                  </c:pt>
                  <c:pt idx="12">
                    <c:v>2041-2045</c:v>
                  </c:pt>
                  <c:pt idx="14">
                    <c:v>2046-2050</c:v>
                  </c:pt>
                  <c:pt idx="16">
                    <c:v>suma 2021-2050</c:v>
                  </c:pt>
                  <c:pt idx="18">
                    <c:v>suma 2026-2050</c:v>
                  </c:pt>
                </c:lvl>
              </c:multiLvlStrCache>
              <c:extLst/>
            </c:multiLvlStrRef>
          </c:cat>
          <c:val>
            <c:numRef>
              <c:f>'Nakl PLN''24 wykres KPEiK''2019'!$C$8:$N$8</c:f>
              <c:numCache>
                <c:formatCode>#,##0</c:formatCode>
                <c:ptCount val="12"/>
                <c:pt idx="0">
                  <c:v>0</c:v>
                </c:pt>
                <c:pt idx="1">
                  <c:v>42726.377116409465</c:v>
                </c:pt>
                <c:pt idx="2">
                  <c:v>41593.180746289378</c:v>
                </c:pt>
                <c:pt idx="3">
                  <c:v>0</c:v>
                </c:pt>
                <c:pt idx="4">
                  <c:v>34209.126979700435</c:v>
                </c:pt>
                <c:pt idx="5">
                  <c:v>37048.21035860345</c:v>
                </c:pt>
                <c:pt idx="6">
                  <c:v>0</c:v>
                </c:pt>
                <c:pt idx="7">
                  <c:v>38985.610604292626</c:v>
                </c:pt>
                <c:pt idx="8">
                  <c:v>47563.785277029616</c:v>
                </c:pt>
                <c:pt idx="9">
                  <c:v>0</c:v>
                </c:pt>
                <c:pt idx="10">
                  <c:v>38473.844501657746</c:v>
                </c:pt>
                <c:pt idx="11">
                  <c:v>60315.290667681984</c:v>
                </c:pt>
              </c:numCache>
              <c:extLst/>
            </c:numRef>
          </c:val>
          <c:extLst>
            <c:ext xmlns:c16="http://schemas.microsoft.com/office/drawing/2014/chart" uri="{C3380CC4-5D6E-409C-BE32-E72D297353CC}">
              <c16:uniqueId val="{00000000-CC63-473E-9B70-2D143E049A74}"/>
            </c:ext>
          </c:extLst>
        </c:ser>
        <c:ser>
          <c:idx val="2"/>
          <c:order val="2"/>
          <c:tx>
            <c:strRef>
              <c:f>'Nakl PLN''24 wykres KPEiK''2019'!$B$9</c:f>
              <c:strCache>
                <c:ptCount val="1"/>
                <c:pt idx="0">
                  <c:v>Transport</c:v>
                </c:pt>
              </c:strCache>
            </c:strRef>
          </c:tx>
          <c:spPr>
            <a:solidFill>
              <a:schemeClr val="accent3"/>
            </a:solidFill>
            <a:ln>
              <a:noFill/>
            </a:ln>
            <a:effectLst/>
          </c:spPr>
          <c:invertIfNegative val="0"/>
          <c:cat>
            <c:multiLvlStrRef>
              <c:f>'Nakl PLN''24 wykres KPEiK''2019'!$C$5:$V$6</c:f>
              <c:multiLvlStrCache>
                <c:ptCount val="20"/>
                <c:lvl>
                  <c:pt idx="0">
                    <c:v>KPEiK 2019</c:v>
                  </c:pt>
                  <c:pt idx="1">
                    <c:v>WEM</c:v>
                  </c:pt>
                  <c:pt idx="2">
                    <c:v>WAM</c:v>
                  </c:pt>
                  <c:pt idx="3">
                    <c:v>KPEiK 2019</c:v>
                  </c:pt>
                  <c:pt idx="4">
                    <c:v>WEM</c:v>
                  </c:pt>
                  <c:pt idx="5">
                    <c:v>WAM</c:v>
                  </c:pt>
                  <c:pt idx="6">
                    <c:v>KPEiK 2019</c:v>
                  </c:pt>
                  <c:pt idx="7">
                    <c:v>WEM</c:v>
                  </c:pt>
                  <c:pt idx="8">
                    <c:v>WAM</c:v>
                  </c:pt>
                  <c:pt idx="9">
                    <c:v>KPEiK 2019</c:v>
                  </c:pt>
                  <c:pt idx="10">
                    <c:v>WEM</c:v>
                  </c:pt>
                  <c:pt idx="11">
                    <c:v>WAM</c:v>
                  </c:pt>
                  <c:pt idx="12">
                    <c:v>WEM</c:v>
                  </c:pt>
                  <c:pt idx="13">
                    <c:v>WAM</c:v>
                  </c:pt>
                  <c:pt idx="14">
                    <c:v>WEM</c:v>
                  </c:pt>
                  <c:pt idx="15">
                    <c:v>WAM</c:v>
                  </c:pt>
                  <c:pt idx="16">
                    <c:v>WEM</c:v>
                  </c:pt>
                  <c:pt idx="17">
                    <c:v>WAM</c:v>
                  </c:pt>
                  <c:pt idx="18">
                    <c:v>WEM</c:v>
                  </c:pt>
                  <c:pt idx="19">
                    <c:v>WAM</c:v>
                  </c:pt>
                </c:lvl>
                <c:lvl>
                  <c:pt idx="0">
                    <c:v>2021-2025</c:v>
                  </c:pt>
                  <c:pt idx="3">
                    <c:v>2026-2030</c:v>
                  </c:pt>
                  <c:pt idx="6">
                    <c:v>2031-2035</c:v>
                  </c:pt>
                  <c:pt idx="9">
                    <c:v>2036-2040</c:v>
                  </c:pt>
                  <c:pt idx="12">
                    <c:v>2041-2045</c:v>
                  </c:pt>
                  <c:pt idx="14">
                    <c:v>2046-2050</c:v>
                  </c:pt>
                  <c:pt idx="16">
                    <c:v>suma 2021-2050</c:v>
                  </c:pt>
                  <c:pt idx="18">
                    <c:v>suma 2026-2050</c:v>
                  </c:pt>
                </c:lvl>
              </c:multiLvlStrCache>
              <c:extLst/>
            </c:multiLvlStrRef>
          </c:cat>
          <c:val>
            <c:numRef>
              <c:f>'Nakl PLN''24 wykres KPEiK''2019'!$C$9:$N$9</c:f>
              <c:numCache>
                <c:formatCode>#,##0</c:formatCode>
                <c:ptCount val="12"/>
                <c:pt idx="0">
                  <c:v>0</c:v>
                </c:pt>
                <c:pt idx="1">
                  <c:v>288697.00642209884</c:v>
                </c:pt>
                <c:pt idx="2">
                  <c:v>254274.64356630054</c:v>
                </c:pt>
                <c:pt idx="3">
                  <c:v>0</c:v>
                </c:pt>
                <c:pt idx="4">
                  <c:v>236496.86395334132</c:v>
                </c:pt>
                <c:pt idx="5">
                  <c:v>206997.20360860231</c:v>
                </c:pt>
                <c:pt idx="6">
                  <c:v>0</c:v>
                </c:pt>
                <c:pt idx="7">
                  <c:v>122525.33440583358</c:v>
                </c:pt>
                <c:pt idx="8">
                  <c:v>182773.60808388478</c:v>
                </c:pt>
                <c:pt idx="9">
                  <c:v>0</c:v>
                </c:pt>
                <c:pt idx="10">
                  <c:v>99812.667374609475</c:v>
                </c:pt>
                <c:pt idx="11">
                  <c:v>152311.34006990399</c:v>
                </c:pt>
              </c:numCache>
              <c:extLst/>
            </c:numRef>
          </c:val>
          <c:extLst>
            <c:ext xmlns:c16="http://schemas.microsoft.com/office/drawing/2014/chart" uri="{C3380CC4-5D6E-409C-BE32-E72D297353CC}">
              <c16:uniqueId val="{00000001-CC63-473E-9B70-2D143E049A74}"/>
            </c:ext>
          </c:extLst>
        </c:ser>
        <c:ser>
          <c:idx val="3"/>
          <c:order val="3"/>
          <c:tx>
            <c:strRef>
              <c:f>'Nakl PLN''24 wykres KPEiK''2019'!$B$10</c:f>
              <c:strCache>
                <c:ptCount val="1"/>
                <c:pt idx="0">
                  <c:v>Gospodarstwa domowe</c:v>
                </c:pt>
              </c:strCache>
            </c:strRef>
          </c:tx>
          <c:spPr>
            <a:solidFill>
              <a:schemeClr val="accent4"/>
            </a:solidFill>
            <a:ln>
              <a:noFill/>
            </a:ln>
            <a:effectLst/>
          </c:spPr>
          <c:invertIfNegative val="0"/>
          <c:cat>
            <c:multiLvlStrRef>
              <c:f>'Nakl PLN''24 wykres KPEiK''2019'!$C$5:$V$6</c:f>
              <c:multiLvlStrCache>
                <c:ptCount val="20"/>
                <c:lvl>
                  <c:pt idx="0">
                    <c:v>KPEiK 2019</c:v>
                  </c:pt>
                  <c:pt idx="1">
                    <c:v>WEM</c:v>
                  </c:pt>
                  <c:pt idx="2">
                    <c:v>WAM</c:v>
                  </c:pt>
                  <c:pt idx="3">
                    <c:v>KPEiK 2019</c:v>
                  </c:pt>
                  <c:pt idx="4">
                    <c:v>WEM</c:v>
                  </c:pt>
                  <c:pt idx="5">
                    <c:v>WAM</c:v>
                  </c:pt>
                  <c:pt idx="6">
                    <c:v>KPEiK 2019</c:v>
                  </c:pt>
                  <c:pt idx="7">
                    <c:v>WEM</c:v>
                  </c:pt>
                  <c:pt idx="8">
                    <c:v>WAM</c:v>
                  </c:pt>
                  <c:pt idx="9">
                    <c:v>KPEiK 2019</c:v>
                  </c:pt>
                  <c:pt idx="10">
                    <c:v>WEM</c:v>
                  </c:pt>
                  <c:pt idx="11">
                    <c:v>WAM</c:v>
                  </c:pt>
                  <c:pt idx="12">
                    <c:v>WEM</c:v>
                  </c:pt>
                  <c:pt idx="13">
                    <c:v>WAM</c:v>
                  </c:pt>
                  <c:pt idx="14">
                    <c:v>WEM</c:v>
                  </c:pt>
                  <c:pt idx="15">
                    <c:v>WAM</c:v>
                  </c:pt>
                  <c:pt idx="16">
                    <c:v>WEM</c:v>
                  </c:pt>
                  <c:pt idx="17">
                    <c:v>WAM</c:v>
                  </c:pt>
                  <c:pt idx="18">
                    <c:v>WEM</c:v>
                  </c:pt>
                  <c:pt idx="19">
                    <c:v>WAM</c:v>
                  </c:pt>
                </c:lvl>
                <c:lvl>
                  <c:pt idx="0">
                    <c:v>2021-2025</c:v>
                  </c:pt>
                  <c:pt idx="3">
                    <c:v>2026-2030</c:v>
                  </c:pt>
                  <c:pt idx="6">
                    <c:v>2031-2035</c:v>
                  </c:pt>
                  <c:pt idx="9">
                    <c:v>2036-2040</c:v>
                  </c:pt>
                  <c:pt idx="12">
                    <c:v>2041-2045</c:v>
                  </c:pt>
                  <c:pt idx="14">
                    <c:v>2046-2050</c:v>
                  </c:pt>
                  <c:pt idx="16">
                    <c:v>suma 2021-2050</c:v>
                  </c:pt>
                  <c:pt idx="18">
                    <c:v>suma 2026-2050</c:v>
                  </c:pt>
                </c:lvl>
              </c:multiLvlStrCache>
              <c:extLst/>
            </c:multiLvlStrRef>
          </c:cat>
          <c:val>
            <c:numRef>
              <c:f>'Nakl PLN''24 wykres KPEiK''2019'!$C$10:$N$10</c:f>
              <c:numCache>
                <c:formatCode>#,##0</c:formatCode>
                <c:ptCount val="12"/>
                <c:pt idx="0">
                  <c:v>0</c:v>
                </c:pt>
                <c:pt idx="1">
                  <c:v>118272.80179108185</c:v>
                </c:pt>
                <c:pt idx="2">
                  <c:v>108591.89301623876</c:v>
                </c:pt>
                <c:pt idx="3">
                  <c:v>0</c:v>
                </c:pt>
                <c:pt idx="4">
                  <c:v>126339.21036118397</c:v>
                </c:pt>
                <c:pt idx="5">
                  <c:v>98734.303086914559</c:v>
                </c:pt>
                <c:pt idx="6">
                  <c:v>0</c:v>
                </c:pt>
                <c:pt idx="7">
                  <c:v>92745.42119536594</c:v>
                </c:pt>
                <c:pt idx="8">
                  <c:v>105661.42283329381</c:v>
                </c:pt>
                <c:pt idx="9">
                  <c:v>0</c:v>
                </c:pt>
                <c:pt idx="10">
                  <c:v>65432.951694030759</c:v>
                </c:pt>
                <c:pt idx="11">
                  <c:v>129878.92590440853</c:v>
                </c:pt>
              </c:numCache>
              <c:extLst/>
            </c:numRef>
          </c:val>
          <c:extLst>
            <c:ext xmlns:c16="http://schemas.microsoft.com/office/drawing/2014/chart" uri="{C3380CC4-5D6E-409C-BE32-E72D297353CC}">
              <c16:uniqueId val="{00000002-CC63-473E-9B70-2D143E049A74}"/>
            </c:ext>
          </c:extLst>
        </c:ser>
        <c:ser>
          <c:idx val="4"/>
          <c:order val="4"/>
          <c:tx>
            <c:strRef>
              <c:f>'Nakl PLN''24 wykres KPEiK''2019'!$B$11</c:f>
              <c:strCache>
                <c:ptCount val="1"/>
                <c:pt idx="0">
                  <c:v>Usługi</c:v>
                </c:pt>
              </c:strCache>
            </c:strRef>
          </c:tx>
          <c:spPr>
            <a:solidFill>
              <a:schemeClr val="accent5"/>
            </a:solidFill>
            <a:ln>
              <a:noFill/>
            </a:ln>
            <a:effectLst/>
          </c:spPr>
          <c:invertIfNegative val="0"/>
          <c:cat>
            <c:multiLvlStrRef>
              <c:f>'Nakl PLN''24 wykres KPEiK''2019'!$C$5:$V$6</c:f>
              <c:multiLvlStrCache>
                <c:ptCount val="20"/>
                <c:lvl>
                  <c:pt idx="0">
                    <c:v>KPEiK 2019</c:v>
                  </c:pt>
                  <c:pt idx="1">
                    <c:v>WEM</c:v>
                  </c:pt>
                  <c:pt idx="2">
                    <c:v>WAM</c:v>
                  </c:pt>
                  <c:pt idx="3">
                    <c:v>KPEiK 2019</c:v>
                  </c:pt>
                  <c:pt idx="4">
                    <c:v>WEM</c:v>
                  </c:pt>
                  <c:pt idx="5">
                    <c:v>WAM</c:v>
                  </c:pt>
                  <c:pt idx="6">
                    <c:v>KPEiK 2019</c:v>
                  </c:pt>
                  <c:pt idx="7">
                    <c:v>WEM</c:v>
                  </c:pt>
                  <c:pt idx="8">
                    <c:v>WAM</c:v>
                  </c:pt>
                  <c:pt idx="9">
                    <c:v>KPEiK 2019</c:v>
                  </c:pt>
                  <c:pt idx="10">
                    <c:v>WEM</c:v>
                  </c:pt>
                  <c:pt idx="11">
                    <c:v>WAM</c:v>
                  </c:pt>
                  <c:pt idx="12">
                    <c:v>WEM</c:v>
                  </c:pt>
                  <c:pt idx="13">
                    <c:v>WAM</c:v>
                  </c:pt>
                  <c:pt idx="14">
                    <c:v>WEM</c:v>
                  </c:pt>
                  <c:pt idx="15">
                    <c:v>WAM</c:v>
                  </c:pt>
                  <c:pt idx="16">
                    <c:v>WEM</c:v>
                  </c:pt>
                  <c:pt idx="17">
                    <c:v>WAM</c:v>
                  </c:pt>
                  <c:pt idx="18">
                    <c:v>WEM</c:v>
                  </c:pt>
                  <c:pt idx="19">
                    <c:v>WAM</c:v>
                  </c:pt>
                </c:lvl>
                <c:lvl>
                  <c:pt idx="0">
                    <c:v>2021-2025</c:v>
                  </c:pt>
                  <c:pt idx="3">
                    <c:v>2026-2030</c:v>
                  </c:pt>
                  <c:pt idx="6">
                    <c:v>2031-2035</c:v>
                  </c:pt>
                  <c:pt idx="9">
                    <c:v>2036-2040</c:v>
                  </c:pt>
                  <c:pt idx="12">
                    <c:v>2041-2045</c:v>
                  </c:pt>
                  <c:pt idx="14">
                    <c:v>2046-2050</c:v>
                  </c:pt>
                  <c:pt idx="16">
                    <c:v>suma 2021-2050</c:v>
                  </c:pt>
                  <c:pt idx="18">
                    <c:v>suma 2026-2050</c:v>
                  </c:pt>
                </c:lvl>
              </c:multiLvlStrCache>
              <c:extLst/>
            </c:multiLvlStrRef>
          </c:cat>
          <c:val>
            <c:numRef>
              <c:f>'Nakl PLN''24 wykres KPEiK''2019'!$C$11:$N$11</c:f>
              <c:numCache>
                <c:formatCode>#,##0</c:formatCode>
                <c:ptCount val="12"/>
                <c:pt idx="0">
                  <c:v>0</c:v>
                </c:pt>
                <c:pt idx="1">
                  <c:v>11429.442958845595</c:v>
                </c:pt>
                <c:pt idx="2">
                  <c:v>13933.441389594816</c:v>
                </c:pt>
                <c:pt idx="3">
                  <c:v>0</c:v>
                </c:pt>
                <c:pt idx="4">
                  <c:v>8322.2916214195538</c:v>
                </c:pt>
                <c:pt idx="5">
                  <c:v>11118.727825102991</c:v>
                </c:pt>
                <c:pt idx="6">
                  <c:v>0</c:v>
                </c:pt>
                <c:pt idx="7">
                  <c:v>7109.8933544631182</c:v>
                </c:pt>
                <c:pt idx="8">
                  <c:v>9754.0182180766515</c:v>
                </c:pt>
                <c:pt idx="9">
                  <c:v>0</c:v>
                </c:pt>
                <c:pt idx="10">
                  <c:v>6866.1952103512713</c:v>
                </c:pt>
                <c:pt idx="11">
                  <c:v>9400.6559091144754</c:v>
                </c:pt>
              </c:numCache>
              <c:extLst/>
            </c:numRef>
          </c:val>
          <c:extLst>
            <c:ext xmlns:c16="http://schemas.microsoft.com/office/drawing/2014/chart" uri="{C3380CC4-5D6E-409C-BE32-E72D297353CC}">
              <c16:uniqueId val="{00000003-CC63-473E-9B70-2D143E049A74}"/>
            </c:ext>
          </c:extLst>
        </c:ser>
        <c:ser>
          <c:idx val="5"/>
          <c:order val="5"/>
          <c:tx>
            <c:strRef>
              <c:f>'Nakl PLN''24 wykres KPEiK''2019'!$B$12</c:f>
              <c:strCache>
                <c:ptCount val="1"/>
                <c:pt idx="0">
                  <c:v>Rolnictwo</c:v>
                </c:pt>
              </c:strCache>
            </c:strRef>
          </c:tx>
          <c:spPr>
            <a:solidFill>
              <a:schemeClr val="accent6"/>
            </a:solidFill>
            <a:ln>
              <a:noFill/>
            </a:ln>
            <a:effectLst/>
          </c:spPr>
          <c:invertIfNegative val="0"/>
          <c:cat>
            <c:multiLvlStrRef>
              <c:f>'Nakl PLN''24 wykres KPEiK''2019'!$C$5:$V$6</c:f>
              <c:multiLvlStrCache>
                <c:ptCount val="20"/>
                <c:lvl>
                  <c:pt idx="0">
                    <c:v>KPEiK 2019</c:v>
                  </c:pt>
                  <c:pt idx="1">
                    <c:v>WEM</c:v>
                  </c:pt>
                  <c:pt idx="2">
                    <c:v>WAM</c:v>
                  </c:pt>
                  <c:pt idx="3">
                    <c:v>KPEiK 2019</c:v>
                  </c:pt>
                  <c:pt idx="4">
                    <c:v>WEM</c:v>
                  </c:pt>
                  <c:pt idx="5">
                    <c:v>WAM</c:v>
                  </c:pt>
                  <c:pt idx="6">
                    <c:v>KPEiK 2019</c:v>
                  </c:pt>
                  <c:pt idx="7">
                    <c:v>WEM</c:v>
                  </c:pt>
                  <c:pt idx="8">
                    <c:v>WAM</c:v>
                  </c:pt>
                  <c:pt idx="9">
                    <c:v>KPEiK 2019</c:v>
                  </c:pt>
                  <c:pt idx="10">
                    <c:v>WEM</c:v>
                  </c:pt>
                  <c:pt idx="11">
                    <c:v>WAM</c:v>
                  </c:pt>
                  <c:pt idx="12">
                    <c:v>WEM</c:v>
                  </c:pt>
                  <c:pt idx="13">
                    <c:v>WAM</c:v>
                  </c:pt>
                  <c:pt idx="14">
                    <c:v>WEM</c:v>
                  </c:pt>
                  <c:pt idx="15">
                    <c:v>WAM</c:v>
                  </c:pt>
                  <c:pt idx="16">
                    <c:v>WEM</c:v>
                  </c:pt>
                  <c:pt idx="17">
                    <c:v>WAM</c:v>
                  </c:pt>
                  <c:pt idx="18">
                    <c:v>WEM</c:v>
                  </c:pt>
                  <c:pt idx="19">
                    <c:v>WAM</c:v>
                  </c:pt>
                </c:lvl>
                <c:lvl>
                  <c:pt idx="0">
                    <c:v>2021-2025</c:v>
                  </c:pt>
                  <c:pt idx="3">
                    <c:v>2026-2030</c:v>
                  </c:pt>
                  <c:pt idx="6">
                    <c:v>2031-2035</c:v>
                  </c:pt>
                  <c:pt idx="9">
                    <c:v>2036-2040</c:v>
                  </c:pt>
                  <c:pt idx="12">
                    <c:v>2041-2045</c:v>
                  </c:pt>
                  <c:pt idx="14">
                    <c:v>2046-2050</c:v>
                  </c:pt>
                  <c:pt idx="16">
                    <c:v>suma 2021-2050</c:v>
                  </c:pt>
                  <c:pt idx="18">
                    <c:v>suma 2026-2050</c:v>
                  </c:pt>
                </c:lvl>
              </c:multiLvlStrCache>
              <c:extLst/>
            </c:multiLvlStrRef>
          </c:cat>
          <c:val>
            <c:numRef>
              <c:f>'Nakl PLN''24 wykres KPEiK''2019'!$C$12:$N$12</c:f>
              <c:numCache>
                <c:formatCode>#,##0</c:formatCode>
                <c:ptCount val="12"/>
                <c:pt idx="0">
                  <c:v>0</c:v>
                </c:pt>
                <c:pt idx="1">
                  <c:v>31132.437910288376</c:v>
                </c:pt>
                <c:pt idx="2">
                  <c:v>34044.630732424936</c:v>
                </c:pt>
                <c:pt idx="3">
                  <c:v>0</c:v>
                </c:pt>
                <c:pt idx="4">
                  <c:v>27519.612923830256</c:v>
                </c:pt>
                <c:pt idx="5">
                  <c:v>31400.505868811408</c:v>
                </c:pt>
                <c:pt idx="6">
                  <c:v>0</c:v>
                </c:pt>
                <c:pt idx="7">
                  <c:v>24321.074782362273</c:v>
                </c:pt>
                <c:pt idx="8">
                  <c:v>27860.79032558684</c:v>
                </c:pt>
                <c:pt idx="9">
                  <c:v>0</c:v>
                </c:pt>
                <c:pt idx="10">
                  <c:v>21500.26876426765</c:v>
                </c:pt>
                <c:pt idx="11">
                  <c:v>24113.931359867198</c:v>
                </c:pt>
              </c:numCache>
              <c:extLst/>
            </c:numRef>
          </c:val>
          <c:extLst>
            <c:ext xmlns:c16="http://schemas.microsoft.com/office/drawing/2014/chart" uri="{C3380CC4-5D6E-409C-BE32-E72D297353CC}">
              <c16:uniqueId val="{00000004-CC63-473E-9B70-2D143E049A74}"/>
            </c:ext>
          </c:extLst>
        </c:ser>
        <c:ser>
          <c:idx val="6"/>
          <c:order val="6"/>
          <c:tx>
            <c:strRef>
              <c:f>'Nakl PLN''24 wykres KPEiK''2019'!$B$13</c:f>
              <c:strCache>
                <c:ptCount val="1"/>
                <c:pt idx="0">
                  <c:v>Produkcja energii elektrycznej</c:v>
                </c:pt>
              </c:strCache>
            </c:strRef>
          </c:tx>
          <c:spPr>
            <a:solidFill>
              <a:schemeClr val="accent1">
                <a:lumMod val="60000"/>
              </a:schemeClr>
            </a:solidFill>
            <a:ln>
              <a:noFill/>
            </a:ln>
            <a:effectLst/>
          </c:spPr>
          <c:invertIfNegative val="0"/>
          <c:cat>
            <c:multiLvlStrRef>
              <c:f>'Nakl PLN''24 wykres KPEiK''2019'!$C$5:$V$6</c:f>
              <c:multiLvlStrCache>
                <c:ptCount val="20"/>
                <c:lvl>
                  <c:pt idx="0">
                    <c:v>KPEiK 2019</c:v>
                  </c:pt>
                  <c:pt idx="1">
                    <c:v>WEM</c:v>
                  </c:pt>
                  <c:pt idx="2">
                    <c:v>WAM</c:v>
                  </c:pt>
                  <c:pt idx="3">
                    <c:v>KPEiK 2019</c:v>
                  </c:pt>
                  <c:pt idx="4">
                    <c:v>WEM</c:v>
                  </c:pt>
                  <c:pt idx="5">
                    <c:v>WAM</c:v>
                  </c:pt>
                  <c:pt idx="6">
                    <c:v>KPEiK 2019</c:v>
                  </c:pt>
                  <c:pt idx="7">
                    <c:v>WEM</c:v>
                  </c:pt>
                  <c:pt idx="8">
                    <c:v>WAM</c:v>
                  </c:pt>
                  <c:pt idx="9">
                    <c:v>KPEiK 2019</c:v>
                  </c:pt>
                  <c:pt idx="10">
                    <c:v>WEM</c:v>
                  </c:pt>
                  <c:pt idx="11">
                    <c:v>WAM</c:v>
                  </c:pt>
                  <c:pt idx="12">
                    <c:v>WEM</c:v>
                  </c:pt>
                  <c:pt idx="13">
                    <c:v>WAM</c:v>
                  </c:pt>
                  <c:pt idx="14">
                    <c:v>WEM</c:v>
                  </c:pt>
                  <c:pt idx="15">
                    <c:v>WAM</c:v>
                  </c:pt>
                  <c:pt idx="16">
                    <c:v>WEM</c:v>
                  </c:pt>
                  <c:pt idx="17">
                    <c:v>WAM</c:v>
                  </c:pt>
                  <c:pt idx="18">
                    <c:v>WEM</c:v>
                  </c:pt>
                  <c:pt idx="19">
                    <c:v>WAM</c:v>
                  </c:pt>
                </c:lvl>
                <c:lvl>
                  <c:pt idx="0">
                    <c:v>2021-2025</c:v>
                  </c:pt>
                  <c:pt idx="3">
                    <c:v>2026-2030</c:v>
                  </c:pt>
                  <c:pt idx="6">
                    <c:v>2031-2035</c:v>
                  </c:pt>
                  <c:pt idx="9">
                    <c:v>2036-2040</c:v>
                  </c:pt>
                  <c:pt idx="12">
                    <c:v>2041-2045</c:v>
                  </c:pt>
                  <c:pt idx="14">
                    <c:v>2046-2050</c:v>
                  </c:pt>
                  <c:pt idx="16">
                    <c:v>suma 2021-2050</c:v>
                  </c:pt>
                  <c:pt idx="18">
                    <c:v>suma 2026-2050</c:v>
                  </c:pt>
                </c:lvl>
              </c:multiLvlStrCache>
              <c:extLst/>
            </c:multiLvlStrRef>
          </c:cat>
          <c:val>
            <c:numRef>
              <c:f>'Nakl PLN''24 wykres KPEiK''2019'!$C$13:$N$13</c:f>
              <c:numCache>
                <c:formatCode>#,##0</c:formatCode>
                <c:ptCount val="12"/>
                <c:pt idx="0">
                  <c:v>0</c:v>
                </c:pt>
                <c:pt idx="1">
                  <c:v>198309.36477101498</c:v>
                </c:pt>
                <c:pt idx="2">
                  <c:v>224994.31155126216</c:v>
                </c:pt>
                <c:pt idx="3">
                  <c:v>0</c:v>
                </c:pt>
                <c:pt idx="4">
                  <c:v>277243.19364884205</c:v>
                </c:pt>
                <c:pt idx="5">
                  <c:v>289001.62910223863</c:v>
                </c:pt>
                <c:pt idx="6">
                  <c:v>0</c:v>
                </c:pt>
                <c:pt idx="7">
                  <c:v>180513.3077972474</c:v>
                </c:pt>
                <c:pt idx="8">
                  <c:v>352978.48438520113</c:v>
                </c:pt>
                <c:pt idx="9">
                  <c:v>0</c:v>
                </c:pt>
                <c:pt idx="10">
                  <c:v>435196.14575493528</c:v>
                </c:pt>
                <c:pt idx="11">
                  <c:v>518400.78460832243</c:v>
                </c:pt>
              </c:numCache>
              <c:extLst/>
            </c:numRef>
          </c:val>
          <c:extLst>
            <c:ext xmlns:c16="http://schemas.microsoft.com/office/drawing/2014/chart" uri="{C3380CC4-5D6E-409C-BE32-E72D297353CC}">
              <c16:uniqueId val="{00000005-CC63-473E-9B70-2D143E049A74}"/>
            </c:ext>
          </c:extLst>
        </c:ser>
        <c:ser>
          <c:idx val="7"/>
          <c:order val="7"/>
          <c:tx>
            <c:strRef>
              <c:f>'Nakl PLN''24 wykres KPEiK''2019'!$B$14</c:f>
              <c:strCache>
                <c:ptCount val="1"/>
                <c:pt idx="0">
                  <c:v>Przesył i dystrybucja energii elektrycznej</c:v>
                </c:pt>
              </c:strCache>
            </c:strRef>
          </c:tx>
          <c:spPr>
            <a:solidFill>
              <a:schemeClr val="accent5"/>
            </a:solidFill>
            <a:ln>
              <a:noFill/>
            </a:ln>
            <a:effectLst/>
          </c:spPr>
          <c:invertIfNegative val="0"/>
          <c:cat>
            <c:multiLvlStrRef>
              <c:f>'Nakl PLN''24 wykres KPEiK''2019'!$C$5:$V$6</c:f>
              <c:multiLvlStrCache>
                <c:ptCount val="20"/>
                <c:lvl>
                  <c:pt idx="0">
                    <c:v>KPEiK 2019</c:v>
                  </c:pt>
                  <c:pt idx="1">
                    <c:v>WEM</c:v>
                  </c:pt>
                  <c:pt idx="2">
                    <c:v>WAM</c:v>
                  </c:pt>
                  <c:pt idx="3">
                    <c:v>KPEiK 2019</c:v>
                  </c:pt>
                  <c:pt idx="4">
                    <c:v>WEM</c:v>
                  </c:pt>
                  <c:pt idx="5">
                    <c:v>WAM</c:v>
                  </c:pt>
                  <c:pt idx="6">
                    <c:v>KPEiK 2019</c:v>
                  </c:pt>
                  <c:pt idx="7">
                    <c:v>WEM</c:v>
                  </c:pt>
                  <c:pt idx="8">
                    <c:v>WAM</c:v>
                  </c:pt>
                  <c:pt idx="9">
                    <c:v>KPEiK 2019</c:v>
                  </c:pt>
                  <c:pt idx="10">
                    <c:v>WEM</c:v>
                  </c:pt>
                  <c:pt idx="11">
                    <c:v>WAM</c:v>
                  </c:pt>
                  <c:pt idx="12">
                    <c:v>WEM</c:v>
                  </c:pt>
                  <c:pt idx="13">
                    <c:v>WAM</c:v>
                  </c:pt>
                  <c:pt idx="14">
                    <c:v>WEM</c:v>
                  </c:pt>
                  <c:pt idx="15">
                    <c:v>WAM</c:v>
                  </c:pt>
                  <c:pt idx="16">
                    <c:v>WEM</c:v>
                  </c:pt>
                  <c:pt idx="17">
                    <c:v>WAM</c:v>
                  </c:pt>
                  <c:pt idx="18">
                    <c:v>WEM</c:v>
                  </c:pt>
                  <c:pt idx="19">
                    <c:v>WAM</c:v>
                  </c:pt>
                </c:lvl>
                <c:lvl>
                  <c:pt idx="0">
                    <c:v>2021-2025</c:v>
                  </c:pt>
                  <c:pt idx="3">
                    <c:v>2026-2030</c:v>
                  </c:pt>
                  <c:pt idx="6">
                    <c:v>2031-2035</c:v>
                  </c:pt>
                  <c:pt idx="9">
                    <c:v>2036-2040</c:v>
                  </c:pt>
                  <c:pt idx="12">
                    <c:v>2041-2045</c:v>
                  </c:pt>
                  <c:pt idx="14">
                    <c:v>2046-2050</c:v>
                  </c:pt>
                  <c:pt idx="16">
                    <c:v>suma 2021-2050</c:v>
                  </c:pt>
                  <c:pt idx="18">
                    <c:v>suma 2026-2050</c:v>
                  </c:pt>
                </c:lvl>
              </c:multiLvlStrCache>
              <c:extLst/>
            </c:multiLvlStrRef>
          </c:cat>
          <c:val>
            <c:numRef>
              <c:f>'Nakl PLN''24 wykres KPEiK''2019'!$C$14:$N$14</c:f>
              <c:numCache>
                <c:formatCode>#,##0</c:formatCode>
                <c:ptCount val="12"/>
                <c:pt idx="0">
                  <c:v>0</c:v>
                </c:pt>
                <c:pt idx="1">
                  <c:v>28884.322530856592</c:v>
                </c:pt>
                <c:pt idx="2">
                  <c:v>26197.550492023485</c:v>
                </c:pt>
                <c:pt idx="3">
                  <c:v>0</c:v>
                </c:pt>
                <c:pt idx="4">
                  <c:v>112905.35016701842</c:v>
                </c:pt>
                <c:pt idx="5">
                  <c:v>159744.1334653153</c:v>
                </c:pt>
                <c:pt idx="6">
                  <c:v>0</c:v>
                </c:pt>
                <c:pt idx="7">
                  <c:v>76600.419147956112</c:v>
                </c:pt>
                <c:pt idx="8">
                  <c:v>112101.14629144933</c:v>
                </c:pt>
                <c:pt idx="9">
                  <c:v>0</c:v>
                </c:pt>
                <c:pt idx="10">
                  <c:v>121306.84368527435</c:v>
                </c:pt>
                <c:pt idx="11">
                  <c:v>97479.257644738551</c:v>
                </c:pt>
              </c:numCache>
              <c:extLst/>
            </c:numRef>
          </c:val>
          <c:extLst>
            <c:ext xmlns:c16="http://schemas.microsoft.com/office/drawing/2014/chart" uri="{C3380CC4-5D6E-409C-BE32-E72D297353CC}">
              <c16:uniqueId val="{00000006-CC63-473E-9B70-2D143E049A74}"/>
            </c:ext>
          </c:extLst>
        </c:ser>
        <c:ser>
          <c:idx val="8"/>
          <c:order val="8"/>
          <c:tx>
            <c:strRef>
              <c:f>'Nakl PLN''24 wykres KPEiK''2019'!$B$15</c:f>
              <c:strCache>
                <c:ptCount val="1"/>
                <c:pt idx="0">
                  <c:v>Produkcja ciepła</c:v>
                </c:pt>
              </c:strCache>
            </c:strRef>
          </c:tx>
          <c:spPr>
            <a:solidFill>
              <a:schemeClr val="accent2"/>
            </a:solidFill>
            <a:ln>
              <a:noFill/>
            </a:ln>
            <a:effectLst/>
          </c:spPr>
          <c:invertIfNegative val="0"/>
          <c:cat>
            <c:multiLvlStrRef>
              <c:f>'Nakl PLN''24 wykres KPEiK''2019'!$C$5:$V$6</c:f>
              <c:multiLvlStrCache>
                <c:ptCount val="20"/>
                <c:lvl>
                  <c:pt idx="0">
                    <c:v>KPEiK 2019</c:v>
                  </c:pt>
                  <c:pt idx="1">
                    <c:v>WEM</c:v>
                  </c:pt>
                  <c:pt idx="2">
                    <c:v>WAM</c:v>
                  </c:pt>
                  <c:pt idx="3">
                    <c:v>KPEiK 2019</c:v>
                  </c:pt>
                  <c:pt idx="4">
                    <c:v>WEM</c:v>
                  </c:pt>
                  <c:pt idx="5">
                    <c:v>WAM</c:v>
                  </c:pt>
                  <c:pt idx="6">
                    <c:v>KPEiK 2019</c:v>
                  </c:pt>
                  <c:pt idx="7">
                    <c:v>WEM</c:v>
                  </c:pt>
                  <c:pt idx="8">
                    <c:v>WAM</c:v>
                  </c:pt>
                  <c:pt idx="9">
                    <c:v>KPEiK 2019</c:v>
                  </c:pt>
                  <c:pt idx="10">
                    <c:v>WEM</c:v>
                  </c:pt>
                  <c:pt idx="11">
                    <c:v>WAM</c:v>
                  </c:pt>
                  <c:pt idx="12">
                    <c:v>WEM</c:v>
                  </c:pt>
                  <c:pt idx="13">
                    <c:v>WAM</c:v>
                  </c:pt>
                  <c:pt idx="14">
                    <c:v>WEM</c:v>
                  </c:pt>
                  <c:pt idx="15">
                    <c:v>WAM</c:v>
                  </c:pt>
                  <c:pt idx="16">
                    <c:v>WEM</c:v>
                  </c:pt>
                  <c:pt idx="17">
                    <c:v>WAM</c:v>
                  </c:pt>
                  <c:pt idx="18">
                    <c:v>WEM</c:v>
                  </c:pt>
                  <c:pt idx="19">
                    <c:v>WAM</c:v>
                  </c:pt>
                </c:lvl>
                <c:lvl>
                  <c:pt idx="0">
                    <c:v>2021-2025</c:v>
                  </c:pt>
                  <c:pt idx="3">
                    <c:v>2026-2030</c:v>
                  </c:pt>
                  <c:pt idx="6">
                    <c:v>2031-2035</c:v>
                  </c:pt>
                  <c:pt idx="9">
                    <c:v>2036-2040</c:v>
                  </c:pt>
                  <c:pt idx="12">
                    <c:v>2041-2045</c:v>
                  </c:pt>
                  <c:pt idx="14">
                    <c:v>2046-2050</c:v>
                  </c:pt>
                  <c:pt idx="16">
                    <c:v>suma 2021-2050</c:v>
                  </c:pt>
                  <c:pt idx="18">
                    <c:v>suma 2026-2050</c:v>
                  </c:pt>
                </c:lvl>
              </c:multiLvlStrCache>
              <c:extLst/>
            </c:multiLvlStrRef>
          </c:cat>
          <c:val>
            <c:numRef>
              <c:f>'Nakl PLN''24 wykres KPEiK''2019'!$C$15:$N$15</c:f>
              <c:numCache>
                <c:formatCode>#,##0</c:formatCode>
                <c:ptCount val="12"/>
                <c:pt idx="0">
                  <c:v>0</c:v>
                </c:pt>
                <c:pt idx="1">
                  <c:v>6110.7309636045484</c:v>
                </c:pt>
                <c:pt idx="2">
                  <c:v>7956.744405251784</c:v>
                </c:pt>
                <c:pt idx="3">
                  <c:v>0</c:v>
                </c:pt>
                <c:pt idx="4">
                  <c:v>7542.4575602616451</c:v>
                </c:pt>
                <c:pt idx="5">
                  <c:v>7853.1726940042499</c:v>
                </c:pt>
                <c:pt idx="6">
                  <c:v>0</c:v>
                </c:pt>
                <c:pt idx="7">
                  <c:v>10320.616403136695</c:v>
                </c:pt>
                <c:pt idx="8">
                  <c:v>16717.69268607266</c:v>
                </c:pt>
                <c:pt idx="9">
                  <c:v>0</c:v>
                </c:pt>
                <c:pt idx="10">
                  <c:v>14457.392399435286</c:v>
                </c:pt>
                <c:pt idx="11">
                  <c:v>22213.085835794798</c:v>
                </c:pt>
              </c:numCache>
              <c:extLst/>
            </c:numRef>
          </c:val>
          <c:extLst>
            <c:ext xmlns:c16="http://schemas.microsoft.com/office/drawing/2014/chart" uri="{C3380CC4-5D6E-409C-BE32-E72D297353CC}">
              <c16:uniqueId val="{00000007-CC63-473E-9B70-2D143E049A74}"/>
            </c:ext>
          </c:extLst>
        </c:ser>
        <c:ser>
          <c:idx val="9"/>
          <c:order val="9"/>
          <c:tx>
            <c:strRef>
              <c:f>'Nakl PLN''24 wykres KPEiK''2019'!$B$16</c:f>
              <c:strCache>
                <c:ptCount val="1"/>
                <c:pt idx="0">
                  <c:v>Dystrybucja ciepła</c:v>
                </c:pt>
              </c:strCache>
            </c:strRef>
          </c:tx>
          <c:spPr>
            <a:solidFill>
              <a:schemeClr val="accent2">
                <a:lumMod val="75000"/>
              </a:schemeClr>
            </a:solidFill>
            <a:ln>
              <a:noFill/>
            </a:ln>
            <a:effectLst/>
          </c:spPr>
          <c:invertIfNegative val="0"/>
          <c:cat>
            <c:multiLvlStrRef>
              <c:f>'Nakl PLN''24 wykres KPEiK''2019'!$C$5:$V$6</c:f>
              <c:multiLvlStrCache>
                <c:ptCount val="20"/>
                <c:lvl>
                  <c:pt idx="0">
                    <c:v>KPEiK 2019</c:v>
                  </c:pt>
                  <c:pt idx="1">
                    <c:v>WEM</c:v>
                  </c:pt>
                  <c:pt idx="2">
                    <c:v>WAM</c:v>
                  </c:pt>
                  <c:pt idx="3">
                    <c:v>KPEiK 2019</c:v>
                  </c:pt>
                  <c:pt idx="4">
                    <c:v>WEM</c:v>
                  </c:pt>
                  <c:pt idx="5">
                    <c:v>WAM</c:v>
                  </c:pt>
                  <c:pt idx="6">
                    <c:v>KPEiK 2019</c:v>
                  </c:pt>
                  <c:pt idx="7">
                    <c:v>WEM</c:v>
                  </c:pt>
                  <c:pt idx="8">
                    <c:v>WAM</c:v>
                  </c:pt>
                  <c:pt idx="9">
                    <c:v>KPEiK 2019</c:v>
                  </c:pt>
                  <c:pt idx="10">
                    <c:v>WEM</c:v>
                  </c:pt>
                  <c:pt idx="11">
                    <c:v>WAM</c:v>
                  </c:pt>
                  <c:pt idx="12">
                    <c:v>WEM</c:v>
                  </c:pt>
                  <c:pt idx="13">
                    <c:v>WAM</c:v>
                  </c:pt>
                  <c:pt idx="14">
                    <c:v>WEM</c:v>
                  </c:pt>
                  <c:pt idx="15">
                    <c:v>WAM</c:v>
                  </c:pt>
                  <c:pt idx="16">
                    <c:v>WEM</c:v>
                  </c:pt>
                  <c:pt idx="17">
                    <c:v>WAM</c:v>
                  </c:pt>
                  <c:pt idx="18">
                    <c:v>WEM</c:v>
                  </c:pt>
                  <c:pt idx="19">
                    <c:v>WAM</c:v>
                  </c:pt>
                </c:lvl>
                <c:lvl>
                  <c:pt idx="0">
                    <c:v>2021-2025</c:v>
                  </c:pt>
                  <c:pt idx="3">
                    <c:v>2026-2030</c:v>
                  </c:pt>
                  <c:pt idx="6">
                    <c:v>2031-2035</c:v>
                  </c:pt>
                  <c:pt idx="9">
                    <c:v>2036-2040</c:v>
                  </c:pt>
                  <c:pt idx="12">
                    <c:v>2041-2045</c:v>
                  </c:pt>
                  <c:pt idx="14">
                    <c:v>2046-2050</c:v>
                  </c:pt>
                  <c:pt idx="16">
                    <c:v>suma 2021-2050</c:v>
                  </c:pt>
                  <c:pt idx="18">
                    <c:v>suma 2026-2050</c:v>
                  </c:pt>
                </c:lvl>
              </c:multiLvlStrCache>
              <c:extLst/>
            </c:multiLvlStrRef>
          </c:cat>
          <c:val>
            <c:numRef>
              <c:f>'Nakl PLN''24 wykres KPEiK''2019'!$C$16:$N$16</c:f>
              <c:numCache>
                <c:formatCode>#,##0</c:formatCode>
                <c:ptCount val="12"/>
                <c:pt idx="0">
                  <c:v>0</c:v>
                </c:pt>
                <c:pt idx="1">
                  <c:v>48739.628822369275</c:v>
                </c:pt>
                <c:pt idx="2">
                  <c:v>48739.628822369275</c:v>
                </c:pt>
                <c:pt idx="3">
                  <c:v>0</c:v>
                </c:pt>
                <c:pt idx="4">
                  <c:v>54832.082425165434</c:v>
                </c:pt>
                <c:pt idx="5">
                  <c:v>67016.989630757758</c:v>
                </c:pt>
                <c:pt idx="6">
                  <c:v>0</c:v>
                </c:pt>
                <c:pt idx="7">
                  <c:v>54832.082425165434</c:v>
                </c:pt>
                <c:pt idx="8">
                  <c:v>67016.989630757758</c:v>
                </c:pt>
                <c:pt idx="9">
                  <c:v>0</c:v>
                </c:pt>
                <c:pt idx="10">
                  <c:v>54832.082425165434</c:v>
                </c:pt>
                <c:pt idx="11">
                  <c:v>60924.5360279616</c:v>
                </c:pt>
              </c:numCache>
              <c:extLst/>
            </c:numRef>
          </c:val>
          <c:extLst>
            <c:ext xmlns:c16="http://schemas.microsoft.com/office/drawing/2014/chart" uri="{C3380CC4-5D6E-409C-BE32-E72D297353CC}">
              <c16:uniqueId val="{00000008-CC63-473E-9B70-2D143E049A74}"/>
            </c:ext>
          </c:extLst>
        </c:ser>
        <c:ser>
          <c:idx val="10"/>
          <c:order val="10"/>
          <c:tx>
            <c:strRef>
              <c:f>'Nakl PLN''24 wykres KPEiK''2019'!$B$17</c:f>
              <c:strCache>
                <c:ptCount val="1"/>
                <c:pt idx="0">
                  <c:v>Sektor gazowy (w tym biometan)</c:v>
                </c:pt>
              </c:strCache>
            </c:strRef>
          </c:tx>
          <c:spPr>
            <a:solidFill>
              <a:schemeClr val="accent5">
                <a:lumMod val="60000"/>
              </a:schemeClr>
            </a:solidFill>
            <a:ln>
              <a:noFill/>
            </a:ln>
            <a:effectLst/>
          </c:spPr>
          <c:invertIfNegative val="0"/>
          <c:cat>
            <c:multiLvlStrRef>
              <c:f>'Nakl PLN''24 wykres KPEiK''2019'!$C$5:$V$6</c:f>
              <c:multiLvlStrCache>
                <c:ptCount val="20"/>
                <c:lvl>
                  <c:pt idx="0">
                    <c:v>KPEiK 2019</c:v>
                  </c:pt>
                  <c:pt idx="1">
                    <c:v>WEM</c:v>
                  </c:pt>
                  <c:pt idx="2">
                    <c:v>WAM</c:v>
                  </c:pt>
                  <c:pt idx="3">
                    <c:v>KPEiK 2019</c:v>
                  </c:pt>
                  <c:pt idx="4">
                    <c:v>WEM</c:v>
                  </c:pt>
                  <c:pt idx="5">
                    <c:v>WAM</c:v>
                  </c:pt>
                  <c:pt idx="6">
                    <c:v>KPEiK 2019</c:v>
                  </c:pt>
                  <c:pt idx="7">
                    <c:v>WEM</c:v>
                  </c:pt>
                  <c:pt idx="8">
                    <c:v>WAM</c:v>
                  </c:pt>
                  <c:pt idx="9">
                    <c:v>KPEiK 2019</c:v>
                  </c:pt>
                  <c:pt idx="10">
                    <c:v>WEM</c:v>
                  </c:pt>
                  <c:pt idx="11">
                    <c:v>WAM</c:v>
                  </c:pt>
                  <c:pt idx="12">
                    <c:v>WEM</c:v>
                  </c:pt>
                  <c:pt idx="13">
                    <c:v>WAM</c:v>
                  </c:pt>
                  <c:pt idx="14">
                    <c:v>WEM</c:v>
                  </c:pt>
                  <c:pt idx="15">
                    <c:v>WAM</c:v>
                  </c:pt>
                  <c:pt idx="16">
                    <c:v>WEM</c:v>
                  </c:pt>
                  <c:pt idx="17">
                    <c:v>WAM</c:v>
                  </c:pt>
                  <c:pt idx="18">
                    <c:v>WEM</c:v>
                  </c:pt>
                  <c:pt idx="19">
                    <c:v>WAM</c:v>
                  </c:pt>
                </c:lvl>
                <c:lvl>
                  <c:pt idx="0">
                    <c:v>2021-2025</c:v>
                  </c:pt>
                  <c:pt idx="3">
                    <c:v>2026-2030</c:v>
                  </c:pt>
                  <c:pt idx="6">
                    <c:v>2031-2035</c:v>
                  </c:pt>
                  <c:pt idx="9">
                    <c:v>2036-2040</c:v>
                  </c:pt>
                  <c:pt idx="12">
                    <c:v>2041-2045</c:v>
                  </c:pt>
                  <c:pt idx="14">
                    <c:v>2046-2050</c:v>
                  </c:pt>
                  <c:pt idx="16">
                    <c:v>suma 2021-2050</c:v>
                  </c:pt>
                  <c:pt idx="18">
                    <c:v>suma 2026-2050</c:v>
                  </c:pt>
                </c:lvl>
              </c:multiLvlStrCache>
              <c:extLst/>
            </c:multiLvlStrRef>
          </c:cat>
          <c:val>
            <c:numRef>
              <c:f>'Nakl PLN''24 wykres KPEiK''2019'!$C$17:$N$17</c:f>
              <c:numCache>
                <c:formatCode>#,##0</c:formatCode>
                <c:ptCount val="12"/>
                <c:pt idx="0">
                  <c:v>0</c:v>
                </c:pt>
                <c:pt idx="1">
                  <c:v>123433.10999265019</c:v>
                </c:pt>
                <c:pt idx="2">
                  <c:v>121849.0720559232</c:v>
                </c:pt>
                <c:pt idx="3">
                  <c:v>0</c:v>
                </c:pt>
                <c:pt idx="4">
                  <c:v>81882.576421580394</c:v>
                </c:pt>
                <c:pt idx="5">
                  <c:v>89559.067961103545</c:v>
                </c:pt>
                <c:pt idx="6">
                  <c:v>0</c:v>
                </c:pt>
                <c:pt idx="7">
                  <c:v>48739.628822369275</c:v>
                </c:pt>
                <c:pt idx="8">
                  <c:v>60924.5360279616</c:v>
                </c:pt>
                <c:pt idx="9">
                  <c:v>0</c:v>
                </c:pt>
                <c:pt idx="10">
                  <c:v>36554.721616776958</c:v>
                </c:pt>
                <c:pt idx="11">
                  <c:v>48739.628822369275</c:v>
                </c:pt>
              </c:numCache>
              <c:extLst/>
            </c:numRef>
          </c:val>
          <c:extLst>
            <c:ext xmlns:c16="http://schemas.microsoft.com/office/drawing/2014/chart" uri="{C3380CC4-5D6E-409C-BE32-E72D297353CC}">
              <c16:uniqueId val="{00000009-CC63-473E-9B70-2D143E049A74}"/>
            </c:ext>
          </c:extLst>
        </c:ser>
        <c:ser>
          <c:idx val="11"/>
          <c:order val="11"/>
          <c:tx>
            <c:strRef>
              <c:f>'Nakl PLN''24 wykres KPEiK''2019'!$B$18</c:f>
              <c:strCache>
                <c:ptCount val="1"/>
                <c:pt idx="0">
                  <c:v>Sektor paliw płynnych</c:v>
                </c:pt>
              </c:strCache>
            </c:strRef>
          </c:tx>
          <c:spPr>
            <a:solidFill>
              <a:schemeClr val="accent6">
                <a:lumMod val="60000"/>
              </a:schemeClr>
            </a:solidFill>
            <a:ln>
              <a:noFill/>
            </a:ln>
            <a:effectLst/>
          </c:spPr>
          <c:invertIfNegative val="0"/>
          <c:cat>
            <c:multiLvlStrRef>
              <c:f>'Nakl PLN''24 wykres KPEiK''2019'!$C$5:$V$6</c:f>
              <c:multiLvlStrCache>
                <c:ptCount val="20"/>
                <c:lvl>
                  <c:pt idx="0">
                    <c:v>KPEiK 2019</c:v>
                  </c:pt>
                  <c:pt idx="1">
                    <c:v>WEM</c:v>
                  </c:pt>
                  <c:pt idx="2">
                    <c:v>WAM</c:v>
                  </c:pt>
                  <c:pt idx="3">
                    <c:v>KPEiK 2019</c:v>
                  </c:pt>
                  <c:pt idx="4">
                    <c:v>WEM</c:v>
                  </c:pt>
                  <c:pt idx="5">
                    <c:v>WAM</c:v>
                  </c:pt>
                  <c:pt idx="6">
                    <c:v>KPEiK 2019</c:v>
                  </c:pt>
                  <c:pt idx="7">
                    <c:v>WEM</c:v>
                  </c:pt>
                  <c:pt idx="8">
                    <c:v>WAM</c:v>
                  </c:pt>
                  <c:pt idx="9">
                    <c:v>KPEiK 2019</c:v>
                  </c:pt>
                  <c:pt idx="10">
                    <c:v>WEM</c:v>
                  </c:pt>
                  <c:pt idx="11">
                    <c:v>WAM</c:v>
                  </c:pt>
                  <c:pt idx="12">
                    <c:v>WEM</c:v>
                  </c:pt>
                  <c:pt idx="13">
                    <c:v>WAM</c:v>
                  </c:pt>
                  <c:pt idx="14">
                    <c:v>WEM</c:v>
                  </c:pt>
                  <c:pt idx="15">
                    <c:v>WAM</c:v>
                  </c:pt>
                  <c:pt idx="16">
                    <c:v>WEM</c:v>
                  </c:pt>
                  <c:pt idx="17">
                    <c:v>WAM</c:v>
                  </c:pt>
                  <c:pt idx="18">
                    <c:v>WEM</c:v>
                  </c:pt>
                  <c:pt idx="19">
                    <c:v>WAM</c:v>
                  </c:pt>
                </c:lvl>
                <c:lvl>
                  <c:pt idx="0">
                    <c:v>2021-2025</c:v>
                  </c:pt>
                  <c:pt idx="3">
                    <c:v>2026-2030</c:v>
                  </c:pt>
                  <c:pt idx="6">
                    <c:v>2031-2035</c:v>
                  </c:pt>
                  <c:pt idx="9">
                    <c:v>2036-2040</c:v>
                  </c:pt>
                  <c:pt idx="12">
                    <c:v>2041-2045</c:v>
                  </c:pt>
                  <c:pt idx="14">
                    <c:v>2046-2050</c:v>
                  </c:pt>
                  <c:pt idx="16">
                    <c:v>suma 2021-2050</c:v>
                  </c:pt>
                  <c:pt idx="18">
                    <c:v>suma 2026-2050</c:v>
                  </c:pt>
                </c:lvl>
              </c:multiLvlStrCache>
              <c:extLst/>
            </c:multiLvlStrRef>
          </c:cat>
          <c:val>
            <c:numRef>
              <c:f>'Nakl PLN''24 wykres KPEiK''2019'!$C$18:$N$18</c:f>
              <c:numCache>
                <c:formatCode>#,##0</c:formatCode>
                <c:ptCount val="12"/>
                <c:pt idx="0">
                  <c:v>0</c:v>
                </c:pt>
                <c:pt idx="1">
                  <c:v>60473.69446135468</c:v>
                </c:pt>
                <c:pt idx="2">
                  <c:v>60473.69446135468</c:v>
                </c:pt>
                <c:pt idx="3">
                  <c:v>0</c:v>
                </c:pt>
                <c:pt idx="4">
                  <c:v>60912.351120756</c:v>
                </c:pt>
                <c:pt idx="5">
                  <c:v>60912.351120756</c:v>
                </c:pt>
                <c:pt idx="6">
                  <c:v>0</c:v>
                </c:pt>
                <c:pt idx="7">
                  <c:v>61271.805883320972</c:v>
                </c:pt>
                <c:pt idx="8">
                  <c:v>61271.805883320972</c:v>
                </c:pt>
                <c:pt idx="9">
                  <c:v>0</c:v>
                </c:pt>
                <c:pt idx="10">
                  <c:v>48739.628822369275</c:v>
                </c:pt>
                <c:pt idx="11">
                  <c:v>48739.628822369275</c:v>
                </c:pt>
              </c:numCache>
              <c:extLst/>
            </c:numRef>
          </c:val>
          <c:extLst>
            <c:ext xmlns:c16="http://schemas.microsoft.com/office/drawing/2014/chart" uri="{C3380CC4-5D6E-409C-BE32-E72D297353CC}">
              <c16:uniqueId val="{0000000A-CC63-473E-9B70-2D143E049A74}"/>
            </c:ext>
          </c:extLst>
        </c:ser>
        <c:ser>
          <c:idx val="12"/>
          <c:order val="12"/>
          <c:tx>
            <c:strRef>
              <c:f>'Nakl PLN''24 wykres KPEiK''2019'!$B$19</c:f>
              <c:strCache>
                <c:ptCount val="1"/>
                <c:pt idx="0">
                  <c:v>Górnictwo</c:v>
                </c:pt>
              </c:strCache>
            </c:strRef>
          </c:tx>
          <c:spPr>
            <a:solidFill>
              <a:schemeClr val="tx1"/>
            </a:solidFill>
            <a:ln>
              <a:noFill/>
            </a:ln>
            <a:effectLst/>
          </c:spPr>
          <c:invertIfNegative val="0"/>
          <c:cat>
            <c:multiLvlStrRef>
              <c:f>'Nakl PLN''24 wykres KPEiK''2019'!$C$5:$V$6</c:f>
              <c:multiLvlStrCache>
                <c:ptCount val="20"/>
                <c:lvl>
                  <c:pt idx="0">
                    <c:v>KPEiK 2019</c:v>
                  </c:pt>
                  <c:pt idx="1">
                    <c:v>WEM</c:v>
                  </c:pt>
                  <c:pt idx="2">
                    <c:v>WAM</c:v>
                  </c:pt>
                  <c:pt idx="3">
                    <c:v>KPEiK 2019</c:v>
                  </c:pt>
                  <c:pt idx="4">
                    <c:v>WEM</c:v>
                  </c:pt>
                  <c:pt idx="5">
                    <c:v>WAM</c:v>
                  </c:pt>
                  <c:pt idx="6">
                    <c:v>KPEiK 2019</c:v>
                  </c:pt>
                  <c:pt idx="7">
                    <c:v>WEM</c:v>
                  </c:pt>
                  <c:pt idx="8">
                    <c:v>WAM</c:v>
                  </c:pt>
                  <c:pt idx="9">
                    <c:v>KPEiK 2019</c:v>
                  </c:pt>
                  <c:pt idx="10">
                    <c:v>WEM</c:v>
                  </c:pt>
                  <c:pt idx="11">
                    <c:v>WAM</c:v>
                  </c:pt>
                  <c:pt idx="12">
                    <c:v>WEM</c:v>
                  </c:pt>
                  <c:pt idx="13">
                    <c:v>WAM</c:v>
                  </c:pt>
                  <c:pt idx="14">
                    <c:v>WEM</c:v>
                  </c:pt>
                  <c:pt idx="15">
                    <c:v>WAM</c:v>
                  </c:pt>
                  <c:pt idx="16">
                    <c:v>WEM</c:v>
                  </c:pt>
                  <c:pt idx="17">
                    <c:v>WAM</c:v>
                  </c:pt>
                  <c:pt idx="18">
                    <c:v>WEM</c:v>
                  </c:pt>
                  <c:pt idx="19">
                    <c:v>WAM</c:v>
                  </c:pt>
                </c:lvl>
                <c:lvl>
                  <c:pt idx="0">
                    <c:v>2021-2025</c:v>
                  </c:pt>
                  <c:pt idx="3">
                    <c:v>2026-2030</c:v>
                  </c:pt>
                  <c:pt idx="6">
                    <c:v>2031-2035</c:v>
                  </c:pt>
                  <c:pt idx="9">
                    <c:v>2036-2040</c:v>
                  </c:pt>
                  <c:pt idx="12">
                    <c:v>2041-2045</c:v>
                  </c:pt>
                  <c:pt idx="14">
                    <c:v>2046-2050</c:v>
                  </c:pt>
                  <c:pt idx="16">
                    <c:v>suma 2021-2050</c:v>
                  </c:pt>
                  <c:pt idx="18">
                    <c:v>suma 2026-2050</c:v>
                  </c:pt>
                </c:lvl>
              </c:multiLvlStrCache>
              <c:extLst/>
            </c:multiLvlStrRef>
          </c:cat>
          <c:val>
            <c:numRef>
              <c:f>'Nakl PLN''24 wykres KPEiK''2019'!$C$19:$N$19</c:f>
              <c:numCache>
                <c:formatCode>#,##0</c:formatCode>
                <c:ptCount val="12"/>
                <c:pt idx="0">
                  <c:v>0</c:v>
                </c:pt>
                <c:pt idx="1">
                  <c:v>11715.788278177015</c:v>
                </c:pt>
                <c:pt idx="2">
                  <c:v>11715.788278177015</c:v>
                </c:pt>
                <c:pt idx="3">
                  <c:v>0</c:v>
                </c:pt>
                <c:pt idx="4">
                  <c:v>10472.927743206599</c:v>
                </c:pt>
                <c:pt idx="5">
                  <c:v>21323.587609786558</c:v>
                </c:pt>
                <c:pt idx="6">
                  <c:v>0</c:v>
                </c:pt>
                <c:pt idx="7">
                  <c:v>9254.4370226473657</c:v>
                </c:pt>
                <c:pt idx="8">
                  <c:v>21323.587609786558</c:v>
                </c:pt>
                <c:pt idx="9">
                  <c:v>0</c:v>
                </c:pt>
                <c:pt idx="10">
                  <c:v>8182.1651885552419</c:v>
                </c:pt>
                <c:pt idx="11">
                  <c:v>15231.1340069904</c:v>
                </c:pt>
              </c:numCache>
              <c:extLst/>
            </c:numRef>
          </c:val>
          <c:extLst>
            <c:ext xmlns:c16="http://schemas.microsoft.com/office/drawing/2014/chart" uri="{C3380CC4-5D6E-409C-BE32-E72D297353CC}">
              <c16:uniqueId val="{0000000B-CC63-473E-9B70-2D143E049A74}"/>
            </c:ext>
          </c:extLst>
        </c:ser>
        <c:ser>
          <c:idx val="13"/>
          <c:order val="13"/>
          <c:tx>
            <c:strRef>
              <c:f>'Nakl PLN''24 wykres KPEiK''2019'!$B$20</c:f>
              <c:strCache>
                <c:ptCount val="1"/>
                <c:pt idx="0">
                  <c:v>Nakłady KPEiK 2019</c:v>
                </c:pt>
              </c:strCache>
            </c:strRef>
          </c:tx>
          <c:spPr>
            <a:solidFill>
              <a:srgbClr val="FF0000"/>
            </a:solidFill>
            <a:ln>
              <a:noFill/>
            </a:ln>
            <a:effectLst/>
          </c:spPr>
          <c:invertIfNegative val="0"/>
          <c:cat>
            <c:multiLvlStrRef>
              <c:f>'Nakl PLN''24 wykres KPEiK''2019'!$C$5:$V$6</c:f>
              <c:multiLvlStrCache>
                <c:ptCount val="20"/>
                <c:lvl>
                  <c:pt idx="0">
                    <c:v>KPEiK 2019</c:v>
                  </c:pt>
                  <c:pt idx="1">
                    <c:v>WEM</c:v>
                  </c:pt>
                  <c:pt idx="2">
                    <c:v>WAM</c:v>
                  </c:pt>
                  <c:pt idx="3">
                    <c:v>KPEiK 2019</c:v>
                  </c:pt>
                  <c:pt idx="4">
                    <c:v>WEM</c:v>
                  </c:pt>
                  <c:pt idx="5">
                    <c:v>WAM</c:v>
                  </c:pt>
                  <c:pt idx="6">
                    <c:v>KPEiK 2019</c:v>
                  </c:pt>
                  <c:pt idx="7">
                    <c:v>WEM</c:v>
                  </c:pt>
                  <c:pt idx="8">
                    <c:v>WAM</c:v>
                  </c:pt>
                  <c:pt idx="9">
                    <c:v>KPEiK 2019</c:v>
                  </c:pt>
                  <c:pt idx="10">
                    <c:v>WEM</c:v>
                  </c:pt>
                  <c:pt idx="11">
                    <c:v>WAM</c:v>
                  </c:pt>
                  <c:pt idx="12">
                    <c:v>WEM</c:v>
                  </c:pt>
                  <c:pt idx="13">
                    <c:v>WAM</c:v>
                  </c:pt>
                  <c:pt idx="14">
                    <c:v>WEM</c:v>
                  </c:pt>
                  <c:pt idx="15">
                    <c:v>WAM</c:v>
                  </c:pt>
                  <c:pt idx="16">
                    <c:v>WEM</c:v>
                  </c:pt>
                  <c:pt idx="17">
                    <c:v>WAM</c:v>
                  </c:pt>
                  <c:pt idx="18">
                    <c:v>WEM</c:v>
                  </c:pt>
                  <c:pt idx="19">
                    <c:v>WAM</c:v>
                  </c:pt>
                </c:lvl>
                <c:lvl>
                  <c:pt idx="0">
                    <c:v>2021-2025</c:v>
                  </c:pt>
                  <c:pt idx="3">
                    <c:v>2026-2030</c:v>
                  </c:pt>
                  <c:pt idx="6">
                    <c:v>2031-2035</c:v>
                  </c:pt>
                  <c:pt idx="9">
                    <c:v>2036-2040</c:v>
                  </c:pt>
                  <c:pt idx="12">
                    <c:v>2041-2045</c:v>
                  </c:pt>
                  <c:pt idx="14">
                    <c:v>2046-2050</c:v>
                  </c:pt>
                  <c:pt idx="16">
                    <c:v>suma 2021-2050</c:v>
                  </c:pt>
                  <c:pt idx="18">
                    <c:v>suma 2026-2050</c:v>
                  </c:pt>
                </c:lvl>
              </c:multiLvlStrCache>
              <c:extLst/>
            </c:multiLvlStrRef>
          </c:cat>
          <c:val>
            <c:numRef>
              <c:f>'Nakl PLN''24 wykres KPEiK''2019'!$C$20:$N$20</c:f>
              <c:numCache>
                <c:formatCode>General</c:formatCode>
                <c:ptCount val="12"/>
                <c:pt idx="0" formatCode="#,##0">
                  <c:v>640582.20934249414</c:v>
                </c:pt>
                <c:pt idx="3" formatCode="#,##0">
                  <c:v>610405.1394394493</c:v>
                </c:pt>
                <c:pt idx="6" formatCode="#,##0">
                  <c:v>553107.77232872206</c:v>
                </c:pt>
                <c:pt idx="9" formatCode="#,##0">
                  <c:v>475203.28924474918</c:v>
                </c:pt>
              </c:numCache>
              <c:extLst/>
            </c:numRef>
          </c:val>
          <c:extLst>
            <c:ext xmlns:c16="http://schemas.microsoft.com/office/drawing/2014/chart" uri="{C3380CC4-5D6E-409C-BE32-E72D297353CC}">
              <c16:uniqueId val="{0000000C-CC63-473E-9B70-2D143E049A74}"/>
            </c:ext>
          </c:extLst>
        </c:ser>
        <c:dLbls>
          <c:showLegendKey val="0"/>
          <c:showVal val="0"/>
          <c:showCatName val="0"/>
          <c:showSerName val="0"/>
          <c:showPercent val="0"/>
          <c:showBubbleSize val="0"/>
        </c:dLbls>
        <c:gapWidth val="150"/>
        <c:overlap val="100"/>
        <c:axId val="606715983"/>
        <c:axId val="606694383"/>
      </c:barChart>
      <c:lineChart>
        <c:grouping val="standard"/>
        <c:varyColors val="0"/>
        <c:ser>
          <c:idx val="0"/>
          <c:order val="0"/>
          <c:tx>
            <c:strRef>
              <c:f>'Nakl PLN''24 wykres KPEiK''2019'!$B$7</c:f>
              <c:strCache>
                <c:ptCount val="1"/>
                <c:pt idx="0">
                  <c:v>Łączne nakłady inwestycyjne</c:v>
                </c:pt>
              </c:strCache>
            </c:strRef>
          </c:tx>
          <c:spPr>
            <a:ln w="28575" cap="rnd">
              <a:noFill/>
              <a:round/>
            </a:ln>
            <a:effectLst/>
          </c:spPr>
          <c:marker>
            <c:symbol val="none"/>
          </c:marker>
          <c:cat>
            <c:multiLvlStrRef>
              <c:f>'Nakl PLN''24 wykres KPEiK''2019'!$C$5:$V$6</c:f>
              <c:multiLvlStrCache>
                <c:ptCount val="20"/>
                <c:lvl>
                  <c:pt idx="0">
                    <c:v>KPEiK 2019</c:v>
                  </c:pt>
                  <c:pt idx="1">
                    <c:v>WEM</c:v>
                  </c:pt>
                  <c:pt idx="2">
                    <c:v>WAM</c:v>
                  </c:pt>
                  <c:pt idx="3">
                    <c:v>KPEiK 2019</c:v>
                  </c:pt>
                  <c:pt idx="4">
                    <c:v>WEM</c:v>
                  </c:pt>
                  <c:pt idx="5">
                    <c:v>WAM</c:v>
                  </c:pt>
                  <c:pt idx="6">
                    <c:v>KPEiK 2019</c:v>
                  </c:pt>
                  <c:pt idx="7">
                    <c:v>WEM</c:v>
                  </c:pt>
                  <c:pt idx="8">
                    <c:v>WAM</c:v>
                  </c:pt>
                  <c:pt idx="9">
                    <c:v>KPEiK 2019</c:v>
                  </c:pt>
                  <c:pt idx="10">
                    <c:v>WEM</c:v>
                  </c:pt>
                  <c:pt idx="11">
                    <c:v>WAM</c:v>
                  </c:pt>
                  <c:pt idx="12">
                    <c:v>WEM</c:v>
                  </c:pt>
                  <c:pt idx="13">
                    <c:v>WAM</c:v>
                  </c:pt>
                  <c:pt idx="14">
                    <c:v>WEM</c:v>
                  </c:pt>
                  <c:pt idx="15">
                    <c:v>WAM</c:v>
                  </c:pt>
                  <c:pt idx="16">
                    <c:v>WEM</c:v>
                  </c:pt>
                  <c:pt idx="17">
                    <c:v>WAM</c:v>
                  </c:pt>
                  <c:pt idx="18">
                    <c:v>WEM</c:v>
                  </c:pt>
                  <c:pt idx="19">
                    <c:v>WAM</c:v>
                  </c:pt>
                </c:lvl>
                <c:lvl>
                  <c:pt idx="0">
                    <c:v>2021-2025</c:v>
                  </c:pt>
                  <c:pt idx="3">
                    <c:v>2026-2030</c:v>
                  </c:pt>
                  <c:pt idx="6">
                    <c:v>2031-2035</c:v>
                  </c:pt>
                  <c:pt idx="9">
                    <c:v>2036-2040</c:v>
                  </c:pt>
                  <c:pt idx="12">
                    <c:v>2041-2045</c:v>
                  </c:pt>
                  <c:pt idx="14">
                    <c:v>2046-2050</c:v>
                  </c:pt>
                  <c:pt idx="16">
                    <c:v>suma 2021-2050</c:v>
                  </c:pt>
                  <c:pt idx="18">
                    <c:v>suma 2026-2050</c:v>
                  </c:pt>
                </c:lvl>
              </c:multiLvlStrCache>
              <c:extLst/>
            </c:multiLvlStrRef>
          </c:cat>
          <c:val>
            <c:numRef>
              <c:f>'Nakl PLN''24 wykres KPEiK''2019'!$C$7:$N$7</c:f>
              <c:numCache>
                <c:formatCode>#,##0</c:formatCode>
                <c:ptCount val="12"/>
                <c:pt idx="0">
                  <c:v>640582.20934249414</c:v>
                </c:pt>
                <c:pt idx="1">
                  <c:v>969924.70601875137</c:v>
                </c:pt>
                <c:pt idx="2">
                  <c:v>954364.57951721002</c:v>
                </c:pt>
                <c:pt idx="3">
                  <c:v>610405.1394394493</c:v>
                </c:pt>
                <c:pt idx="4">
                  <c:v>1038678.0449263061</c:v>
                </c:pt>
                <c:pt idx="5">
                  <c:v>1080709.8823319967</c:v>
                </c:pt>
                <c:pt idx="6">
                  <c:v>553107.77232872206</c:v>
                </c:pt>
                <c:pt idx="7">
                  <c:v>727219.63184416073</c:v>
                </c:pt>
                <c:pt idx="8">
                  <c:v>1065947.8672524216</c:v>
                </c:pt>
                <c:pt idx="9">
                  <c:v>475203.28924474918</c:v>
                </c:pt>
                <c:pt idx="10">
                  <c:v>951354.90743742872</c:v>
                </c:pt>
                <c:pt idx="11">
                  <c:v>1187748.1996795225</c:v>
                </c:pt>
              </c:numCache>
              <c:extLst/>
            </c:numRef>
          </c:val>
          <c:smooth val="0"/>
          <c:extLst xmlns:c15="http://schemas.microsoft.com/office/drawing/2012/chart">
            <c:ext xmlns:c16="http://schemas.microsoft.com/office/drawing/2014/chart" uri="{C3380CC4-5D6E-409C-BE32-E72D297353CC}">
              <c16:uniqueId val="{0000000D-CC63-473E-9B70-2D143E049A74}"/>
            </c:ext>
          </c:extLst>
        </c:ser>
        <c:dLbls>
          <c:showLegendKey val="0"/>
          <c:showVal val="0"/>
          <c:showCatName val="0"/>
          <c:showSerName val="0"/>
          <c:showPercent val="0"/>
          <c:showBubbleSize val="0"/>
        </c:dLbls>
        <c:marker val="1"/>
        <c:smooth val="0"/>
        <c:axId val="606715983"/>
        <c:axId val="606694383"/>
      </c:lineChart>
      <c:catAx>
        <c:axId val="606715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6694383"/>
        <c:crosses val="autoZero"/>
        <c:auto val="1"/>
        <c:lblAlgn val="ctr"/>
        <c:lblOffset val="100"/>
        <c:noMultiLvlLbl val="0"/>
      </c:catAx>
      <c:valAx>
        <c:axId val="60669438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[mln PLN'2024]</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solidFill>
              <a:sysClr val="window" lastClr="FFFFFF">
                <a:lumMod val="85000"/>
              </a:sys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6715983"/>
        <c:crosses val="autoZero"/>
        <c:crossBetween val="between"/>
      </c:valAx>
      <c:spPr>
        <a:noFill/>
        <a:ln>
          <a:noFill/>
        </a:ln>
        <a:effectLst/>
      </c:spPr>
    </c:plotArea>
    <c:legend>
      <c:legendPos val="r"/>
      <c:legendEntry>
        <c:idx val="1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5">
    <a:majorFont>
      <a:latin typeface="Lato"/>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A0E0BFCF9A9445871829823D8E485C" ma:contentTypeVersion="4" ma:contentTypeDescription="Create a new document." ma:contentTypeScope="" ma:versionID="5fcd3d1ed85ffbe4c4a24d1edcb8ddcb">
  <xsd:schema xmlns:xsd="http://www.w3.org/2001/XMLSchema" xmlns:xs="http://www.w3.org/2001/XMLSchema" xmlns:p="http://schemas.microsoft.com/office/2006/metadata/properties" xmlns:ns2="9514f94e-7ec7-4d9d-a31a-1b013c5f895a" targetNamespace="http://schemas.microsoft.com/office/2006/metadata/properties" ma:root="true" ma:fieldsID="ac6876465c5816637dbc360cde17c7cb" ns2:_="">
    <xsd:import namespace="9514f94e-7ec7-4d9d-a31a-1b013c5f89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4f94e-7ec7-4d9d-a31a-1b013c5f8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9E795E-440A-463F-BFC0-0FFD14E46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4f94e-7ec7-4d9d-a31a-1b013c5f89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E1D8E3-B6FF-4973-9349-BE91DE12252C}">
  <ds:schemaRefs>
    <ds:schemaRef ds:uri="http://schemas.openxmlformats.org/officeDocument/2006/bibliography"/>
  </ds:schemaRefs>
</ds:datastoreItem>
</file>

<file path=customXml/itemProps3.xml><?xml version="1.0" encoding="utf-8"?>
<ds:datastoreItem xmlns:ds="http://schemas.openxmlformats.org/officeDocument/2006/customXml" ds:itemID="{38468575-A2EB-440F-B349-960320EC75B2}">
  <ds:schemaRefs>
    <ds:schemaRef ds:uri="http://schemas.microsoft.com/sharepoint/v3/contenttype/forms"/>
  </ds:schemaRefs>
</ds:datastoreItem>
</file>

<file path=customXml/itemProps4.xml><?xml version="1.0" encoding="utf-8"?>
<ds:datastoreItem xmlns:ds="http://schemas.openxmlformats.org/officeDocument/2006/customXml" ds:itemID="{7424290D-7896-45C3-A742-A81C8938D3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14238</Words>
  <Characters>85433</Characters>
  <Application>Microsoft Office Word</Application>
  <DocSecurity>0</DocSecurity>
  <Lines>711</Lines>
  <Paragraphs>198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99473</CharactersWithSpaces>
  <SharedDoc>false</SharedDoc>
  <HLinks>
    <vt:vector size="18" baseType="variant">
      <vt:variant>
        <vt:i4>8060963</vt:i4>
      </vt:variant>
      <vt:variant>
        <vt:i4>24</vt:i4>
      </vt:variant>
      <vt:variant>
        <vt:i4>0</vt:i4>
      </vt:variant>
      <vt:variant>
        <vt:i4>5</vt:i4>
      </vt:variant>
      <vt:variant>
        <vt:lpwstr>https://lukasiewicz.gov.pl/</vt:lpwstr>
      </vt:variant>
      <vt:variant>
        <vt:lpwstr/>
      </vt:variant>
      <vt:variant>
        <vt:i4>8192094</vt:i4>
      </vt:variant>
      <vt:variant>
        <vt:i4>21</vt:i4>
      </vt:variant>
      <vt:variant>
        <vt:i4>0</vt:i4>
      </vt:variant>
      <vt:variant>
        <vt:i4>5</vt:i4>
      </vt:variant>
      <vt:variant>
        <vt:lpwstr>https://cinea.ec.europa.eu/programmes/connecting-europe-facility_en</vt:lpwstr>
      </vt:variant>
      <vt:variant>
        <vt:lpwstr/>
      </vt:variant>
      <vt:variant>
        <vt:i4>4521997</vt:i4>
      </vt:variant>
      <vt:variant>
        <vt:i4>18</vt:i4>
      </vt:variant>
      <vt:variant>
        <vt:i4>0</vt:i4>
      </vt:variant>
      <vt:variant>
        <vt:i4>5</vt:i4>
      </vt:variant>
      <vt:variant>
        <vt:lpwstr>https://www.kpk.gov.pl/inne-programy/instrument-laczac-europe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Bartłomiej Zieliński</dc:creator>
  <cp:keywords/>
  <dc:description/>
  <cp:lastModifiedBy>Madyniak Anna</cp:lastModifiedBy>
  <cp:revision>2</cp:revision>
  <dcterms:created xsi:type="dcterms:W3CDTF">2025-08-06T10:28:00Z</dcterms:created>
  <dcterms:modified xsi:type="dcterms:W3CDTF">2025-08-06T10:28:00Z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0x010100C6A0E0BFCF9A9445871829823D8E485C</vt:lpwstr>
  </property>
</Properties>
</file>