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0C06" w14:textId="3236C0AF" w:rsidR="00BA64EC" w:rsidRDefault="00A41398" w:rsidP="00BA64EC">
      <w:pPr>
        <w:pStyle w:val="Nagwekspisutreci"/>
        <w:numPr>
          <w:ilvl w:val="0"/>
          <w:numId w:val="0"/>
        </w:numPr>
        <w:spacing w:before="120" w:after="240"/>
        <w:ind w:left="432" w:hanging="432"/>
        <w:rPr>
          <w:rFonts w:ascii="Lato" w:eastAsiaTheme="minorHAnsi" w:hAnsi="Lato" w:cstheme="minorBidi"/>
          <w:kern w:val="2"/>
          <w:sz w:val="22"/>
          <w:szCs w:val="22"/>
          <w:lang w:eastAsia="en-US"/>
          <w14:ligatures w14:val="standardContextual"/>
        </w:rPr>
      </w:pPr>
      <w:r>
        <w:rPr>
          <w:rFonts w:ascii="Lato" w:eastAsiaTheme="minorHAnsi" w:hAnsi="Lato" w:cstheme="minorBidi"/>
          <w:kern w:val="2"/>
          <w:sz w:val="22"/>
          <w:szCs w:val="22"/>
          <w:lang w:eastAsia="en-US"/>
          <w14:ligatures w14:val="standardContextual"/>
        </w:rPr>
        <w:t xml:space="preserve"> </w:t>
      </w:r>
      <w:r w:rsidR="00E3653D">
        <w:rPr>
          <w:noProof/>
        </w:rPr>
        <w:drawing>
          <wp:inline distT="0" distB="0" distL="0" distR="0" wp14:anchorId="798AD402" wp14:editId="44F742C3">
            <wp:extent cx="1733948" cy="971550"/>
            <wp:effectExtent l="0" t="0" r="0" b="0"/>
            <wp:docPr id="1712918061" name="Obraz 98" descr="Obraz zawierający tekst, Grafika, projekt graficzny,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18061" name="Obraz 98" descr="Obraz zawierający tekst, Grafika, projekt graficzny, symbol&#10;&#10;Zawartość wygenerowana przez AI może być niepopraw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9208" cy="974497"/>
                    </a:xfrm>
                    <a:prstGeom prst="rect">
                      <a:avLst/>
                    </a:prstGeom>
                    <a:noFill/>
                    <a:ln>
                      <a:noFill/>
                    </a:ln>
                  </pic:spPr>
                </pic:pic>
              </a:graphicData>
            </a:graphic>
          </wp:inline>
        </w:drawing>
      </w:r>
      <w:r w:rsidR="00BA64EC">
        <w:rPr>
          <w:noProof/>
          <w14:ligatures w14:val="standardContextual"/>
        </w:rPr>
        <mc:AlternateContent>
          <mc:Choice Requires="wps">
            <w:drawing>
              <wp:anchor distT="0" distB="0" distL="114300" distR="114300" simplePos="0" relativeHeight="251658242" behindDoc="0" locked="0" layoutInCell="1" allowOverlap="1" wp14:anchorId="23AE4DAA" wp14:editId="119144C8">
                <wp:simplePos x="0" y="0"/>
                <wp:positionH relativeFrom="margin">
                  <wp:align>right</wp:align>
                </wp:positionH>
                <wp:positionV relativeFrom="paragraph">
                  <wp:posOffset>93257</wp:posOffset>
                </wp:positionV>
                <wp:extent cx="1954924" cy="930166"/>
                <wp:effectExtent l="0" t="0" r="26670" b="22860"/>
                <wp:wrapNone/>
                <wp:docPr id="1816841406" name="Prostokąt 9"/>
                <wp:cNvGraphicFramePr/>
                <a:graphic xmlns:a="http://schemas.openxmlformats.org/drawingml/2006/main">
                  <a:graphicData uri="http://schemas.microsoft.com/office/word/2010/wordprocessingShape">
                    <wps:wsp>
                      <wps:cNvSpPr/>
                      <wps:spPr>
                        <a:xfrm>
                          <a:off x="0" y="0"/>
                          <a:ext cx="1954924" cy="930166"/>
                        </a:xfrm>
                        <a:prstGeom prst="rect">
                          <a:avLst/>
                        </a:prstGeom>
                        <a:solidFill>
                          <a:srgbClr val="920000"/>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EFBA45" w14:textId="1426B8A3" w:rsidR="00BA64EC" w:rsidRPr="003D525D" w:rsidRDefault="00E438CA" w:rsidP="00BA64EC">
                            <w:pPr>
                              <w:spacing w:after="0"/>
                              <w:jc w:val="center"/>
                              <w:rPr>
                                <w:rFonts w:ascii="Bahnschrift" w:hAnsi="Bahnschrift"/>
                                <w:sz w:val="40"/>
                                <w:szCs w:val="40"/>
                              </w:rPr>
                            </w:pPr>
                            <w:r>
                              <w:rPr>
                                <w:rFonts w:ascii="Bahnschrift" w:hAnsi="Bahnschrift"/>
                                <w:sz w:val="40"/>
                                <w:szCs w:val="40"/>
                              </w:rPr>
                              <w:t>PROJEKT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E4DAA" id="Prostokąt 9" o:spid="_x0000_s1026" style="position:absolute;left:0;text-align:left;margin-left:102.75pt;margin-top:7.35pt;width:153.95pt;height:73.2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" fillcolor="#920000" strokecolor="#7f7f7f [1612]" strokeweight="1pt">
                <v:textbox>
                  <w:txbxContent>
                    <w:p w14:paraId="73EFBA45" w14:textId="1426B8A3" w:rsidR="00BA64EC" w:rsidRPr="003D525D" w:rsidRDefault="00E438CA" w:rsidP="00BA64EC">
                      <w:pPr>
                        <w:spacing w:after="0"/>
                        <w:jc w:val="center"/>
                        <w:rPr>
                          <w:rFonts w:ascii="Bahnschrift" w:hAnsi="Bahnschrift"/>
                          <w:sz w:val="40"/>
                          <w:szCs w:val="40"/>
                        </w:rPr>
                      </w:pPr>
                      <w:r>
                        <w:rPr>
                          <w:rFonts w:ascii="Bahnschrift" w:hAnsi="Bahnschrift"/>
                          <w:sz w:val="40"/>
                          <w:szCs w:val="40"/>
                        </w:rPr>
                        <w:t>PROJEKT</w:t>
                      </w:r>
                    </w:p>
                  </w:txbxContent>
                </v:textbox>
                <w10:wrap anchorx="margin"/>
              </v:rect>
            </w:pict>
          </mc:Fallback>
        </mc:AlternateContent>
      </w:r>
      <w:r w:rsidR="00BA64EC">
        <w:rPr>
          <w:rFonts w:ascii="Lato" w:eastAsiaTheme="minorHAnsi" w:hAnsi="Lato" w:cstheme="minorBidi"/>
          <w:noProof/>
          <w:kern w:val="2"/>
          <w:sz w:val="22"/>
          <w:szCs w:val="22"/>
          <w:lang w:eastAsia="en-US"/>
          <w14:ligatures w14:val="standardContextual"/>
        </w:rPr>
        <mc:AlternateContent>
          <mc:Choice Requires="wps">
            <w:drawing>
              <wp:anchor distT="0" distB="0" distL="114300" distR="114300" simplePos="0" relativeHeight="251658240" behindDoc="1" locked="0" layoutInCell="1" allowOverlap="1" wp14:anchorId="1EA2614D" wp14:editId="6596631F">
                <wp:simplePos x="0" y="0"/>
                <wp:positionH relativeFrom="page">
                  <wp:posOffset>-15766</wp:posOffset>
                </wp:positionH>
                <wp:positionV relativeFrom="paragraph">
                  <wp:posOffset>-899796</wp:posOffset>
                </wp:positionV>
                <wp:extent cx="7582952" cy="10815145"/>
                <wp:effectExtent l="0" t="0" r="0" b="5715"/>
                <wp:wrapNone/>
                <wp:docPr id="234755205" name="Prostokąt 2"/>
                <wp:cNvGraphicFramePr/>
                <a:graphic xmlns:a="http://schemas.openxmlformats.org/drawingml/2006/main">
                  <a:graphicData uri="http://schemas.microsoft.com/office/word/2010/wordprocessingShape">
                    <wps:wsp>
                      <wps:cNvSpPr/>
                      <wps:spPr>
                        <a:xfrm>
                          <a:off x="0" y="0"/>
                          <a:ext cx="7582952" cy="10815145"/>
                        </a:xfrm>
                        <a:prstGeom prst="rect">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C9D7CF" w14:textId="77777777" w:rsidR="00BA64EC" w:rsidRDefault="00BA64EC" w:rsidP="00BA64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2614D" id="Prostokąt 2" o:spid="_x0000_s1027" style="position:absolute;left:0;text-align:left;margin-left:-1.25pt;margin-top:-70.85pt;width:597.1pt;height:85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" fillcolor="#7f7f7f [1612]" stroked="f" strokeweight="1pt">
                <v:textbox>
                  <w:txbxContent>
                    <w:p w14:paraId="4EC9D7CF" w14:textId="77777777" w:rsidR="00BA64EC" w:rsidRDefault="00BA64EC" w:rsidP="00BA64EC">
                      <w:pPr>
                        <w:jc w:val="center"/>
                      </w:pPr>
                    </w:p>
                  </w:txbxContent>
                </v:textbox>
                <w10:wrap anchorx="page"/>
              </v:rect>
            </w:pict>
          </mc:Fallback>
        </mc:AlternateContent>
      </w:r>
      <w:r w:rsidR="00BA64EC">
        <w:rPr>
          <w:rFonts w:ascii="Lato" w:eastAsiaTheme="minorHAnsi" w:hAnsi="Lato" w:cstheme="minorBidi"/>
          <w:kern w:val="2"/>
          <w:sz w:val="22"/>
          <w:szCs w:val="22"/>
          <w:lang w:eastAsia="en-US"/>
          <w14:ligatures w14:val="standardContextual"/>
        </w:rPr>
        <w:t xml:space="preserve"> </w:t>
      </w:r>
    </w:p>
    <w:p w14:paraId="6327870F" w14:textId="4431230C" w:rsidR="001144FC" w:rsidRDefault="00373FD3" w:rsidP="00373FD3">
      <w:pPr>
        <w:pStyle w:val="Tytu"/>
        <w:rPr>
          <w:rFonts w:eastAsiaTheme="minorHAnsi"/>
          <w:b/>
          <w:bCs/>
          <w:sz w:val="68"/>
          <w:szCs w:val="68"/>
        </w:rPr>
      </w:pPr>
      <w:r>
        <w:rPr>
          <w:rFonts w:eastAsiaTheme="minorHAnsi"/>
          <w:b/>
          <w:bCs/>
          <w:sz w:val="68"/>
          <w:szCs w:val="68"/>
        </w:rPr>
        <w:t xml:space="preserve">Załącznik </w:t>
      </w:r>
      <w:r w:rsidR="003A4017">
        <w:rPr>
          <w:rFonts w:eastAsiaTheme="minorHAnsi"/>
          <w:b/>
          <w:bCs/>
          <w:sz w:val="68"/>
          <w:szCs w:val="68"/>
        </w:rPr>
        <w:t>4</w:t>
      </w:r>
      <w:r>
        <w:rPr>
          <w:rFonts w:eastAsiaTheme="minorHAnsi"/>
          <w:b/>
          <w:bCs/>
          <w:sz w:val="68"/>
          <w:szCs w:val="68"/>
        </w:rPr>
        <w:t>. do aKPEiK</w:t>
      </w:r>
    </w:p>
    <w:p w14:paraId="1B7275D1" w14:textId="308ED750" w:rsidR="00373FD3" w:rsidRDefault="006348B1" w:rsidP="00FF3BC7">
      <w:pPr>
        <w:spacing w:before="160"/>
        <w:jc w:val="left"/>
        <w:rPr>
          <w:rFonts w:ascii="Bahnschrift" w:hAnsi="Bahnschrift"/>
          <w:b/>
          <w:bCs/>
          <w:color w:val="FFFFFF" w:themeColor="background1"/>
          <w:sz w:val="56"/>
          <w:szCs w:val="56"/>
        </w:rPr>
      </w:pPr>
      <w:r>
        <w:rPr>
          <w:noProof/>
        </w:rPr>
        <w:drawing>
          <wp:anchor distT="0" distB="0" distL="114300" distR="114300" simplePos="0" relativeHeight="251658244" behindDoc="1" locked="0" layoutInCell="1" allowOverlap="1" wp14:anchorId="60D7F403" wp14:editId="6767D983">
            <wp:simplePos x="0" y="0"/>
            <wp:positionH relativeFrom="page">
              <wp:align>right</wp:align>
            </wp:positionH>
            <wp:positionV relativeFrom="paragraph">
              <wp:posOffset>2378075</wp:posOffset>
            </wp:positionV>
            <wp:extent cx="7578000" cy="3819236"/>
            <wp:effectExtent l="0" t="0" r="4445" b="0"/>
            <wp:wrapTight wrapText="bothSides">
              <wp:wrapPolygon edited="0">
                <wp:start x="0" y="0"/>
                <wp:lineTo x="0" y="21442"/>
                <wp:lineTo x="21558" y="21442"/>
                <wp:lineTo x="21558" y="0"/>
                <wp:lineTo x="0" y="0"/>
              </wp:wrapPolygon>
            </wp:wrapTight>
            <wp:docPr id="675286713" name="Obraz 6" descr="Obraz zawierający tekst, zrzut ekranu, projekt graficzny,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86713" name="Obraz 6" descr="Obraz zawierający tekst, zrzut ekranu, projekt graficzny, design&#10;&#10;Opis wygenerowany automatyczni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7578000" cy="38192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3BC7" w:rsidRPr="00FF3BC7">
        <w:rPr>
          <w:rFonts w:ascii="Bahnschrift" w:hAnsi="Bahnschrift"/>
          <w:b/>
          <w:bCs/>
          <w:color w:val="FFFFFF" w:themeColor="background1"/>
          <w:sz w:val="56"/>
          <w:szCs w:val="56"/>
        </w:rPr>
        <w:t xml:space="preserve">Opis środków poprawy efektywności </w:t>
      </w:r>
      <w:r w:rsidR="008061D1">
        <w:rPr>
          <w:rFonts w:ascii="Bahnschrift" w:hAnsi="Bahnschrift"/>
          <w:b/>
          <w:bCs/>
          <w:color w:val="FFFFFF" w:themeColor="background1"/>
          <w:sz w:val="56"/>
          <w:szCs w:val="56"/>
        </w:rPr>
        <w:t>energetycznej</w:t>
      </w:r>
      <w:r w:rsidR="008061D1" w:rsidRPr="00FF3BC7">
        <w:rPr>
          <w:rFonts w:ascii="Bahnschrift" w:hAnsi="Bahnschrift"/>
          <w:b/>
          <w:bCs/>
          <w:color w:val="FFFFFF" w:themeColor="background1"/>
          <w:sz w:val="56"/>
          <w:szCs w:val="56"/>
        </w:rPr>
        <w:t xml:space="preserve"> </w:t>
      </w:r>
      <w:r w:rsidR="00FF3BC7" w:rsidRPr="00FF3BC7">
        <w:rPr>
          <w:rFonts w:ascii="Bahnschrift" w:hAnsi="Bahnschrift"/>
          <w:b/>
          <w:bCs/>
          <w:color w:val="FFFFFF" w:themeColor="background1"/>
          <w:sz w:val="56"/>
          <w:szCs w:val="56"/>
        </w:rPr>
        <w:t>i</w:t>
      </w:r>
      <w:r w:rsidR="008061D1">
        <w:rPr>
          <w:rFonts w:ascii="Bahnschrift" w:hAnsi="Bahnschrift"/>
          <w:b/>
          <w:bCs/>
          <w:color w:val="FFFFFF" w:themeColor="background1"/>
          <w:sz w:val="56"/>
          <w:szCs w:val="56"/>
        </w:rPr>
        <w:t> </w:t>
      </w:r>
      <w:r w:rsidR="00FF3BC7" w:rsidRPr="00FF3BC7">
        <w:rPr>
          <w:rFonts w:ascii="Bahnschrift" w:hAnsi="Bahnschrift"/>
          <w:b/>
          <w:bCs/>
          <w:color w:val="FFFFFF" w:themeColor="background1"/>
          <w:sz w:val="56"/>
          <w:szCs w:val="56"/>
        </w:rPr>
        <w:t>współczynnika PEF w sieci</w:t>
      </w:r>
      <w:r w:rsidR="00E438CA">
        <w:rPr>
          <w:rFonts w:ascii="Bahnschrift" w:hAnsi="Bahnschrift"/>
          <w:b/>
          <w:bCs/>
          <w:color w:val="FFFFFF" w:themeColor="background1"/>
          <w:sz w:val="56"/>
          <w:szCs w:val="56"/>
        </w:rPr>
        <w:t xml:space="preserve"> elektroenergetyczn</w:t>
      </w:r>
      <w:r w:rsidR="008061D1">
        <w:rPr>
          <w:rFonts w:ascii="Bahnschrift" w:hAnsi="Bahnschrift"/>
          <w:b/>
          <w:bCs/>
          <w:color w:val="FFFFFF" w:themeColor="background1"/>
          <w:sz w:val="56"/>
          <w:szCs w:val="56"/>
        </w:rPr>
        <w:t>ej</w:t>
      </w:r>
    </w:p>
    <w:p w14:paraId="4EF98810" w14:textId="72E6EB3B" w:rsidR="006348B1" w:rsidRDefault="006348B1" w:rsidP="00FF3BC7">
      <w:pPr>
        <w:spacing w:before="160"/>
        <w:jc w:val="left"/>
        <w:rPr>
          <w:rFonts w:ascii="Bahnschrift" w:hAnsi="Bahnschrift"/>
          <w:b/>
          <w:bCs/>
          <w:color w:val="FFFFFF" w:themeColor="background1"/>
          <w:sz w:val="56"/>
          <w:szCs w:val="56"/>
        </w:rPr>
      </w:pPr>
      <w:r>
        <w:rPr>
          <w:noProof/>
        </w:rPr>
        <mc:AlternateContent>
          <mc:Choice Requires="wps">
            <w:drawing>
              <wp:anchor distT="0" distB="0" distL="114300" distR="114300" simplePos="0" relativeHeight="251658243" behindDoc="0" locked="0" layoutInCell="1" allowOverlap="1" wp14:anchorId="363AE446" wp14:editId="492A01B7">
                <wp:simplePos x="0" y="0"/>
                <wp:positionH relativeFrom="margin">
                  <wp:align>left</wp:align>
                </wp:positionH>
                <wp:positionV relativeFrom="paragraph">
                  <wp:posOffset>4649470</wp:posOffset>
                </wp:positionV>
                <wp:extent cx="2095500" cy="403761"/>
                <wp:effectExtent l="0" t="0" r="0" b="0"/>
                <wp:wrapNone/>
                <wp:docPr id="361459272" name="Pole tekstowe 7"/>
                <wp:cNvGraphicFramePr/>
                <a:graphic xmlns:a="http://schemas.openxmlformats.org/drawingml/2006/main">
                  <a:graphicData uri="http://schemas.microsoft.com/office/word/2010/wordprocessingShape">
                    <wps:wsp>
                      <wps:cNvSpPr txBox="1"/>
                      <wps:spPr>
                        <a:xfrm>
                          <a:off x="0" y="0"/>
                          <a:ext cx="2095500" cy="403761"/>
                        </a:xfrm>
                        <a:prstGeom prst="rect">
                          <a:avLst/>
                        </a:prstGeom>
                        <a:noFill/>
                        <a:ln w="6350">
                          <a:noFill/>
                        </a:ln>
                      </wps:spPr>
                      <wps:txbx>
                        <w:txbxContent>
                          <w:p w14:paraId="120D6C9E" w14:textId="16518EDB" w:rsidR="00BA64EC" w:rsidRPr="003D525D" w:rsidRDefault="00BA64EC" w:rsidP="00BA64EC">
                            <w:pPr>
                              <w:rPr>
                                <w:rFonts w:ascii="Bahnschrift" w:hAnsi="Bahnschrift"/>
                                <w:color w:val="FFFFFF" w:themeColor="background1"/>
                                <w:sz w:val="24"/>
                                <w:szCs w:val="28"/>
                              </w:rPr>
                            </w:pPr>
                            <w:r w:rsidRPr="003D525D">
                              <w:rPr>
                                <w:rFonts w:ascii="Bahnschrift" w:hAnsi="Bahnschrift"/>
                                <w:color w:val="FFFFFF" w:themeColor="background1"/>
                                <w:sz w:val="24"/>
                                <w:szCs w:val="28"/>
                              </w:rPr>
                              <w:t>Warszawa</w:t>
                            </w:r>
                            <w:r w:rsidR="008535B0">
                              <w:rPr>
                                <w:rFonts w:ascii="Bahnschrift" w:hAnsi="Bahnschrift"/>
                                <w:color w:val="FFFFFF" w:themeColor="background1"/>
                                <w:sz w:val="24"/>
                                <w:szCs w:val="28"/>
                              </w:rPr>
                              <w:t xml:space="preserve">, </w:t>
                            </w:r>
                            <w:r w:rsidR="007318FC">
                              <w:rPr>
                                <w:rFonts w:ascii="Bahnschrift" w:hAnsi="Bahnschrift"/>
                                <w:color w:val="FFFFFF" w:themeColor="background1"/>
                                <w:sz w:val="24"/>
                                <w:szCs w:val="28"/>
                              </w:rPr>
                              <w:t>lipiec</w:t>
                            </w:r>
                            <w:r w:rsidR="006F28B7">
                              <w:rPr>
                                <w:rFonts w:ascii="Bahnschrift" w:hAnsi="Bahnschrift"/>
                                <w:color w:val="FFFFFF" w:themeColor="background1"/>
                                <w:sz w:val="24"/>
                                <w:szCs w:val="28"/>
                              </w:rPr>
                              <w:t xml:space="preserve"> </w:t>
                            </w:r>
                            <w:r w:rsidR="00DC48BC">
                              <w:rPr>
                                <w:rFonts w:ascii="Bahnschrift" w:hAnsi="Bahnschrift"/>
                                <w:color w:val="FFFFFF" w:themeColor="background1"/>
                                <w:sz w:val="24"/>
                                <w:szCs w:val="28"/>
                              </w:rPr>
                              <w:t>2025</w:t>
                            </w:r>
                            <w:r w:rsidR="002912C1">
                              <w:rPr>
                                <w:rFonts w:ascii="Bahnschrift" w:hAnsi="Bahnschrift"/>
                                <w:color w:val="FFFFFF" w:themeColor="background1"/>
                                <w:sz w:val="24"/>
                                <w:szCs w:val="28"/>
                              </w:rPr>
                              <w:t xml:space="preserve"> 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AE446" id="_x0000_t202" coordsize="21600,21600" o:spt="202" path="m,l,21600r21600,l21600,xe">
                <v:stroke joinstyle="miter"/>
                <v:path gradientshapeok="t" o:connecttype="rect"/>
              </v:shapetype>
              <v:shape id="Pole tekstowe 7" o:spid="_x0000_s1028" type="#_x0000_t202" style="position:absolute;margin-left:0;margin-top:366.1pt;width:165pt;height:31.8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" filled="f" stroked="f" strokeweight=".5pt">
                <v:textbox inset="0,0,0,0">
                  <w:txbxContent>
                    <w:p w14:paraId="120D6C9E" w14:textId="16518EDB" w:rsidR="00BA64EC" w:rsidRPr="003D525D" w:rsidRDefault="00BA64EC" w:rsidP="00BA64EC">
                      <w:pPr>
                        <w:rPr>
                          <w:rFonts w:ascii="Bahnschrift" w:hAnsi="Bahnschrift"/>
                          <w:color w:val="FFFFFF" w:themeColor="background1"/>
                          <w:sz w:val="24"/>
                          <w:szCs w:val="28"/>
                        </w:rPr>
                      </w:pPr>
                      <w:r w:rsidRPr="003D525D">
                        <w:rPr>
                          <w:rFonts w:ascii="Bahnschrift" w:hAnsi="Bahnschrift"/>
                          <w:color w:val="FFFFFF" w:themeColor="background1"/>
                          <w:sz w:val="24"/>
                          <w:szCs w:val="28"/>
                        </w:rPr>
                        <w:t>Warszawa</w:t>
                      </w:r>
                      <w:r w:rsidR="008535B0">
                        <w:rPr>
                          <w:rFonts w:ascii="Bahnschrift" w:hAnsi="Bahnschrift"/>
                          <w:color w:val="FFFFFF" w:themeColor="background1"/>
                          <w:sz w:val="24"/>
                          <w:szCs w:val="28"/>
                        </w:rPr>
                        <w:t xml:space="preserve">, </w:t>
                      </w:r>
                      <w:r w:rsidR="007318FC">
                        <w:rPr>
                          <w:rFonts w:ascii="Bahnschrift" w:hAnsi="Bahnschrift"/>
                          <w:color w:val="FFFFFF" w:themeColor="background1"/>
                          <w:sz w:val="24"/>
                          <w:szCs w:val="28"/>
                        </w:rPr>
                        <w:t>lipiec</w:t>
                      </w:r>
                      <w:r w:rsidR="006F28B7">
                        <w:rPr>
                          <w:rFonts w:ascii="Bahnschrift" w:hAnsi="Bahnschrift"/>
                          <w:color w:val="FFFFFF" w:themeColor="background1"/>
                          <w:sz w:val="24"/>
                          <w:szCs w:val="28"/>
                        </w:rPr>
                        <w:t xml:space="preserve"> </w:t>
                      </w:r>
                      <w:r w:rsidR="00DC48BC">
                        <w:rPr>
                          <w:rFonts w:ascii="Bahnschrift" w:hAnsi="Bahnschrift"/>
                          <w:color w:val="FFFFFF" w:themeColor="background1"/>
                          <w:sz w:val="24"/>
                          <w:szCs w:val="28"/>
                        </w:rPr>
                        <w:t>2025</w:t>
                      </w:r>
                      <w:r w:rsidR="002912C1">
                        <w:rPr>
                          <w:rFonts w:ascii="Bahnschrift" w:hAnsi="Bahnschrift"/>
                          <w:color w:val="FFFFFF" w:themeColor="background1"/>
                          <w:sz w:val="24"/>
                          <w:szCs w:val="28"/>
                        </w:rPr>
                        <w:t xml:space="preserve"> r.</w:t>
                      </w:r>
                    </w:p>
                  </w:txbxContent>
                </v:textbox>
                <w10:wrap anchorx="margin"/>
              </v:shape>
            </w:pict>
          </mc:Fallback>
        </mc:AlternateContent>
      </w:r>
    </w:p>
    <w:p w14:paraId="328110CD" w14:textId="4D005450" w:rsidR="00BA64EC" w:rsidRDefault="00BA64EC" w:rsidP="006348B1"/>
    <w:p w14:paraId="337B9218" w14:textId="1EA32FF5" w:rsidR="00BA64EC" w:rsidRDefault="00BA64EC" w:rsidP="00BA64EC">
      <w:pPr>
        <w:sectPr w:rsidR="00BA64EC" w:rsidSect="00A758CF">
          <w:headerReference w:type="default" r:id="rId13"/>
          <w:footerReference w:type="default" r:id="rId14"/>
          <w:pgSz w:w="11906" w:h="16838"/>
          <w:pgMar w:top="1417" w:right="1417" w:bottom="1417" w:left="1417" w:header="708" w:footer="708" w:gutter="0"/>
          <w:cols w:space="708"/>
          <w:docGrid w:linePitch="360"/>
        </w:sectPr>
      </w:pPr>
    </w:p>
    <w:sdt>
      <w:sdtPr>
        <w:rPr>
          <w:rFonts w:ascii="Lato" w:eastAsiaTheme="minorHAnsi" w:hAnsi="Lato" w:cstheme="minorBidi"/>
          <w:kern w:val="2"/>
          <w:sz w:val="22"/>
          <w:szCs w:val="22"/>
          <w:lang w:eastAsia="en-US"/>
          <w14:ligatures w14:val="standardContextual"/>
        </w:rPr>
        <w:id w:val="-956637696"/>
        <w:docPartObj>
          <w:docPartGallery w:val="Table of Contents"/>
          <w:docPartUnique/>
        </w:docPartObj>
      </w:sdtPr>
      <w:sdtEndPr>
        <w:rPr>
          <w:b/>
          <w:bCs/>
          <w:sz w:val="20"/>
        </w:rPr>
      </w:sdtEndPr>
      <w:sdtContent>
        <w:p w14:paraId="54D38F87" w14:textId="624619FA" w:rsidR="00BA46AC" w:rsidRPr="00BA64EC" w:rsidRDefault="00BA46AC" w:rsidP="00D05B5D">
          <w:pPr>
            <w:pStyle w:val="Nagwekspisutreci"/>
            <w:numPr>
              <w:ilvl w:val="0"/>
              <w:numId w:val="0"/>
            </w:numPr>
            <w:spacing w:before="120" w:after="240"/>
            <w:ind w:left="432" w:hanging="432"/>
            <w:rPr>
              <w:rFonts w:ascii="Bahnschrift" w:hAnsi="Bahnschrift"/>
              <w:b/>
              <w:bCs/>
              <w:sz w:val="48"/>
              <w:szCs w:val="48"/>
            </w:rPr>
          </w:pPr>
          <w:r w:rsidRPr="00BA64EC">
            <w:rPr>
              <w:rFonts w:ascii="Bahnschrift" w:hAnsi="Bahnschrift"/>
              <w:b/>
              <w:bCs/>
              <w:sz w:val="48"/>
              <w:szCs w:val="48"/>
            </w:rPr>
            <w:t>Spis treści</w:t>
          </w:r>
        </w:p>
        <w:p w14:paraId="2AF89553" w14:textId="43B15B4B" w:rsidR="00CC735D" w:rsidRDefault="0097073E">
          <w:pPr>
            <w:pStyle w:val="Spistreci1"/>
            <w:rPr>
              <w:rFonts w:asciiTheme="minorHAnsi" w:eastAsiaTheme="minorEastAsia" w:hAnsiTheme="minorHAnsi"/>
              <w:noProof/>
              <w:sz w:val="24"/>
              <w:szCs w:val="24"/>
              <w:lang w:eastAsia="pl-PL"/>
            </w:rPr>
          </w:pPr>
          <w:r>
            <w:fldChar w:fldCharType="begin"/>
          </w:r>
          <w:r>
            <w:instrText xml:space="preserve"> TOC \o "1-3" \h \z \u </w:instrText>
          </w:r>
          <w:r>
            <w:fldChar w:fldCharType="separate"/>
          </w:r>
          <w:hyperlink w:anchor="_Toc202967812" w:history="1">
            <w:r w:rsidR="00CC735D" w:rsidRPr="00C15158">
              <w:rPr>
                <w:rStyle w:val="Hipercze"/>
                <w:noProof/>
              </w:rPr>
              <w:t>1.</w:t>
            </w:r>
            <w:r w:rsidR="00CC735D">
              <w:rPr>
                <w:rFonts w:asciiTheme="minorHAnsi" w:eastAsiaTheme="minorEastAsia" w:hAnsiTheme="minorHAnsi"/>
                <w:noProof/>
                <w:sz w:val="24"/>
                <w:szCs w:val="24"/>
                <w:lang w:eastAsia="pl-PL"/>
              </w:rPr>
              <w:tab/>
            </w:r>
            <w:r w:rsidR="00CC735D" w:rsidRPr="00C15158">
              <w:rPr>
                <w:rStyle w:val="Hipercze"/>
                <w:noProof/>
              </w:rPr>
              <w:t>Środki realizacji wymaganych oszczędności końcowego zużycia energii</w:t>
            </w:r>
            <w:r w:rsidR="00CC735D">
              <w:rPr>
                <w:noProof/>
                <w:webHidden/>
              </w:rPr>
              <w:tab/>
            </w:r>
            <w:r w:rsidR="00CC735D">
              <w:rPr>
                <w:noProof/>
                <w:webHidden/>
              </w:rPr>
              <w:fldChar w:fldCharType="begin"/>
            </w:r>
            <w:r w:rsidR="00CC735D">
              <w:rPr>
                <w:noProof/>
                <w:webHidden/>
              </w:rPr>
              <w:instrText xml:space="preserve"> PAGEREF _Toc202967812 \h </w:instrText>
            </w:r>
            <w:r w:rsidR="00CC735D">
              <w:rPr>
                <w:noProof/>
                <w:webHidden/>
              </w:rPr>
            </w:r>
            <w:r w:rsidR="00CC735D">
              <w:rPr>
                <w:noProof/>
                <w:webHidden/>
              </w:rPr>
              <w:fldChar w:fldCharType="separate"/>
            </w:r>
            <w:r w:rsidR="00CC735D">
              <w:rPr>
                <w:noProof/>
                <w:webHidden/>
              </w:rPr>
              <w:t>3</w:t>
            </w:r>
            <w:r w:rsidR="00CC735D">
              <w:rPr>
                <w:noProof/>
                <w:webHidden/>
              </w:rPr>
              <w:fldChar w:fldCharType="end"/>
            </w:r>
          </w:hyperlink>
        </w:p>
        <w:p w14:paraId="1D856D64" w14:textId="021A06A0" w:rsidR="00CC735D" w:rsidRDefault="00CC735D">
          <w:pPr>
            <w:pStyle w:val="Spistreci2"/>
            <w:rPr>
              <w:rFonts w:asciiTheme="minorHAnsi" w:eastAsiaTheme="minorEastAsia" w:hAnsiTheme="minorHAnsi"/>
              <w:noProof/>
              <w:sz w:val="24"/>
              <w:szCs w:val="24"/>
              <w:lang w:eastAsia="pl-PL"/>
            </w:rPr>
          </w:pPr>
          <w:hyperlink w:anchor="_Toc202967813" w:history="1">
            <w:r w:rsidRPr="00C15158">
              <w:rPr>
                <w:rStyle w:val="Hipercze"/>
                <w:noProof/>
              </w:rPr>
              <w:t>1.1.</w:t>
            </w:r>
            <w:r>
              <w:rPr>
                <w:rFonts w:asciiTheme="minorHAnsi" w:eastAsiaTheme="minorEastAsia" w:hAnsiTheme="minorHAnsi"/>
                <w:noProof/>
                <w:sz w:val="24"/>
                <w:szCs w:val="24"/>
                <w:lang w:eastAsia="pl-PL"/>
              </w:rPr>
              <w:tab/>
            </w:r>
            <w:r w:rsidRPr="00C15158">
              <w:rPr>
                <w:rStyle w:val="Hipercze"/>
                <w:noProof/>
              </w:rPr>
              <w:t>System zobowiązujący do poprawy efektywności energetycznej (o którym mowa w art. 9 dyrektywy 2023/1791)</w:t>
            </w:r>
            <w:r>
              <w:rPr>
                <w:noProof/>
                <w:webHidden/>
              </w:rPr>
              <w:tab/>
            </w:r>
            <w:r>
              <w:rPr>
                <w:noProof/>
                <w:webHidden/>
              </w:rPr>
              <w:fldChar w:fldCharType="begin"/>
            </w:r>
            <w:r>
              <w:rPr>
                <w:noProof/>
                <w:webHidden/>
              </w:rPr>
              <w:instrText xml:space="preserve"> PAGEREF _Toc202967813 \h </w:instrText>
            </w:r>
            <w:r>
              <w:rPr>
                <w:noProof/>
                <w:webHidden/>
              </w:rPr>
            </w:r>
            <w:r>
              <w:rPr>
                <w:noProof/>
                <w:webHidden/>
              </w:rPr>
              <w:fldChar w:fldCharType="separate"/>
            </w:r>
            <w:r>
              <w:rPr>
                <w:noProof/>
                <w:webHidden/>
              </w:rPr>
              <w:t>4</w:t>
            </w:r>
            <w:r>
              <w:rPr>
                <w:noProof/>
                <w:webHidden/>
              </w:rPr>
              <w:fldChar w:fldCharType="end"/>
            </w:r>
          </w:hyperlink>
        </w:p>
        <w:p w14:paraId="22C25FCF" w14:textId="3ED961F1" w:rsidR="00CC735D" w:rsidRDefault="00CC735D">
          <w:pPr>
            <w:pStyle w:val="Spistreci2"/>
            <w:rPr>
              <w:rFonts w:asciiTheme="minorHAnsi" w:eastAsiaTheme="minorEastAsia" w:hAnsiTheme="minorHAnsi"/>
              <w:noProof/>
              <w:sz w:val="24"/>
              <w:szCs w:val="24"/>
              <w:lang w:eastAsia="pl-PL"/>
            </w:rPr>
          </w:pPr>
          <w:hyperlink w:anchor="_Toc202967814" w:history="1">
            <w:r w:rsidRPr="00C15158">
              <w:rPr>
                <w:rStyle w:val="Hipercze"/>
                <w:noProof/>
              </w:rPr>
              <w:t>1.2.</w:t>
            </w:r>
            <w:r>
              <w:rPr>
                <w:rFonts w:asciiTheme="minorHAnsi" w:eastAsiaTheme="minorEastAsia" w:hAnsiTheme="minorHAnsi"/>
                <w:noProof/>
                <w:sz w:val="24"/>
                <w:szCs w:val="24"/>
                <w:lang w:eastAsia="pl-PL"/>
              </w:rPr>
              <w:tab/>
            </w:r>
            <w:r w:rsidRPr="00C15158">
              <w:rPr>
                <w:rStyle w:val="Hipercze"/>
                <w:noProof/>
              </w:rPr>
              <w:t>Alternatywne środki z dziedziny polityki dotyczące oszczędności energii (o których mowa w art. 10 dyrektywy 2023/1791)</w:t>
            </w:r>
            <w:r>
              <w:rPr>
                <w:noProof/>
                <w:webHidden/>
              </w:rPr>
              <w:tab/>
            </w:r>
            <w:r>
              <w:rPr>
                <w:noProof/>
                <w:webHidden/>
              </w:rPr>
              <w:fldChar w:fldCharType="begin"/>
            </w:r>
            <w:r>
              <w:rPr>
                <w:noProof/>
                <w:webHidden/>
              </w:rPr>
              <w:instrText xml:space="preserve"> PAGEREF _Toc202967814 \h </w:instrText>
            </w:r>
            <w:r>
              <w:rPr>
                <w:noProof/>
                <w:webHidden/>
              </w:rPr>
            </w:r>
            <w:r>
              <w:rPr>
                <w:noProof/>
                <w:webHidden/>
              </w:rPr>
              <w:fldChar w:fldCharType="separate"/>
            </w:r>
            <w:r>
              <w:rPr>
                <w:noProof/>
                <w:webHidden/>
              </w:rPr>
              <w:t>14</w:t>
            </w:r>
            <w:r>
              <w:rPr>
                <w:noProof/>
                <w:webHidden/>
              </w:rPr>
              <w:fldChar w:fldCharType="end"/>
            </w:r>
          </w:hyperlink>
        </w:p>
        <w:p w14:paraId="15E250CF" w14:textId="72DA0904" w:rsidR="00CC735D" w:rsidRDefault="00CC735D">
          <w:pPr>
            <w:pStyle w:val="Spistreci3"/>
            <w:rPr>
              <w:rFonts w:asciiTheme="minorHAnsi" w:eastAsiaTheme="minorEastAsia" w:hAnsiTheme="minorHAnsi"/>
              <w:noProof/>
              <w:sz w:val="24"/>
              <w:szCs w:val="24"/>
              <w:lang w:eastAsia="pl-PL"/>
            </w:rPr>
          </w:pPr>
          <w:hyperlink w:anchor="_Toc202967815" w:history="1">
            <w:r w:rsidRPr="00C15158">
              <w:rPr>
                <w:rStyle w:val="Hipercze"/>
                <w:noProof/>
              </w:rPr>
              <w:t>1.2.1.</w:t>
            </w:r>
            <w:r>
              <w:rPr>
                <w:rFonts w:asciiTheme="minorHAnsi" w:eastAsiaTheme="minorEastAsia" w:hAnsiTheme="minorHAnsi"/>
                <w:noProof/>
                <w:sz w:val="24"/>
                <w:szCs w:val="24"/>
                <w:lang w:eastAsia="pl-PL"/>
              </w:rPr>
              <w:tab/>
            </w:r>
            <w:r w:rsidRPr="00C15158">
              <w:rPr>
                <w:rStyle w:val="Hipercze"/>
                <w:noProof/>
              </w:rPr>
              <w:t>Fundusz Termomodernizacji i Remontów (Program TERMO)</w:t>
            </w:r>
            <w:r>
              <w:rPr>
                <w:noProof/>
                <w:webHidden/>
              </w:rPr>
              <w:tab/>
            </w:r>
            <w:r>
              <w:rPr>
                <w:noProof/>
                <w:webHidden/>
              </w:rPr>
              <w:fldChar w:fldCharType="begin"/>
            </w:r>
            <w:r>
              <w:rPr>
                <w:noProof/>
                <w:webHidden/>
              </w:rPr>
              <w:instrText xml:space="preserve"> PAGEREF _Toc202967815 \h </w:instrText>
            </w:r>
            <w:r>
              <w:rPr>
                <w:noProof/>
                <w:webHidden/>
              </w:rPr>
            </w:r>
            <w:r>
              <w:rPr>
                <w:noProof/>
                <w:webHidden/>
              </w:rPr>
              <w:fldChar w:fldCharType="separate"/>
            </w:r>
            <w:r>
              <w:rPr>
                <w:noProof/>
                <w:webHidden/>
              </w:rPr>
              <w:t>14</w:t>
            </w:r>
            <w:r>
              <w:rPr>
                <w:noProof/>
                <w:webHidden/>
              </w:rPr>
              <w:fldChar w:fldCharType="end"/>
            </w:r>
          </w:hyperlink>
        </w:p>
        <w:p w14:paraId="2642C90D" w14:textId="51439D89" w:rsidR="00CC735D" w:rsidRDefault="00CC735D">
          <w:pPr>
            <w:pStyle w:val="Spistreci3"/>
            <w:rPr>
              <w:rFonts w:asciiTheme="minorHAnsi" w:eastAsiaTheme="minorEastAsia" w:hAnsiTheme="minorHAnsi"/>
              <w:noProof/>
              <w:sz w:val="24"/>
              <w:szCs w:val="24"/>
              <w:lang w:eastAsia="pl-PL"/>
            </w:rPr>
          </w:pPr>
          <w:hyperlink w:anchor="_Toc202967816" w:history="1">
            <w:r w:rsidRPr="00C15158">
              <w:rPr>
                <w:rStyle w:val="Hipercze"/>
                <w:noProof/>
              </w:rPr>
              <w:t>1.2.2.</w:t>
            </w:r>
            <w:r>
              <w:rPr>
                <w:rFonts w:asciiTheme="minorHAnsi" w:eastAsiaTheme="minorEastAsia" w:hAnsiTheme="minorHAnsi"/>
                <w:noProof/>
                <w:sz w:val="24"/>
                <w:szCs w:val="24"/>
                <w:lang w:eastAsia="pl-PL"/>
              </w:rPr>
              <w:tab/>
            </w:r>
            <w:r w:rsidRPr="00C15158">
              <w:rPr>
                <w:rStyle w:val="Hipercze"/>
                <w:noProof/>
              </w:rPr>
              <w:t>Ulga podatkowa dotycząca wydatków poniesionych na termomodernizację jednorodzinnych budynków mieszkalnych</w:t>
            </w:r>
            <w:r>
              <w:rPr>
                <w:noProof/>
                <w:webHidden/>
              </w:rPr>
              <w:tab/>
            </w:r>
            <w:r>
              <w:rPr>
                <w:noProof/>
                <w:webHidden/>
              </w:rPr>
              <w:fldChar w:fldCharType="begin"/>
            </w:r>
            <w:r>
              <w:rPr>
                <w:noProof/>
                <w:webHidden/>
              </w:rPr>
              <w:instrText xml:space="preserve"> PAGEREF _Toc202967816 \h </w:instrText>
            </w:r>
            <w:r>
              <w:rPr>
                <w:noProof/>
                <w:webHidden/>
              </w:rPr>
            </w:r>
            <w:r>
              <w:rPr>
                <w:noProof/>
                <w:webHidden/>
              </w:rPr>
              <w:fldChar w:fldCharType="separate"/>
            </w:r>
            <w:r>
              <w:rPr>
                <w:noProof/>
                <w:webHidden/>
              </w:rPr>
              <w:t>20</w:t>
            </w:r>
            <w:r>
              <w:rPr>
                <w:noProof/>
                <w:webHidden/>
              </w:rPr>
              <w:fldChar w:fldCharType="end"/>
            </w:r>
          </w:hyperlink>
        </w:p>
        <w:p w14:paraId="6B27C5DF" w14:textId="478CCA20" w:rsidR="00CC735D" w:rsidRDefault="00CC735D">
          <w:pPr>
            <w:pStyle w:val="Spistreci3"/>
            <w:rPr>
              <w:rFonts w:asciiTheme="minorHAnsi" w:eastAsiaTheme="minorEastAsia" w:hAnsiTheme="minorHAnsi"/>
              <w:noProof/>
              <w:sz w:val="24"/>
              <w:szCs w:val="24"/>
              <w:lang w:eastAsia="pl-PL"/>
            </w:rPr>
          </w:pPr>
          <w:hyperlink w:anchor="_Toc202967817" w:history="1">
            <w:r w:rsidRPr="00C15158">
              <w:rPr>
                <w:rStyle w:val="Hipercze"/>
                <w:noProof/>
              </w:rPr>
              <w:t>1.2.3.</w:t>
            </w:r>
            <w:r>
              <w:rPr>
                <w:rFonts w:asciiTheme="minorHAnsi" w:eastAsiaTheme="minorEastAsia" w:hAnsiTheme="minorHAnsi"/>
                <w:noProof/>
                <w:sz w:val="24"/>
                <w:szCs w:val="24"/>
                <w:lang w:eastAsia="pl-PL"/>
              </w:rPr>
              <w:tab/>
            </w:r>
            <w:r w:rsidRPr="00C15158">
              <w:rPr>
                <w:rStyle w:val="Hipercze"/>
                <w:noProof/>
              </w:rPr>
              <w:t>Rozwój publicznego transportu zbiorowego w miastach</w:t>
            </w:r>
            <w:r>
              <w:rPr>
                <w:noProof/>
                <w:webHidden/>
              </w:rPr>
              <w:tab/>
            </w:r>
            <w:r>
              <w:rPr>
                <w:noProof/>
                <w:webHidden/>
              </w:rPr>
              <w:fldChar w:fldCharType="begin"/>
            </w:r>
            <w:r>
              <w:rPr>
                <w:noProof/>
                <w:webHidden/>
              </w:rPr>
              <w:instrText xml:space="preserve"> PAGEREF _Toc202967817 \h </w:instrText>
            </w:r>
            <w:r>
              <w:rPr>
                <w:noProof/>
                <w:webHidden/>
              </w:rPr>
            </w:r>
            <w:r>
              <w:rPr>
                <w:noProof/>
                <w:webHidden/>
              </w:rPr>
              <w:fldChar w:fldCharType="separate"/>
            </w:r>
            <w:r>
              <w:rPr>
                <w:noProof/>
                <w:webHidden/>
              </w:rPr>
              <w:t>25</w:t>
            </w:r>
            <w:r>
              <w:rPr>
                <w:noProof/>
                <w:webHidden/>
              </w:rPr>
              <w:fldChar w:fldCharType="end"/>
            </w:r>
          </w:hyperlink>
        </w:p>
        <w:p w14:paraId="6FDEE728" w14:textId="6694F0AA" w:rsidR="00CC735D" w:rsidRDefault="00CC735D">
          <w:pPr>
            <w:pStyle w:val="Spistreci3"/>
            <w:rPr>
              <w:rFonts w:asciiTheme="minorHAnsi" w:eastAsiaTheme="minorEastAsia" w:hAnsiTheme="minorHAnsi"/>
              <w:noProof/>
              <w:sz w:val="24"/>
              <w:szCs w:val="24"/>
              <w:lang w:eastAsia="pl-PL"/>
            </w:rPr>
          </w:pPr>
          <w:hyperlink w:anchor="_Toc202967818" w:history="1">
            <w:r w:rsidRPr="00C15158">
              <w:rPr>
                <w:rStyle w:val="Hipercze"/>
                <w:noProof/>
              </w:rPr>
              <w:t>1.2.4.</w:t>
            </w:r>
            <w:r>
              <w:rPr>
                <w:rFonts w:asciiTheme="minorHAnsi" w:eastAsiaTheme="minorEastAsia" w:hAnsiTheme="minorHAnsi"/>
                <w:noProof/>
                <w:sz w:val="24"/>
                <w:szCs w:val="24"/>
                <w:lang w:eastAsia="pl-PL"/>
              </w:rPr>
              <w:tab/>
            </w:r>
            <w:r w:rsidRPr="00C15158">
              <w:rPr>
                <w:rStyle w:val="Hipercze"/>
                <w:noProof/>
              </w:rPr>
              <w:t>Poprawa efektywności energetycznej budynków mieszkalnych</w:t>
            </w:r>
            <w:r>
              <w:rPr>
                <w:noProof/>
                <w:webHidden/>
              </w:rPr>
              <w:tab/>
            </w:r>
            <w:r>
              <w:rPr>
                <w:noProof/>
                <w:webHidden/>
              </w:rPr>
              <w:fldChar w:fldCharType="begin"/>
            </w:r>
            <w:r>
              <w:rPr>
                <w:noProof/>
                <w:webHidden/>
              </w:rPr>
              <w:instrText xml:space="preserve"> PAGEREF _Toc202967818 \h </w:instrText>
            </w:r>
            <w:r>
              <w:rPr>
                <w:noProof/>
                <w:webHidden/>
              </w:rPr>
            </w:r>
            <w:r>
              <w:rPr>
                <w:noProof/>
                <w:webHidden/>
              </w:rPr>
              <w:fldChar w:fldCharType="separate"/>
            </w:r>
            <w:r>
              <w:rPr>
                <w:noProof/>
                <w:webHidden/>
              </w:rPr>
              <w:t>30</w:t>
            </w:r>
            <w:r>
              <w:rPr>
                <w:noProof/>
                <w:webHidden/>
              </w:rPr>
              <w:fldChar w:fldCharType="end"/>
            </w:r>
          </w:hyperlink>
        </w:p>
        <w:p w14:paraId="5556E024" w14:textId="3AB5BCE8" w:rsidR="00CC735D" w:rsidRDefault="00CC735D">
          <w:pPr>
            <w:pStyle w:val="Spistreci3"/>
            <w:rPr>
              <w:rFonts w:asciiTheme="minorHAnsi" w:eastAsiaTheme="minorEastAsia" w:hAnsiTheme="minorHAnsi"/>
              <w:noProof/>
              <w:sz w:val="24"/>
              <w:szCs w:val="24"/>
              <w:lang w:eastAsia="pl-PL"/>
            </w:rPr>
          </w:pPr>
          <w:hyperlink w:anchor="_Toc202967819" w:history="1">
            <w:r w:rsidRPr="00C15158">
              <w:rPr>
                <w:rStyle w:val="Hipercze"/>
                <w:noProof/>
              </w:rPr>
              <w:t>1.2.5.</w:t>
            </w:r>
            <w:r>
              <w:rPr>
                <w:rFonts w:asciiTheme="minorHAnsi" w:eastAsiaTheme="minorEastAsia" w:hAnsiTheme="minorHAnsi"/>
                <w:noProof/>
                <w:sz w:val="24"/>
                <w:szCs w:val="24"/>
                <w:lang w:eastAsia="pl-PL"/>
              </w:rPr>
              <w:tab/>
            </w:r>
            <w:r w:rsidRPr="00C15158">
              <w:rPr>
                <w:rStyle w:val="Hipercze"/>
                <w:noProof/>
              </w:rPr>
              <w:t>Efektywny energetycznie sektor publiczny</w:t>
            </w:r>
            <w:r>
              <w:rPr>
                <w:noProof/>
                <w:webHidden/>
              </w:rPr>
              <w:tab/>
            </w:r>
            <w:r>
              <w:rPr>
                <w:noProof/>
                <w:webHidden/>
              </w:rPr>
              <w:fldChar w:fldCharType="begin"/>
            </w:r>
            <w:r>
              <w:rPr>
                <w:noProof/>
                <w:webHidden/>
              </w:rPr>
              <w:instrText xml:space="preserve"> PAGEREF _Toc202967819 \h </w:instrText>
            </w:r>
            <w:r>
              <w:rPr>
                <w:noProof/>
                <w:webHidden/>
              </w:rPr>
            </w:r>
            <w:r>
              <w:rPr>
                <w:noProof/>
                <w:webHidden/>
              </w:rPr>
              <w:fldChar w:fldCharType="separate"/>
            </w:r>
            <w:r>
              <w:rPr>
                <w:noProof/>
                <w:webHidden/>
              </w:rPr>
              <w:t>37</w:t>
            </w:r>
            <w:r>
              <w:rPr>
                <w:noProof/>
                <w:webHidden/>
              </w:rPr>
              <w:fldChar w:fldCharType="end"/>
            </w:r>
          </w:hyperlink>
        </w:p>
        <w:p w14:paraId="00E1B39A" w14:textId="14F27D13" w:rsidR="00CC735D" w:rsidRDefault="00CC735D">
          <w:pPr>
            <w:pStyle w:val="Spistreci1"/>
            <w:rPr>
              <w:rFonts w:asciiTheme="minorHAnsi" w:eastAsiaTheme="minorEastAsia" w:hAnsiTheme="minorHAnsi"/>
              <w:noProof/>
              <w:sz w:val="24"/>
              <w:szCs w:val="24"/>
              <w:lang w:eastAsia="pl-PL"/>
            </w:rPr>
          </w:pPr>
          <w:hyperlink w:anchor="_Toc202967820" w:history="1">
            <w:r w:rsidRPr="00C15158">
              <w:rPr>
                <w:rStyle w:val="Hipercze"/>
                <w:noProof/>
              </w:rPr>
              <w:t>2.</w:t>
            </w:r>
            <w:r>
              <w:rPr>
                <w:rFonts w:asciiTheme="minorHAnsi" w:eastAsiaTheme="minorEastAsia" w:hAnsiTheme="minorHAnsi"/>
                <w:noProof/>
                <w:sz w:val="24"/>
                <w:szCs w:val="24"/>
                <w:lang w:eastAsia="pl-PL"/>
              </w:rPr>
              <w:tab/>
            </w:r>
            <w:r w:rsidRPr="00C15158">
              <w:rPr>
                <w:rStyle w:val="Hipercze"/>
                <w:noProof/>
              </w:rPr>
              <w:t>Wartości współczynnika nakładu nieodnawialnej energii pierwotnej dla energii elektrycznej z sieci elektroenergetycznej dla Polski</w:t>
            </w:r>
            <w:r>
              <w:rPr>
                <w:noProof/>
                <w:webHidden/>
              </w:rPr>
              <w:tab/>
            </w:r>
            <w:r>
              <w:rPr>
                <w:noProof/>
                <w:webHidden/>
              </w:rPr>
              <w:fldChar w:fldCharType="begin"/>
            </w:r>
            <w:r>
              <w:rPr>
                <w:noProof/>
                <w:webHidden/>
              </w:rPr>
              <w:instrText xml:space="preserve"> PAGEREF _Toc202967820 \h </w:instrText>
            </w:r>
            <w:r>
              <w:rPr>
                <w:noProof/>
                <w:webHidden/>
              </w:rPr>
            </w:r>
            <w:r>
              <w:rPr>
                <w:noProof/>
                <w:webHidden/>
              </w:rPr>
              <w:fldChar w:fldCharType="separate"/>
            </w:r>
            <w:r>
              <w:rPr>
                <w:noProof/>
                <w:webHidden/>
              </w:rPr>
              <w:t>43</w:t>
            </w:r>
            <w:r>
              <w:rPr>
                <w:noProof/>
                <w:webHidden/>
              </w:rPr>
              <w:fldChar w:fldCharType="end"/>
            </w:r>
          </w:hyperlink>
        </w:p>
        <w:p w14:paraId="6DB3CB59" w14:textId="7CA8FFB7" w:rsidR="00CC735D" w:rsidRDefault="00CC735D">
          <w:pPr>
            <w:pStyle w:val="Spistreci1"/>
            <w:rPr>
              <w:rFonts w:asciiTheme="minorHAnsi" w:eastAsiaTheme="minorEastAsia" w:hAnsiTheme="minorHAnsi"/>
              <w:noProof/>
              <w:sz w:val="24"/>
              <w:szCs w:val="24"/>
              <w:lang w:eastAsia="pl-PL"/>
            </w:rPr>
          </w:pPr>
          <w:hyperlink w:anchor="_Toc202967821" w:history="1">
            <w:r w:rsidRPr="00C15158">
              <w:rPr>
                <w:rStyle w:val="Hipercze"/>
                <w:noProof/>
              </w:rPr>
              <w:t>Źródła danych</w:t>
            </w:r>
            <w:r>
              <w:rPr>
                <w:noProof/>
                <w:webHidden/>
              </w:rPr>
              <w:tab/>
            </w:r>
            <w:r>
              <w:rPr>
                <w:noProof/>
                <w:webHidden/>
              </w:rPr>
              <w:fldChar w:fldCharType="begin"/>
            </w:r>
            <w:r>
              <w:rPr>
                <w:noProof/>
                <w:webHidden/>
              </w:rPr>
              <w:instrText xml:space="preserve"> PAGEREF _Toc202967821 \h </w:instrText>
            </w:r>
            <w:r>
              <w:rPr>
                <w:noProof/>
                <w:webHidden/>
              </w:rPr>
            </w:r>
            <w:r>
              <w:rPr>
                <w:noProof/>
                <w:webHidden/>
              </w:rPr>
              <w:fldChar w:fldCharType="separate"/>
            </w:r>
            <w:r>
              <w:rPr>
                <w:noProof/>
                <w:webHidden/>
              </w:rPr>
              <w:t>46</w:t>
            </w:r>
            <w:r>
              <w:rPr>
                <w:noProof/>
                <w:webHidden/>
              </w:rPr>
              <w:fldChar w:fldCharType="end"/>
            </w:r>
          </w:hyperlink>
        </w:p>
        <w:p w14:paraId="53360017" w14:textId="258CFC36" w:rsidR="00BA46AC" w:rsidRDefault="0097073E">
          <w:r>
            <w:rPr>
              <w:rFonts w:ascii="Bahnschrift" w:hAnsi="Bahnschrift"/>
              <w:sz w:val="22"/>
            </w:rPr>
            <w:fldChar w:fldCharType="end"/>
          </w:r>
        </w:p>
      </w:sdtContent>
    </w:sdt>
    <w:p w14:paraId="537E9E8B" w14:textId="77777777" w:rsidR="00BA46AC" w:rsidRDefault="00BA46AC" w:rsidP="009A4A98">
      <w:r>
        <w:br w:type="page"/>
      </w:r>
    </w:p>
    <w:p w14:paraId="6882618F" w14:textId="28E4CF92" w:rsidR="00805E07" w:rsidRPr="00805E07" w:rsidRDefault="00805E07" w:rsidP="009A4A98">
      <w:pPr>
        <w:pStyle w:val="Nagwek1"/>
      </w:pPr>
      <w:bookmarkStart w:id="0" w:name="_Toc173756102"/>
      <w:bookmarkStart w:id="1" w:name="_Toc173761655"/>
      <w:bookmarkStart w:id="2" w:name="_Toc173764044"/>
      <w:bookmarkStart w:id="3" w:name="_Toc174521807"/>
      <w:bookmarkStart w:id="4" w:name="_Toc175299062"/>
      <w:bookmarkStart w:id="5" w:name="_Toc175299151"/>
      <w:bookmarkStart w:id="6" w:name="_Toc175573757"/>
      <w:bookmarkStart w:id="7" w:name="_Toc202967812"/>
      <w:bookmarkEnd w:id="0"/>
      <w:bookmarkEnd w:id="1"/>
      <w:bookmarkEnd w:id="2"/>
      <w:bookmarkEnd w:id="3"/>
      <w:bookmarkEnd w:id="4"/>
      <w:bookmarkEnd w:id="5"/>
      <w:bookmarkEnd w:id="6"/>
      <w:r w:rsidRPr="00D625E0">
        <w:lastRenderedPageBreak/>
        <w:t>Środki</w:t>
      </w:r>
      <w:r w:rsidRPr="00373FD3">
        <w:t xml:space="preserve"> realizacj</w:t>
      </w:r>
      <w:r>
        <w:t>i</w:t>
      </w:r>
      <w:r w:rsidRPr="00373FD3">
        <w:t xml:space="preserve"> wymaganych oszczędności końcowego zużycia energii</w:t>
      </w:r>
      <w:bookmarkEnd w:id="7"/>
    </w:p>
    <w:p w14:paraId="3BFF38FC" w14:textId="5BCFA66D" w:rsidR="00E57F33" w:rsidRPr="00E57F33" w:rsidRDefault="002B484E" w:rsidP="00E57F33">
      <w:pPr>
        <w:spacing w:after="120"/>
      </w:pPr>
      <w:r>
        <w:t>Z</w:t>
      </w:r>
      <w:r w:rsidR="00F34BD4" w:rsidRPr="009C725B">
        <w:t xml:space="preserve">godnie z art. </w:t>
      </w:r>
      <w:r w:rsidR="00F34BD4">
        <w:t>8</w:t>
      </w:r>
      <w:r w:rsidR="00F34BD4" w:rsidRPr="009C725B">
        <w:t xml:space="preserve"> </w:t>
      </w:r>
      <w:r w:rsidR="00F34BD4">
        <w:t xml:space="preserve">ust. </w:t>
      </w:r>
      <w:r w:rsidR="00E57F33">
        <w:t>1</w:t>
      </w:r>
      <w:r w:rsidR="00F34BD4">
        <w:t xml:space="preserve"> </w:t>
      </w:r>
      <w:r w:rsidR="00F34BD4" w:rsidRPr="009C725B">
        <w:t>dyrektywy</w:t>
      </w:r>
      <w:r w:rsidR="00F34BD4">
        <w:t xml:space="preserve"> </w:t>
      </w:r>
      <w:r w:rsidRPr="002B484E">
        <w:t>Parlamentu Europejskiego i Rady (UE) 2023/1791 z dnia 13 września 2023 r. w sprawie efektywności energetycznej oraz zmieniająca rozporządzenie (UE) 2023/955</w:t>
      </w:r>
      <w:r>
        <w:t xml:space="preserve"> p</w:t>
      </w:r>
      <w:r w:rsidRPr="009C725B">
        <w:t xml:space="preserve">aństwa członkowskie </w:t>
      </w:r>
      <w:r>
        <w:t xml:space="preserve">Unii Europejskiej </w:t>
      </w:r>
      <w:r w:rsidR="00F34BD4" w:rsidRPr="009C725B">
        <w:t xml:space="preserve">zobowiązane są do osiągniecia </w:t>
      </w:r>
      <w:r w:rsidR="00E57F33">
        <w:t>skumulowanych oszczędności końcowego zużycia energii do 2030 r.</w:t>
      </w:r>
      <w:r w:rsidR="00E57F33" w:rsidRPr="00E57F33">
        <w:t>, obliczanych jako odsetek uśrednionego rzeczywistego zużycia energii w latach 2016–2018 (tj. </w:t>
      </w:r>
      <w:r w:rsidR="000A1994">
        <w:t>69 815</w:t>
      </w:r>
      <w:r w:rsidR="00E57F33" w:rsidRPr="00E57F33">
        <w:t xml:space="preserve"> ktoe)</w:t>
      </w:r>
      <w:r w:rsidR="00E57F33" w:rsidRPr="00E57F33">
        <w:rPr>
          <w:vertAlign w:val="superscript"/>
        </w:rPr>
        <w:footnoteReference w:id="2"/>
      </w:r>
      <w:r w:rsidR="00E57F33" w:rsidRPr="00E57F33">
        <w:t>:</w:t>
      </w:r>
    </w:p>
    <w:p w14:paraId="4DAA7E1B" w14:textId="61BFA956" w:rsidR="00E57F33" w:rsidRPr="00E57F33" w:rsidRDefault="00E57F33" w:rsidP="00E57F33">
      <w:pPr>
        <w:numPr>
          <w:ilvl w:val="0"/>
          <w:numId w:val="38"/>
        </w:numPr>
        <w:spacing w:after="120"/>
      </w:pPr>
      <w:r w:rsidRPr="00E57F33">
        <w:t>2024–2025 – 1,3% rocznego finalnego zużycia energii (tj. 90</w:t>
      </w:r>
      <w:r w:rsidR="000A1994">
        <w:t>8</w:t>
      </w:r>
      <w:r w:rsidRPr="00E57F33">
        <w:t xml:space="preserve"> ktoe);</w:t>
      </w:r>
    </w:p>
    <w:p w14:paraId="0E2DEB31" w14:textId="10D04274" w:rsidR="00E57F33" w:rsidRDefault="00E57F33" w:rsidP="00E57F33">
      <w:pPr>
        <w:numPr>
          <w:ilvl w:val="0"/>
          <w:numId w:val="38"/>
        </w:numPr>
        <w:spacing w:after="120"/>
      </w:pPr>
      <w:r w:rsidRPr="00E57F33">
        <w:t>2026–2027 – 1,5% rocznego finalnego zużycia energii (tj. 10</w:t>
      </w:r>
      <w:r w:rsidR="000A1994">
        <w:t>47</w:t>
      </w:r>
      <w:r w:rsidRPr="00E57F33">
        <w:t xml:space="preserve"> ktoe);</w:t>
      </w:r>
    </w:p>
    <w:p w14:paraId="4D215CE0" w14:textId="2092196F" w:rsidR="00E57F33" w:rsidRPr="00E57F33" w:rsidRDefault="00E57F33" w:rsidP="00E57F33">
      <w:pPr>
        <w:numPr>
          <w:ilvl w:val="0"/>
          <w:numId w:val="38"/>
        </w:numPr>
        <w:spacing w:after="120"/>
      </w:pPr>
      <w:r w:rsidRPr="00E57F33">
        <w:t>2028–2030 – 1,9% rocznego finalnego zużycia energii (tj. 13</w:t>
      </w:r>
      <w:r w:rsidR="000A1994">
        <w:t>26</w:t>
      </w:r>
      <w:r w:rsidRPr="00E57F33">
        <w:t xml:space="preserve"> ktoe). </w:t>
      </w:r>
    </w:p>
    <w:p w14:paraId="615652D5" w14:textId="1FE68122" w:rsidR="00E57F33" w:rsidRDefault="0046408D" w:rsidP="00EB53CB">
      <w:pPr>
        <w:spacing w:after="120"/>
      </w:pPr>
      <w:r>
        <w:t>Mając na względzie historyczne zużycie energii, w</w:t>
      </w:r>
      <w:r w:rsidRPr="0046408D">
        <w:t>ysokość całkowitych skumulowanych oszczędności finalnego zużycia energii do osiągnięcia w okresie 2021</w:t>
      </w:r>
      <w:r w:rsidR="004B0F0A">
        <w:t>–20</w:t>
      </w:r>
      <w:r w:rsidRPr="0046408D">
        <w:t xml:space="preserve">30 </w:t>
      </w:r>
      <w:r>
        <w:t>wynosi</w:t>
      </w:r>
      <w:r w:rsidRPr="0046408D">
        <w:t xml:space="preserve"> </w:t>
      </w:r>
      <w:r w:rsidRPr="0046408D">
        <w:rPr>
          <w:b/>
          <w:bCs/>
        </w:rPr>
        <w:t>44 </w:t>
      </w:r>
      <w:r w:rsidR="000A1994">
        <w:rPr>
          <w:b/>
          <w:bCs/>
        </w:rPr>
        <w:t>465</w:t>
      </w:r>
      <w:r w:rsidRPr="0046408D">
        <w:rPr>
          <w:b/>
          <w:bCs/>
        </w:rPr>
        <w:t xml:space="preserve"> ktoe</w:t>
      </w:r>
      <w:r w:rsidRPr="0046408D">
        <w:t xml:space="preserve">. </w:t>
      </w:r>
    </w:p>
    <w:p w14:paraId="5AA3D026" w14:textId="77777777" w:rsidR="00E57F33" w:rsidRDefault="00E57F33" w:rsidP="00EB53CB">
      <w:pPr>
        <w:spacing w:after="120"/>
      </w:pPr>
    </w:p>
    <w:p w14:paraId="223400C1" w14:textId="0C820440" w:rsidR="00F34BD4" w:rsidRPr="009C725B" w:rsidRDefault="0046408D" w:rsidP="00EB53CB">
      <w:pPr>
        <w:spacing w:after="120"/>
      </w:pPr>
      <w:r>
        <w:t>Z</w:t>
      </w:r>
      <w:r w:rsidRPr="009C725B">
        <w:t xml:space="preserve">godnie z art. </w:t>
      </w:r>
      <w:r>
        <w:t>8</w:t>
      </w:r>
      <w:r w:rsidRPr="009C725B">
        <w:t xml:space="preserve"> </w:t>
      </w:r>
      <w:r>
        <w:t xml:space="preserve">ust. 1 </w:t>
      </w:r>
      <w:r w:rsidRPr="009C725B">
        <w:t>dyrektywy</w:t>
      </w:r>
      <w:r>
        <w:t xml:space="preserve"> 2023/1791 </w:t>
      </w:r>
      <w:r w:rsidR="00F34BD4" w:rsidRPr="009C725B">
        <w:t>łączn</w:t>
      </w:r>
      <w:r>
        <w:t>a</w:t>
      </w:r>
      <w:r w:rsidR="00F34BD4" w:rsidRPr="009C725B">
        <w:t xml:space="preserve"> wartoś</w:t>
      </w:r>
      <w:r>
        <w:t>ć</w:t>
      </w:r>
      <w:r w:rsidR="00F34BD4" w:rsidRPr="009C725B">
        <w:t xml:space="preserve"> oszczędności końcowego zużycia energii</w:t>
      </w:r>
      <w:r>
        <w:t xml:space="preserve"> może być osiągnięta</w:t>
      </w:r>
      <w:r w:rsidR="00F34BD4" w:rsidRPr="009C725B">
        <w:t xml:space="preserve"> poprzez: </w:t>
      </w:r>
    </w:p>
    <w:p w14:paraId="400DA50F" w14:textId="1DEC7036" w:rsidR="00F34BD4" w:rsidRPr="009C725B" w:rsidRDefault="00F34BD4" w:rsidP="00EB53CB">
      <w:pPr>
        <w:numPr>
          <w:ilvl w:val="0"/>
          <w:numId w:val="12"/>
        </w:numPr>
        <w:spacing w:after="120"/>
      </w:pPr>
      <w:r w:rsidRPr="009C725B">
        <w:t xml:space="preserve">ustanowienie systemu zobowiązującego do </w:t>
      </w:r>
      <w:r w:rsidR="00010793">
        <w:t xml:space="preserve">poprawy </w:t>
      </w:r>
      <w:r w:rsidRPr="009C725B">
        <w:t xml:space="preserve">efektywności energetycznej; </w:t>
      </w:r>
    </w:p>
    <w:p w14:paraId="66820C16" w14:textId="3CDD3118" w:rsidR="00F34BD4" w:rsidRPr="009C725B" w:rsidRDefault="00F34BD4" w:rsidP="00EB53CB">
      <w:pPr>
        <w:numPr>
          <w:ilvl w:val="0"/>
          <w:numId w:val="12"/>
        </w:numPr>
        <w:spacing w:after="120"/>
      </w:pPr>
      <w:r w:rsidRPr="009C725B">
        <w:t xml:space="preserve">przyjęcie alternatywnych środków </w:t>
      </w:r>
      <w:r w:rsidR="00EB53CB">
        <w:t>(</w:t>
      </w:r>
      <w:r w:rsidRPr="009C725B">
        <w:t>z dziedziny polityki</w:t>
      </w:r>
      <w:r w:rsidR="00EB53CB">
        <w:t>)</w:t>
      </w:r>
      <w:r w:rsidRPr="009C725B">
        <w:t xml:space="preserve"> lub </w:t>
      </w:r>
    </w:p>
    <w:p w14:paraId="41AEAB86" w14:textId="71A4CE6E" w:rsidR="002B484E" w:rsidRDefault="00F34BD4" w:rsidP="00EB53CB">
      <w:pPr>
        <w:numPr>
          <w:ilvl w:val="0"/>
          <w:numId w:val="12"/>
        </w:numPr>
      </w:pPr>
      <w:r w:rsidRPr="009C725B">
        <w:t>mogą łączyć wymienione powyżej sposoby.</w:t>
      </w:r>
    </w:p>
    <w:p w14:paraId="4957305A" w14:textId="077B42FD" w:rsidR="00F34BD4" w:rsidRDefault="00F34BD4" w:rsidP="00373FD3">
      <w:r>
        <w:t>S</w:t>
      </w:r>
      <w:r w:rsidRPr="009C725B">
        <w:t xml:space="preserve">ystemy zobowiązujące do </w:t>
      </w:r>
      <w:r w:rsidR="00010793">
        <w:t xml:space="preserve">poprawy </w:t>
      </w:r>
      <w:r w:rsidRPr="009C725B">
        <w:t>efektywności energetycznej oraz alternatywne środki są w</w:t>
      </w:r>
      <w:r w:rsidR="0075057F">
        <w:t> </w:t>
      </w:r>
      <w:r w:rsidRPr="009C725B">
        <w:t xml:space="preserve">tym zakresie </w:t>
      </w:r>
      <w:r>
        <w:t>równoważ</w:t>
      </w:r>
      <w:r w:rsidRPr="009C725B">
        <w:t>ne. Państwa członkowskie mają dużą elastyczność i szeroką swobodę w</w:t>
      </w:r>
      <w:r w:rsidR="0075057F">
        <w:t> </w:t>
      </w:r>
      <w:r w:rsidRPr="009C725B">
        <w:t>wyborze spośród różnego rodzaju środków systemu najlepiej dopasowanego do ich szczególnej sytuacji</w:t>
      </w:r>
      <w:r>
        <w:t>, uwarunkowań</w:t>
      </w:r>
      <w:r w:rsidRPr="009C725B">
        <w:t xml:space="preserve"> i okoliczności.</w:t>
      </w:r>
      <w:r w:rsidR="00E45FB6">
        <w:rPr>
          <w:rStyle w:val="Odwoanieprzypisudolnego"/>
        </w:rPr>
        <w:footnoteReference w:id="3"/>
      </w:r>
    </w:p>
    <w:p w14:paraId="063DEC79" w14:textId="1EC5942B" w:rsidR="00235CB9" w:rsidRDefault="00F34BD4" w:rsidP="00373FD3">
      <w:r>
        <w:t xml:space="preserve">Obowiązek oszczędności energii finalnej w </w:t>
      </w:r>
      <w:r w:rsidRPr="004D7678">
        <w:t xml:space="preserve">Polsce </w:t>
      </w:r>
      <w:r>
        <w:t xml:space="preserve">jest realizowany od 2021 r. przez </w:t>
      </w:r>
      <w:r w:rsidRPr="004D7678">
        <w:t xml:space="preserve">system zobowiązujący do </w:t>
      </w:r>
      <w:r w:rsidR="00010793">
        <w:t xml:space="preserve">poprawy </w:t>
      </w:r>
      <w:r w:rsidRPr="004D7678">
        <w:t>efektywności energetycznej</w:t>
      </w:r>
      <w:r>
        <w:t xml:space="preserve"> (system świadectw efektywności energetycznej) oraz </w:t>
      </w:r>
      <w:r w:rsidR="0075057F">
        <w:t xml:space="preserve">środki </w:t>
      </w:r>
      <w:r>
        <w:t xml:space="preserve">alternatywne. </w:t>
      </w:r>
    </w:p>
    <w:p w14:paraId="30E6C3EA" w14:textId="08698EA9" w:rsidR="00F34BD4" w:rsidRDefault="00F34BD4" w:rsidP="00373FD3">
      <w:r>
        <w:t xml:space="preserve">Od 2024 </w:t>
      </w:r>
      <w:r w:rsidR="0011179A">
        <w:t>r.</w:t>
      </w:r>
      <w:r>
        <w:t xml:space="preserve"> Polska będzie kontynuować </w:t>
      </w:r>
      <w:r w:rsidR="0075057F">
        <w:t>to</w:t>
      </w:r>
      <w:r>
        <w:t xml:space="preserve"> podejście w realizacji nowego celu wynikającego z art. 8 ust. 1 dyrektywy. Planowane jest zachowanie dotychczasowego poziomu obowiązku dla podmiotów zobowiązanych w ramach systemu świadectw efektywności energetycznej (więcej informacji w rozdziale </w:t>
      </w:r>
      <w:r w:rsidR="00235CB9">
        <w:t>1</w:t>
      </w:r>
      <w:r>
        <w:t xml:space="preserve">.1), pozostałą część wymaganych całkowitych skumulowanych oszczędności Polska zapewni poprzez alternatywne środki (więcej w rozdziale </w:t>
      </w:r>
      <w:r w:rsidR="00235CB9">
        <w:t>1</w:t>
      </w:r>
      <w:r>
        <w:t>.2).</w:t>
      </w:r>
    </w:p>
    <w:p w14:paraId="5D1BC188" w14:textId="7757E53F" w:rsidR="00A87889" w:rsidRPr="00A77398" w:rsidRDefault="00A87889" w:rsidP="00A77398">
      <w:pPr>
        <w:pStyle w:val="Cele"/>
        <w:jc w:val="center"/>
        <w:rPr>
          <w:b/>
          <w:bCs/>
          <w:sz w:val="22"/>
          <w:szCs w:val="24"/>
        </w:rPr>
      </w:pPr>
      <w:r w:rsidRPr="00A77398">
        <w:rPr>
          <w:b/>
          <w:bCs/>
          <w:sz w:val="22"/>
          <w:szCs w:val="24"/>
        </w:rPr>
        <w:t xml:space="preserve">Przewiduje się, że </w:t>
      </w:r>
      <w:r w:rsidR="00010793" w:rsidRPr="00A77398">
        <w:rPr>
          <w:b/>
          <w:bCs/>
          <w:sz w:val="22"/>
          <w:szCs w:val="24"/>
        </w:rPr>
        <w:t xml:space="preserve">system zobowiązujący do poprawy efektywności energetycznej </w:t>
      </w:r>
      <w:r w:rsidR="00C204DC">
        <w:rPr>
          <w:b/>
          <w:bCs/>
          <w:sz w:val="22"/>
          <w:szCs w:val="24"/>
        </w:rPr>
        <w:br/>
      </w:r>
      <w:r w:rsidR="00010793" w:rsidRPr="00A77398">
        <w:rPr>
          <w:b/>
          <w:bCs/>
          <w:sz w:val="22"/>
          <w:szCs w:val="24"/>
        </w:rPr>
        <w:t xml:space="preserve">może przynieść do 2030 r. skumulowane oszczędności końcowego zużycia energii </w:t>
      </w:r>
      <w:r w:rsidR="00C204DC">
        <w:rPr>
          <w:b/>
          <w:bCs/>
          <w:sz w:val="22"/>
          <w:szCs w:val="24"/>
        </w:rPr>
        <w:br/>
      </w:r>
      <w:r w:rsidR="00010793" w:rsidRPr="00A77398">
        <w:rPr>
          <w:b/>
          <w:bCs/>
          <w:sz w:val="22"/>
          <w:szCs w:val="24"/>
        </w:rPr>
        <w:t xml:space="preserve">na poziomie </w:t>
      </w:r>
      <w:r w:rsidR="0046408D">
        <w:rPr>
          <w:b/>
          <w:bCs/>
          <w:sz w:val="22"/>
          <w:szCs w:val="24"/>
        </w:rPr>
        <w:t>do</w:t>
      </w:r>
      <w:r w:rsidR="00C204DC">
        <w:rPr>
          <w:b/>
          <w:bCs/>
          <w:sz w:val="22"/>
          <w:szCs w:val="24"/>
        </w:rPr>
        <w:t> </w:t>
      </w:r>
      <w:r w:rsidRPr="00A77398">
        <w:rPr>
          <w:b/>
          <w:bCs/>
          <w:sz w:val="22"/>
          <w:szCs w:val="24"/>
        </w:rPr>
        <w:t>27</w:t>
      </w:r>
      <w:r w:rsidR="00A77398">
        <w:rPr>
          <w:b/>
          <w:bCs/>
          <w:sz w:val="22"/>
          <w:szCs w:val="24"/>
        </w:rPr>
        <w:t> </w:t>
      </w:r>
      <w:r w:rsidRPr="00A77398">
        <w:rPr>
          <w:b/>
          <w:bCs/>
          <w:sz w:val="22"/>
          <w:szCs w:val="24"/>
        </w:rPr>
        <w:t>197 ktoe</w:t>
      </w:r>
      <w:r w:rsidR="00C401CE">
        <w:rPr>
          <w:b/>
          <w:bCs/>
          <w:sz w:val="22"/>
          <w:szCs w:val="24"/>
        </w:rPr>
        <w:t xml:space="preserve">, </w:t>
      </w:r>
      <w:r w:rsidR="00C204DC">
        <w:rPr>
          <w:b/>
          <w:bCs/>
          <w:sz w:val="22"/>
          <w:szCs w:val="24"/>
        </w:rPr>
        <w:br/>
      </w:r>
      <w:r w:rsidR="00C401CE">
        <w:rPr>
          <w:b/>
          <w:bCs/>
          <w:sz w:val="22"/>
          <w:szCs w:val="24"/>
        </w:rPr>
        <w:t>n</w:t>
      </w:r>
      <w:r w:rsidR="00010793" w:rsidRPr="00A77398">
        <w:rPr>
          <w:b/>
          <w:bCs/>
          <w:sz w:val="22"/>
          <w:szCs w:val="24"/>
        </w:rPr>
        <w:t xml:space="preserve">atomiast środki </w:t>
      </w:r>
      <w:r w:rsidR="00D625E0" w:rsidRPr="00A77398">
        <w:rPr>
          <w:b/>
          <w:bCs/>
          <w:sz w:val="22"/>
          <w:szCs w:val="24"/>
        </w:rPr>
        <w:t>alternatywne</w:t>
      </w:r>
      <w:r w:rsidR="00C204DC">
        <w:rPr>
          <w:b/>
          <w:bCs/>
          <w:sz w:val="22"/>
          <w:szCs w:val="24"/>
        </w:rPr>
        <w:t xml:space="preserve"> </w:t>
      </w:r>
      <w:r w:rsidR="00C204DC" w:rsidRPr="00C204DC">
        <w:rPr>
          <w:b/>
          <w:bCs/>
          <w:sz w:val="22"/>
          <w:szCs w:val="24"/>
        </w:rPr>
        <w:t xml:space="preserve">środki z dziedziny polityki </w:t>
      </w:r>
      <w:r w:rsidR="0046408D">
        <w:rPr>
          <w:b/>
          <w:bCs/>
          <w:sz w:val="22"/>
          <w:szCs w:val="24"/>
        </w:rPr>
        <w:t>w</w:t>
      </w:r>
      <w:r w:rsidR="00C204DC">
        <w:rPr>
          <w:b/>
          <w:bCs/>
          <w:sz w:val="22"/>
          <w:szCs w:val="24"/>
        </w:rPr>
        <w:t> </w:t>
      </w:r>
      <w:r w:rsidR="0046408D">
        <w:rPr>
          <w:b/>
          <w:bCs/>
          <w:sz w:val="22"/>
          <w:szCs w:val="24"/>
        </w:rPr>
        <w:t xml:space="preserve">wysokości do </w:t>
      </w:r>
      <w:r w:rsidR="00ED1D45" w:rsidRPr="00A77398">
        <w:rPr>
          <w:b/>
          <w:bCs/>
          <w:sz w:val="22"/>
          <w:szCs w:val="24"/>
        </w:rPr>
        <w:t>27 567 ktoe</w:t>
      </w:r>
      <w:r w:rsidR="00235CB9" w:rsidRPr="00A77398">
        <w:rPr>
          <w:b/>
          <w:bCs/>
          <w:sz w:val="22"/>
          <w:szCs w:val="24"/>
        </w:rPr>
        <w:t>.</w:t>
      </w:r>
    </w:p>
    <w:p w14:paraId="379105C7" w14:textId="3722CBD7" w:rsidR="00FF3BC7" w:rsidRDefault="002D2B46" w:rsidP="00703EB3">
      <w:r>
        <w:t>Niniejszy</w:t>
      </w:r>
      <w:r w:rsidR="00703EB3">
        <w:t xml:space="preserve"> rozdział stanowi uzupełnienie dokumentu zasadniczego</w:t>
      </w:r>
      <w:r>
        <w:t xml:space="preserve"> </w:t>
      </w:r>
      <w:r w:rsidRPr="002D2B46">
        <w:rPr>
          <w:i/>
          <w:iCs/>
        </w:rPr>
        <w:t>Krajowego planu w dziedzinie energii i klimatu do 2030 r.</w:t>
      </w:r>
      <w:r w:rsidR="00703EB3">
        <w:t xml:space="preserve">, </w:t>
      </w:r>
      <w:r>
        <w:t xml:space="preserve">w części </w:t>
      </w:r>
      <w:r w:rsidR="00703EB3">
        <w:t>poświęconej celowi</w:t>
      </w:r>
      <w:r w:rsidR="00703EB3" w:rsidRPr="00703EB3">
        <w:t xml:space="preserve"> 2.1.3.</w:t>
      </w:r>
      <w:r w:rsidR="00703EB3">
        <w:t xml:space="preserve"> </w:t>
      </w:r>
      <w:r w:rsidR="00703EB3" w:rsidRPr="00703EB3">
        <w:rPr>
          <w:i/>
          <w:iCs/>
        </w:rPr>
        <w:t>Generowanie oszczędności finalnego zużycia energii</w:t>
      </w:r>
      <w:r>
        <w:rPr>
          <w:i/>
          <w:iCs/>
        </w:rPr>
        <w:t>.</w:t>
      </w:r>
      <w:r w:rsidR="00703EB3" w:rsidRPr="00703EB3">
        <w:rPr>
          <w:i/>
          <w:iCs/>
        </w:rPr>
        <w:t xml:space="preserve"> </w:t>
      </w:r>
      <w:r w:rsidR="00235CB9">
        <w:br w:type="page"/>
      </w:r>
    </w:p>
    <w:p w14:paraId="55301944" w14:textId="695CDDC3" w:rsidR="00F34BD4" w:rsidRDefault="00F34BD4" w:rsidP="00EE55F8">
      <w:pPr>
        <w:pStyle w:val="Nagwek2"/>
      </w:pPr>
      <w:bookmarkStart w:id="8" w:name="_Toc202967813"/>
      <w:r>
        <w:lastRenderedPageBreak/>
        <w:t xml:space="preserve">System zobowiązujący do </w:t>
      </w:r>
      <w:r w:rsidR="00010793">
        <w:t xml:space="preserve">poprawy </w:t>
      </w:r>
      <w:r>
        <w:t>efektywności energetycznej</w:t>
      </w:r>
      <w:r w:rsidRPr="00323DC2">
        <w:t xml:space="preserve"> </w:t>
      </w:r>
      <w:r w:rsidR="0075057F">
        <w:t>(</w:t>
      </w:r>
      <w:r w:rsidRPr="00323DC2">
        <w:t>o który</w:t>
      </w:r>
      <w:r>
        <w:t>m</w:t>
      </w:r>
      <w:r w:rsidRPr="00323DC2">
        <w:t xml:space="preserve"> mowa w art. </w:t>
      </w:r>
      <w:r>
        <w:t xml:space="preserve">9 </w:t>
      </w:r>
      <w:r w:rsidRPr="00323DC2">
        <w:t xml:space="preserve">dyrektywy </w:t>
      </w:r>
      <w:r w:rsidR="00C204DC">
        <w:t>2023/1791</w:t>
      </w:r>
      <w:r w:rsidR="0075057F">
        <w:t>)</w:t>
      </w:r>
      <w:bookmarkEnd w:id="8"/>
    </w:p>
    <w:p w14:paraId="31462D2E" w14:textId="3839B7BD" w:rsidR="00F34BD4" w:rsidRDefault="00EB53CB" w:rsidP="00F01951">
      <w:pPr>
        <w:pStyle w:val="Nagwek4"/>
        <w:numPr>
          <w:ilvl w:val="0"/>
          <w:numId w:val="0"/>
        </w:numPr>
        <w:ind w:left="851" w:hanging="567"/>
      </w:pPr>
      <w:r>
        <w:t>a)</w:t>
      </w:r>
      <w:r w:rsidR="00F01951">
        <w:tab/>
      </w:r>
      <w:r w:rsidR="00F34BD4">
        <w:t>Skrócony opis środka</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top w:w="28" w:type="dxa"/>
          <w:bottom w:w="28" w:type="dxa"/>
        </w:tblCellMar>
        <w:tblLook w:val="04A0" w:firstRow="1" w:lastRow="0" w:firstColumn="1" w:lastColumn="0" w:noHBand="0" w:noVBand="1"/>
      </w:tblPr>
      <w:tblGrid>
        <w:gridCol w:w="1644"/>
        <w:gridCol w:w="7085"/>
      </w:tblGrid>
      <w:tr w:rsidR="00F34BD4" w:rsidRPr="002B0945" w14:paraId="7102764A" w14:textId="77777777" w:rsidTr="00010793">
        <w:tc>
          <w:tcPr>
            <w:tcW w:w="1644" w:type="dxa"/>
            <w:vAlign w:val="center"/>
          </w:tcPr>
          <w:p w14:paraId="6C4011A1"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w:t>
            </w:r>
          </w:p>
        </w:tc>
        <w:tc>
          <w:tcPr>
            <w:tcW w:w="7085" w:type="dxa"/>
            <w:vAlign w:val="center"/>
          </w:tcPr>
          <w:p w14:paraId="70F1381C" w14:textId="77777777" w:rsidR="00F34BD4" w:rsidRPr="002B0945" w:rsidRDefault="00F34BD4" w:rsidP="00FF3BC7">
            <w:pPr>
              <w:spacing w:line="276" w:lineRule="auto"/>
              <w:rPr>
                <w:b/>
                <w:bCs/>
              </w:rPr>
            </w:pPr>
            <w:r>
              <w:rPr>
                <w:b/>
                <w:bCs/>
              </w:rPr>
              <w:t>System świadectw efektywności energetycznej, tzw. system białych certyfikatów</w:t>
            </w:r>
          </w:p>
        </w:tc>
      </w:tr>
      <w:tr w:rsidR="00F34BD4" w:rsidRPr="004A2365" w14:paraId="0EDA42E6" w14:textId="77777777" w:rsidTr="00010793">
        <w:tc>
          <w:tcPr>
            <w:tcW w:w="1644" w:type="dxa"/>
            <w:vAlign w:val="center"/>
          </w:tcPr>
          <w:p w14:paraId="0680F949"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1CE81780" w14:textId="77777777" w:rsidR="00F34BD4" w:rsidRPr="004A2365" w:rsidRDefault="00F34BD4" w:rsidP="00FF3BC7">
            <w:pPr>
              <w:spacing w:line="276" w:lineRule="auto"/>
              <w:rPr>
                <w:rFonts w:cs="Times New Roman"/>
              </w:rPr>
            </w:pPr>
            <w:r w:rsidRPr="004A2365">
              <w:rPr>
                <w:rFonts w:cs="Times New Roman"/>
              </w:rPr>
              <w:t>Mechanizm finansowy</w:t>
            </w:r>
          </w:p>
        </w:tc>
      </w:tr>
      <w:tr w:rsidR="00F34BD4" w:rsidRPr="004A2365" w14:paraId="1EAE7C81" w14:textId="77777777" w:rsidTr="00010793">
        <w:tc>
          <w:tcPr>
            <w:tcW w:w="1644" w:type="dxa"/>
            <w:vAlign w:val="center"/>
          </w:tcPr>
          <w:p w14:paraId="66452A46" w14:textId="42A46B2E" w:rsidR="00F34BD4" w:rsidRPr="005F6322" w:rsidRDefault="00767FC5" w:rsidP="00FF3BC7">
            <w:pPr>
              <w:spacing w:line="276" w:lineRule="auto"/>
              <w:jc w:val="center"/>
              <w:rPr>
                <w:rFonts w:cs="Times New Roman"/>
                <w:i/>
                <w:iCs/>
                <w:color w:val="5B9BD5" w:themeColor="accent5"/>
              </w:rPr>
            </w:pPr>
            <w:r>
              <w:rPr>
                <w:rFonts w:cs="Times New Roman"/>
                <w:i/>
                <w:iCs/>
                <w:color w:val="5B9BD5" w:themeColor="accent5"/>
              </w:rPr>
              <w:t xml:space="preserve">Podstawa prawna </w:t>
            </w:r>
          </w:p>
        </w:tc>
        <w:tc>
          <w:tcPr>
            <w:tcW w:w="7085" w:type="dxa"/>
            <w:vAlign w:val="center"/>
          </w:tcPr>
          <w:p w14:paraId="0673AC87" w14:textId="145A2288" w:rsidR="00F34BD4" w:rsidRPr="004A2365" w:rsidRDefault="00F34BD4" w:rsidP="00FF3BC7">
            <w:pPr>
              <w:spacing w:line="276" w:lineRule="auto"/>
            </w:pPr>
            <w:r>
              <w:t>S</w:t>
            </w:r>
            <w:r w:rsidRPr="00267B06">
              <w:t xml:space="preserve">ystem funkcjonuje na podstawie ustawy z dnia 20 maja 2016 </w:t>
            </w:r>
            <w:r w:rsidR="0011179A">
              <w:t>r.</w:t>
            </w:r>
            <w:r w:rsidRPr="00267B06">
              <w:t xml:space="preserve"> </w:t>
            </w:r>
            <w:r w:rsidRPr="004655BD">
              <w:rPr>
                <w:i/>
                <w:iCs/>
              </w:rPr>
              <w:t>o efektywności energetycznej</w:t>
            </w:r>
            <w:r>
              <w:rPr>
                <w:i/>
                <w:iCs/>
              </w:rPr>
              <w:t xml:space="preserve"> </w:t>
            </w:r>
            <w:r w:rsidRPr="005418DD">
              <w:t>(</w:t>
            </w:r>
            <w:r w:rsidR="001E73E9" w:rsidRPr="001E73E9">
              <w:t>Dz. U. z 2024 r. poz. 1047</w:t>
            </w:r>
            <w:r w:rsidRPr="005418DD">
              <w:t>)</w:t>
            </w:r>
            <w:r>
              <w:t>.</w:t>
            </w:r>
          </w:p>
        </w:tc>
      </w:tr>
      <w:tr w:rsidR="00F34BD4" w:rsidRPr="001304B7" w14:paraId="17F4A44E" w14:textId="77777777" w:rsidTr="00010793">
        <w:tc>
          <w:tcPr>
            <w:tcW w:w="1644" w:type="dxa"/>
            <w:vAlign w:val="center"/>
          </w:tcPr>
          <w:p w14:paraId="26EB22F4" w14:textId="77777777" w:rsidR="00F34BD4" w:rsidRPr="005F6322" w:rsidRDefault="00F34BD4" w:rsidP="00FF3BC7">
            <w:pPr>
              <w:spacing w:line="276" w:lineRule="auto"/>
              <w:jc w:val="center"/>
              <w:rPr>
                <w:rFonts w:cs="Times New Roman"/>
                <w:i/>
                <w:iCs/>
                <w:color w:val="5B9BD5" w:themeColor="accent5"/>
              </w:rPr>
            </w:pPr>
            <w:r>
              <w:rPr>
                <w:rFonts w:cs="Times New Roman"/>
                <w:i/>
                <w:iCs/>
                <w:color w:val="5B9BD5" w:themeColor="accent5"/>
              </w:rPr>
              <w:t>Realizacja obowiązku</w:t>
            </w:r>
            <w:r w:rsidRPr="005F6322">
              <w:rPr>
                <w:rFonts w:cs="Times New Roman"/>
                <w:i/>
                <w:iCs/>
                <w:color w:val="5B9BD5" w:themeColor="accent5"/>
              </w:rPr>
              <w:t xml:space="preserve"> </w:t>
            </w:r>
          </w:p>
        </w:tc>
        <w:tc>
          <w:tcPr>
            <w:tcW w:w="7085" w:type="dxa"/>
            <w:shd w:val="clear" w:color="auto" w:fill="auto"/>
            <w:vAlign w:val="center"/>
          </w:tcPr>
          <w:p w14:paraId="25A8A610" w14:textId="77777777" w:rsidR="00F34BD4" w:rsidRDefault="00F34BD4" w:rsidP="00FF3BC7">
            <w:pPr>
              <w:spacing w:line="276" w:lineRule="auto"/>
              <w:rPr>
                <w:rFonts w:ascii="Times New Roman" w:eastAsia="Calibri" w:hAnsi="Times New Roman" w:cs="Arial"/>
              </w:rPr>
            </w:pPr>
            <w:r>
              <w:t>P</w:t>
            </w:r>
            <w:r w:rsidRPr="7A6EF002">
              <w:t xml:space="preserve">odmioty zobowiązane realizują obowiązek uzyskania oszczędności energii </w:t>
            </w:r>
            <w:r w:rsidRPr="455F2474">
              <w:t>poprzez</w:t>
            </w:r>
            <w:r w:rsidRPr="7A6EF002">
              <w:t>:</w:t>
            </w:r>
          </w:p>
          <w:p w14:paraId="51F768DC" w14:textId="77777777" w:rsidR="00F34BD4" w:rsidRPr="00075176" w:rsidRDefault="00F34BD4" w:rsidP="00767FC5">
            <w:pPr>
              <w:pStyle w:val="Akapitzlist"/>
              <w:numPr>
                <w:ilvl w:val="0"/>
                <w:numId w:val="5"/>
              </w:numPr>
              <w:spacing w:line="276" w:lineRule="auto"/>
            </w:pPr>
            <w:r w:rsidRPr="3FCD4BA0">
              <w:t>r</w:t>
            </w:r>
            <w:r w:rsidRPr="00075176">
              <w:t>ealizowanie przedsięwzięć służących poprawie efektywności energetycznej u odbiorcy końco</w:t>
            </w:r>
            <w:r w:rsidRPr="3FCD4BA0">
              <w:t>w</w:t>
            </w:r>
            <w:r w:rsidRPr="00075176">
              <w:t>ego, w wyniku</w:t>
            </w:r>
            <w:r w:rsidRPr="3FCD4BA0">
              <w:t xml:space="preserve"> </w:t>
            </w:r>
            <w:r w:rsidRPr="7A51CC91">
              <w:t xml:space="preserve">których uzyskuje się </w:t>
            </w:r>
            <w:r w:rsidRPr="77C30386">
              <w:t>oszczędność</w:t>
            </w:r>
            <w:r w:rsidRPr="7A51CC91">
              <w:t xml:space="preserve"> energii finalnej </w:t>
            </w:r>
            <w:r w:rsidRPr="28187ABC">
              <w:t>potwierdzonej audytem efektywności energetycznej,</w:t>
            </w:r>
          </w:p>
          <w:p w14:paraId="1B7EB0D7" w14:textId="77777777" w:rsidR="00F34BD4" w:rsidRPr="00075176" w:rsidRDefault="00F34BD4" w:rsidP="00767FC5">
            <w:pPr>
              <w:pStyle w:val="Akapitzlist"/>
              <w:numPr>
                <w:ilvl w:val="0"/>
                <w:numId w:val="5"/>
              </w:numPr>
              <w:spacing w:line="276" w:lineRule="auto"/>
            </w:pPr>
            <w:r w:rsidRPr="6FEC4436">
              <w:t>uzyskanie</w:t>
            </w:r>
            <w:r w:rsidRPr="3AF91034">
              <w:t xml:space="preserve"> i przedstawienie do umorzenia Prezesowi URE świadectw efektywności energetycznej</w:t>
            </w:r>
            <w:r w:rsidRPr="6FEC4436">
              <w:t xml:space="preserve">, </w:t>
            </w:r>
            <w:r w:rsidRPr="017194EF">
              <w:t>zwanych</w:t>
            </w:r>
            <w:r w:rsidRPr="6FEC4436">
              <w:t xml:space="preserve"> białymi certyfikatami,</w:t>
            </w:r>
          </w:p>
          <w:p w14:paraId="6652F7AD" w14:textId="77777777" w:rsidR="00F34BD4" w:rsidRPr="001304B7" w:rsidRDefault="00F34BD4" w:rsidP="00767FC5">
            <w:pPr>
              <w:numPr>
                <w:ilvl w:val="0"/>
                <w:numId w:val="5"/>
              </w:numPr>
              <w:spacing w:line="276" w:lineRule="auto"/>
              <w:jc w:val="left"/>
              <w:rPr>
                <w:rFonts w:cs="Times New Roman"/>
              </w:rPr>
            </w:pPr>
            <w:r w:rsidRPr="017194EF">
              <w:t>realizowanie</w:t>
            </w:r>
            <w:r w:rsidRPr="624ABB5E">
              <w:t xml:space="preserve"> </w:t>
            </w:r>
            <w:r w:rsidRPr="48A69F47">
              <w:t>przedsięwzięć służących</w:t>
            </w:r>
            <w:r w:rsidRPr="624ABB5E">
              <w:t xml:space="preserve"> poprawie </w:t>
            </w:r>
            <w:r w:rsidRPr="3FB51F62">
              <w:t>efektywności</w:t>
            </w:r>
            <w:r w:rsidRPr="624ABB5E">
              <w:t xml:space="preserve"> energetycznej u obiorcy końcowego </w:t>
            </w:r>
            <w:r w:rsidRPr="3FB51F62">
              <w:t xml:space="preserve">w ramach </w:t>
            </w:r>
            <w:r w:rsidRPr="0E837A00">
              <w:t xml:space="preserve">programów bezzwrotnych </w:t>
            </w:r>
            <w:r w:rsidRPr="0314F8C7">
              <w:t>dofinansowań.</w:t>
            </w:r>
          </w:p>
        </w:tc>
      </w:tr>
      <w:tr w:rsidR="00F34BD4" w:rsidRPr="002C14E5" w14:paraId="2D5FDAFD" w14:textId="77777777" w:rsidTr="00010793">
        <w:tc>
          <w:tcPr>
            <w:tcW w:w="1644" w:type="dxa"/>
            <w:vAlign w:val="center"/>
          </w:tcPr>
          <w:p w14:paraId="1F5012DD" w14:textId="77777777" w:rsidR="00F34BD4" w:rsidRPr="005F6322" w:rsidRDefault="00F34BD4" w:rsidP="00FF3BC7">
            <w:pPr>
              <w:spacing w:line="276" w:lineRule="auto"/>
              <w:jc w:val="center"/>
              <w:rPr>
                <w:rFonts w:cs="Times New Roman"/>
                <w:i/>
                <w:iCs/>
                <w:color w:val="5B9BD5" w:themeColor="accent5"/>
              </w:rPr>
            </w:pPr>
            <w:r>
              <w:rPr>
                <w:rFonts w:cs="Times New Roman"/>
                <w:i/>
                <w:iCs/>
                <w:color w:val="5B9BD5" w:themeColor="accent5"/>
              </w:rPr>
              <w:t>Podmioty zobowiązane</w:t>
            </w:r>
          </w:p>
        </w:tc>
        <w:tc>
          <w:tcPr>
            <w:tcW w:w="7085" w:type="dxa"/>
            <w:vAlign w:val="center"/>
          </w:tcPr>
          <w:p w14:paraId="5DF0698C" w14:textId="77777777" w:rsidR="00F34BD4" w:rsidRDefault="00F34BD4" w:rsidP="00767FC5">
            <w:pPr>
              <w:pStyle w:val="Akapitzlist"/>
              <w:numPr>
                <w:ilvl w:val="0"/>
                <w:numId w:val="11"/>
              </w:numPr>
              <w:spacing w:line="276" w:lineRule="auto"/>
            </w:pPr>
            <w:r>
              <w:t>przedsiębiorstwa energetyczne</w:t>
            </w:r>
          </w:p>
          <w:p w14:paraId="6B0E01B7" w14:textId="77777777" w:rsidR="00F34BD4" w:rsidRDefault="00F34BD4" w:rsidP="00767FC5">
            <w:pPr>
              <w:pStyle w:val="Akapitzlist"/>
              <w:numPr>
                <w:ilvl w:val="0"/>
                <w:numId w:val="11"/>
              </w:numPr>
              <w:spacing w:line="276" w:lineRule="auto"/>
            </w:pPr>
            <w:r>
              <w:t xml:space="preserve">odbiorców końcowych </w:t>
            </w:r>
            <w:r w:rsidRPr="00252C5F">
              <w:t>przyłączonych do sieci będących członkami giełdy</w:t>
            </w:r>
          </w:p>
          <w:p w14:paraId="1364ABDD" w14:textId="77777777" w:rsidR="00F34BD4" w:rsidRDefault="00F34BD4" w:rsidP="00767FC5">
            <w:pPr>
              <w:pStyle w:val="Akapitzlist"/>
              <w:numPr>
                <w:ilvl w:val="0"/>
                <w:numId w:val="11"/>
              </w:numPr>
              <w:spacing w:line="276" w:lineRule="auto"/>
            </w:pPr>
            <w:r>
              <w:t xml:space="preserve">odbiorców końcowych </w:t>
            </w:r>
            <w:r w:rsidRPr="00252C5F">
              <w:t>przyłączonych do sieci będących członkami giełdy</w:t>
            </w:r>
            <w:r>
              <w:t xml:space="preserve"> izby rozrachunkowej</w:t>
            </w:r>
          </w:p>
          <w:p w14:paraId="182203CC" w14:textId="77777777" w:rsidR="00F34BD4" w:rsidRPr="005418DD" w:rsidRDefault="00F34BD4" w:rsidP="00767FC5">
            <w:pPr>
              <w:pStyle w:val="Akapitzlist"/>
              <w:numPr>
                <w:ilvl w:val="0"/>
                <w:numId w:val="11"/>
              </w:numPr>
              <w:spacing w:line="276" w:lineRule="auto"/>
            </w:pPr>
            <w:r w:rsidRPr="005418DD">
              <w:rPr>
                <w:rFonts w:eastAsia="Calibri" w:cs="Arial"/>
              </w:rPr>
              <w:t>odbiorców końcowych przyłączonych do sieci sprowadzających gaz ziemny w ramach nabycia wewnątrzwspólnotowego lub importu</w:t>
            </w:r>
          </w:p>
          <w:p w14:paraId="6BF859A9" w14:textId="77777777" w:rsidR="00F34BD4" w:rsidRPr="005418DD" w:rsidRDefault="00F34BD4" w:rsidP="00767FC5">
            <w:pPr>
              <w:pStyle w:val="Akapitzlist"/>
              <w:numPr>
                <w:ilvl w:val="0"/>
                <w:numId w:val="11"/>
              </w:numPr>
              <w:spacing w:line="276" w:lineRule="auto"/>
            </w:pPr>
            <w:r>
              <w:t>t</w:t>
            </w:r>
            <w:r w:rsidRPr="005418DD">
              <w:t xml:space="preserve">owarowe domy maklerskie lub domy maklerskie </w:t>
            </w:r>
          </w:p>
          <w:p w14:paraId="31949D35" w14:textId="77777777" w:rsidR="00F34BD4" w:rsidRPr="005418DD" w:rsidRDefault="00F34BD4" w:rsidP="00767FC5">
            <w:pPr>
              <w:pStyle w:val="Akapitzlist"/>
              <w:numPr>
                <w:ilvl w:val="0"/>
                <w:numId w:val="11"/>
              </w:numPr>
              <w:spacing w:line="276" w:lineRule="auto"/>
            </w:pPr>
            <w:r>
              <w:t>p</w:t>
            </w:r>
            <w:r w:rsidRPr="005418DD">
              <w:t>odmioty paliwowe wprowadzające do obrotu paliwa ciekłe.</w:t>
            </w:r>
          </w:p>
        </w:tc>
      </w:tr>
      <w:tr w:rsidR="00F34BD4" w:rsidRPr="004A2365" w14:paraId="35F3F2B9" w14:textId="77777777" w:rsidTr="00010793">
        <w:tc>
          <w:tcPr>
            <w:tcW w:w="1644" w:type="dxa"/>
            <w:vAlign w:val="center"/>
          </w:tcPr>
          <w:p w14:paraId="5160E27E"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wdrażająca</w:t>
            </w:r>
          </w:p>
        </w:tc>
        <w:tc>
          <w:tcPr>
            <w:tcW w:w="7085" w:type="dxa"/>
            <w:vAlign w:val="center"/>
          </w:tcPr>
          <w:p w14:paraId="0CDDD9A9" w14:textId="77777777" w:rsidR="00F34BD4" w:rsidRPr="004A2365" w:rsidRDefault="00F34BD4" w:rsidP="00FF3BC7">
            <w:pPr>
              <w:spacing w:line="276" w:lineRule="auto"/>
              <w:rPr>
                <w:rFonts w:cs="Times New Roman"/>
              </w:rPr>
            </w:pPr>
            <w:r>
              <w:rPr>
                <w:rFonts w:cs="Times New Roman"/>
              </w:rPr>
              <w:t>Ministerstwo Klimatu i Środowiska</w:t>
            </w:r>
          </w:p>
        </w:tc>
      </w:tr>
      <w:tr w:rsidR="00F34BD4" w:rsidRPr="004A2365" w14:paraId="026F4CCE" w14:textId="77777777" w:rsidTr="00010793">
        <w:tc>
          <w:tcPr>
            <w:tcW w:w="1644" w:type="dxa"/>
            <w:vAlign w:val="center"/>
          </w:tcPr>
          <w:p w14:paraId="6AB3843D"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nadzorująca</w:t>
            </w:r>
          </w:p>
        </w:tc>
        <w:tc>
          <w:tcPr>
            <w:tcW w:w="7085" w:type="dxa"/>
            <w:vAlign w:val="center"/>
          </w:tcPr>
          <w:p w14:paraId="03E4FA9F" w14:textId="77777777" w:rsidR="00F34BD4" w:rsidRPr="004A2365" w:rsidRDefault="00F34BD4" w:rsidP="00FF3BC7">
            <w:pPr>
              <w:spacing w:line="276" w:lineRule="auto"/>
              <w:rPr>
                <w:rFonts w:cs="Times New Roman"/>
              </w:rPr>
            </w:pPr>
            <w:r>
              <w:rPr>
                <w:rFonts w:cs="Times New Roman"/>
              </w:rPr>
              <w:t xml:space="preserve">Urząd Regulacji Energii </w:t>
            </w:r>
          </w:p>
        </w:tc>
      </w:tr>
      <w:tr w:rsidR="00F34BD4" w14:paraId="25DCB722" w14:textId="77777777" w:rsidTr="00010793">
        <w:tc>
          <w:tcPr>
            <w:tcW w:w="1644" w:type="dxa"/>
            <w:vAlign w:val="center"/>
          </w:tcPr>
          <w:p w14:paraId="02E2204E" w14:textId="77777777" w:rsidR="00F34BD4" w:rsidRPr="005F6322" w:rsidRDefault="00F34BD4" w:rsidP="00FF3BC7">
            <w:pPr>
              <w:spacing w:line="276" w:lineRule="auto"/>
              <w:jc w:val="center"/>
              <w:rPr>
                <w:rFonts w:cs="Times New Roman"/>
                <w:i/>
                <w:iCs/>
                <w:color w:val="5B9BD5" w:themeColor="accent5"/>
              </w:rPr>
            </w:pPr>
            <w:r>
              <w:rPr>
                <w:rFonts w:cs="Times New Roman"/>
                <w:i/>
                <w:iCs/>
                <w:color w:val="5B9BD5" w:themeColor="accent5"/>
              </w:rPr>
              <w:t>Oszczędność końcowego zużycia energii</w:t>
            </w:r>
          </w:p>
        </w:tc>
        <w:tc>
          <w:tcPr>
            <w:tcW w:w="7085" w:type="dxa"/>
            <w:vAlign w:val="center"/>
          </w:tcPr>
          <w:p w14:paraId="37FDFCEC" w14:textId="77777777" w:rsidR="00F34BD4" w:rsidRDefault="00F34BD4" w:rsidP="00FF3BC7">
            <w:pPr>
              <w:spacing w:line="276" w:lineRule="auto"/>
              <w:rPr>
                <w:rFonts w:cs="Times New Roman"/>
              </w:rPr>
            </w:pPr>
            <w:r w:rsidRPr="00341BF1">
              <w:rPr>
                <w:rFonts w:cs="Times New Roman"/>
              </w:rPr>
              <w:t>27 197 ktoe</w:t>
            </w:r>
            <w:r>
              <w:rPr>
                <w:rFonts w:cs="Times New Roman"/>
              </w:rPr>
              <w:t xml:space="preserve"> (całkowita skumulowana oszczędność końcowego zużycia energii)</w:t>
            </w:r>
          </w:p>
        </w:tc>
      </w:tr>
    </w:tbl>
    <w:p w14:paraId="4DAD07D9" w14:textId="4D5B4715" w:rsidR="00F34BD4" w:rsidRPr="002A4CCB" w:rsidRDefault="00EB53CB" w:rsidP="00235CB9">
      <w:pPr>
        <w:pStyle w:val="Nagwek4"/>
        <w:numPr>
          <w:ilvl w:val="0"/>
          <w:numId w:val="0"/>
        </w:numPr>
        <w:spacing w:before="600"/>
        <w:ind w:left="851" w:hanging="567"/>
      </w:pPr>
      <w:r>
        <w:t>b)</w:t>
      </w:r>
      <w:r w:rsidR="00F01951">
        <w:tab/>
      </w:r>
      <w:r w:rsidR="00F34BD4" w:rsidRPr="002A4CCB">
        <w:t>Opis środka</w:t>
      </w:r>
    </w:p>
    <w:p w14:paraId="1A720AA6" w14:textId="72E671D7" w:rsidR="001035D8" w:rsidRPr="00267B06" w:rsidRDefault="001035D8" w:rsidP="00373FD3">
      <w:r w:rsidRPr="001035D8">
        <w:t xml:space="preserve">W ramach systemu białych certyfikatów nakładany jest coroczny obowiązek oszczędności energii na podmioty zobligowane. Podmiotami zobligowanymi są przedsiębiorstwa sprzedające energię elektryczną, ciepło sieciowe, paliwa gazowe odbiorcom końcowym oraz podmioty paliwowe wprowadzające do obrotu paliwa ciekłe. Obowiązek może zostać wypełniony przez zrealizowanie przedsięwzięcia służącego </w:t>
      </w:r>
      <w:r w:rsidRPr="001035D8">
        <w:lastRenderedPageBreak/>
        <w:t>poprawie efektywności energetycznej u odbiorcy końcowego, zrealizowanie programu bezzwrotnych dofinansowań w celu współfinansowania przedsięwzięć służących poprawie efektywności energetycznej lub uzyskanie/zakupienie białych certyfikatów. Warto jednak podkreślić, że celem systemu jest to, aby każdy, kto spełni określone wymagania, tzn. m.in. przedstawi audyt efektywności energetycznej dla określonej inwestycji, otrzymał korzyść w postaci praw majątkowych wynikających ze świadectw efektywności energetycznej. System jest zatem mechanizmem rynkowym, stwarzającym zachętę do realizacji zadań z zakresu poprawy efektywności.</w:t>
      </w:r>
      <w:r>
        <w:t xml:space="preserve"> </w:t>
      </w:r>
    </w:p>
    <w:p w14:paraId="2ACC1AF6" w14:textId="2443FF2B" w:rsidR="00F34BD4" w:rsidRPr="00267B06" w:rsidRDefault="00F34BD4" w:rsidP="00373FD3">
      <w:r w:rsidRPr="00267B06">
        <w:t xml:space="preserve">W Polsce system zobowiązujący do efektywności energetycznej został wprowadzony poprzez ustawowe nałożenie obowiązku </w:t>
      </w:r>
      <w:r w:rsidRPr="73413B3A">
        <w:t xml:space="preserve">uzyskania </w:t>
      </w:r>
      <w:r w:rsidRPr="0B24D009">
        <w:t>oszczędności</w:t>
      </w:r>
      <w:r w:rsidRPr="73413B3A">
        <w:t xml:space="preserve"> energii </w:t>
      </w:r>
      <w:r w:rsidRPr="00267B06">
        <w:t>na</w:t>
      </w:r>
      <w:r w:rsidRPr="0B24D009">
        <w:t xml:space="preserve"> tzw.</w:t>
      </w:r>
      <w:r w:rsidRPr="00267B06">
        <w:t xml:space="preserve"> podmioty zobowiązane począwszy od 1</w:t>
      </w:r>
      <w:r w:rsidR="00010793">
        <w:t> </w:t>
      </w:r>
      <w:r w:rsidRPr="00267B06">
        <w:t xml:space="preserve">stycznia 2013 </w:t>
      </w:r>
      <w:r w:rsidR="0011179A">
        <w:t>r.</w:t>
      </w:r>
      <w:r w:rsidRPr="00267B06">
        <w:t xml:space="preserve"> Obecnie system ten funkcjonuje na podstawie ustawy z dnia 20 maja 2016 </w:t>
      </w:r>
      <w:r w:rsidR="0011179A">
        <w:t>r.</w:t>
      </w:r>
      <w:r w:rsidRPr="00267B06">
        <w:t xml:space="preserve"> </w:t>
      </w:r>
      <w:r w:rsidRPr="00373FD3">
        <w:t>o efektywności energetycznej</w:t>
      </w:r>
      <w:r w:rsidRPr="7B346CDA">
        <w:t xml:space="preserve">. </w:t>
      </w:r>
      <w:r w:rsidRPr="29D74932">
        <w:t xml:space="preserve">Ostatnia </w:t>
      </w:r>
      <w:r w:rsidRPr="6B6B2C8A">
        <w:t>zmiana</w:t>
      </w:r>
      <w:r w:rsidRPr="29D74932">
        <w:t xml:space="preserve"> </w:t>
      </w:r>
      <w:r w:rsidRPr="016DFA09">
        <w:t xml:space="preserve">ww. ustawy została </w:t>
      </w:r>
      <w:r w:rsidRPr="15695BA9">
        <w:t xml:space="preserve">wprowadzona </w:t>
      </w:r>
      <w:r w:rsidRPr="43FC5DEF">
        <w:t xml:space="preserve">ustawą z dnia 20 kwietnia 2021 r. </w:t>
      </w:r>
      <w:r w:rsidRPr="00373FD3">
        <w:t>o zmianie ustawy o efektywności energetycznej oraz niektórych innych ustaw</w:t>
      </w:r>
      <w:r w:rsidRPr="39F49039">
        <w:t xml:space="preserve"> (Dz. U. z 2021 r. poz. 868).</w:t>
      </w:r>
    </w:p>
    <w:p w14:paraId="73330910" w14:textId="77777777" w:rsidR="00F34BD4" w:rsidRPr="00267B06" w:rsidRDefault="00F34BD4" w:rsidP="00373FD3">
      <w:r w:rsidRPr="00267B06">
        <w:t xml:space="preserve">Ustawa o efektywności energetycznej nakłada obowiązek </w:t>
      </w:r>
      <w:r w:rsidRPr="61C10051">
        <w:t xml:space="preserve">uzyskania oszczędności </w:t>
      </w:r>
      <w:r w:rsidRPr="2941F205">
        <w:t>energii</w:t>
      </w:r>
      <w:r w:rsidRPr="00267B06">
        <w:t xml:space="preserve"> na następujące grupy przedsiębiorców: </w:t>
      </w:r>
    </w:p>
    <w:p w14:paraId="07EF966A" w14:textId="1F727FAF" w:rsidR="00F34BD4" w:rsidRPr="00252C5F" w:rsidRDefault="00F34BD4" w:rsidP="00767FC5">
      <w:pPr>
        <w:numPr>
          <w:ilvl w:val="0"/>
          <w:numId w:val="13"/>
        </w:numPr>
      </w:pPr>
      <w:r w:rsidRPr="00252C5F">
        <w:t>przedsiębiorstwa energetyczne wykonujące działalność gospodarczą w zakresie wytwarzania lub obrotu energią elektryczną, ciepłem lub gazem ziemnym i sprzedające energię elektryczną, ciepło lub gaz ziemny odbiorcom końcowym przyłączonym do sieci</w:t>
      </w:r>
      <w:r w:rsidRPr="2402CBBC">
        <w:t xml:space="preserve"> </w:t>
      </w:r>
      <w:r w:rsidRPr="27AA67B6">
        <w:t xml:space="preserve">na terytorium </w:t>
      </w:r>
      <w:r w:rsidR="004B0F0A">
        <w:t>Polski</w:t>
      </w:r>
      <w:r w:rsidRPr="00252C5F">
        <w:t xml:space="preserve">, </w:t>
      </w:r>
    </w:p>
    <w:p w14:paraId="0D6A0DB1" w14:textId="3D31248B" w:rsidR="00F34BD4" w:rsidRPr="00252C5F" w:rsidRDefault="00F34BD4" w:rsidP="00767FC5">
      <w:pPr>
        <w:numPr>
          <w:ilvl w:val="0"/>
          <w:numId w:val="13"/>
        </w:numPr>
      </w:pPr>
      <w:r w:rsidRPr="00252C5F">
        <w:t xml:space="preserve">odbiorców końcowych przyłączonych do sieci na terytorium </w:t>
      </w:r>
      <w:r w:rsidR="004B0F0A">
        <w:t>Polski</w:t>
      </w:r>
      <w:r w:rsidRPr="00252C5F">
        <w:t xml:space="preserve">, będących członkami giełdy w rozumieniu ustawy z dnia 26 października 2000 r. </w:t>
      </w:r>
      <w:r w:rsidRPr="00373FD3">
        <w:t xml:space="preserve">o giełdach towarowych </w:t>
      </w:r>
      <w:r w:rsidRPr="00075176">
        <w:t>lub członkiem rynku regulowanego</w:t>
      </w:r>
      <w:r w:rsidRPr="00252C5F">
        <w:t>, w odniesieniu do transakcji zawieranych we własnym imieniu na giełdzie towarowej lub na rynku regulowanym</w:t>
      </w:r>
      <w:r w:rsidRPr="01766205">
        <w:t xml:space="preserve"> przez ten podmiot</w:t>
      </w:r>
      <w:r w:rsidRPr="00252C5F">
        <w:t>,</w:t>
      </w:r>
    </w:p>
    <w:p w14:paraId="389C0715" w14:textId="2153CBA1" w:rsidR="00F34BD4" w:rsidRPr="00373FD3" w:rsidRDefault="00F34BD4" w:rsidP="00767FC5">
      <w:pPr>
        <w:numPr>
          <w:ilvl w:val="0"/>
          <w:numId w:val="13"/>
        </w:numPr>
      </w:pPr>
      <w:r w:rsidRPr="00373FD3">
        <w:t xml:space="preserve">odbiorców końcowych przyłączonych do sieci na terytorium </w:t>
      </w:r>
      <w:r w:rsidR="004B0F0A">
        <w:t>Polski</w:t>
      </w:r>
      <w:r w:rsidRPr="00373FD3">
        <w:t xml:space="preserve"> będących członkami giełdowej izby rozrachunkowej w rozumieniu ustawy z dnia 26 października 2000 r. o giełdach towarowych, w odniesieniu do transakcji zawieranych przez nich poza giełdą towarową lub rynkiem, o których mowa w tiret 2, będących przedmiotami rozliczeń prowadzonych w ramach tej izby przez spółkę prowadzącą giełdową izbę rozrachunkową, przez Krajowy Depozyt Papierów Wartościowych S.A. lub przez spółkę, której Krajowy Depozyt Papierów Wartościowych S.A. przekazał wykonywanie czynności z zakresu zadań, o których mowa w art. 48 ust. 2 ustawy z dnia 29 lipca 2005 r. o obrocie instrumentami finansowymi (Dz. U. z 2021 r. poz. 328),</w:t>
      </w:r>
    </w:p>
    <w:p w14:paraId="54C88AEB" w14:textId="26B79EE1" w:rsidR="00F34BD4" w:rsidRPr="00373FD3" w:rsidRDefault="00F34BD4" w:rsidP="00767FC5">
      <w:pPr>
        <w:numPr>
          <w:ilvl w:val="0"/>
          <w:numId w:val="13"/>
        </w:numPr>
      </w:pPr>
      <w:r w:rsidRPr="00373FD3">
        <w:t xml:space="preserve">odbiorców końcowych przyłączonych do sieci na terytorium </w:t>
      </w:r>
      <w:r w:rsidR="004B0F0A">
        <w:t>Polski</w:t>
      </w:r>
      <w:r w:rsidRPr="00373FD3">
        <w:t xml:space="preserve"> sprowadzających gaz ziemny w ramach nabycia wewnątrzwspólnotowego lub importu w rozumieniu przepisów o podatku akcyzowym, w odniesieniu do ilości tego gazu zużytego na własny użytek,</w:t>
      </w:r>
    </w:p>
    <w:p w14:paraId="2C862E7E" w14:textId="3A7C106C" w:rsidR="00F34BD4" w:rsidRDefault="00F34BD4" w:rsidP="00767FC5">
      <w:pPr>
        <w:numPr>
          <w:ilvl w:val="0"/>
          <w:numId w:val="13"/>
        </w:numPr>
      </w:pPr>
      <w:r w:rsidRPr="00252C5F">
        <w:t>towarowe domy maklerskie lub domy maklerskie</w:t>
      </w:r>
      <w:r w:rsidRPr="3CA28F97">
        <w:t xml:space="preserve"> w rozumieniu ustawy z dnia 26 października 2000 r. </w:t>
      </w:r>
      <w:r w:rsidRPr="00373FD3">
        <w:t>o giełdach towarowych</w:t>
      </w:r>
      <w:r w:rsidRPr="00252C5F">
        <w:t>, w odniesieniu do transakcji realizowanych na giełdzie towarowej</w:t>
      </w:r>
      <w:r w:rsidR="00767FC5">
        <w:t xml:space="preserve"> </w:t>
      </w:r>
      <w:r w:rsidRPr="70A23377">
        <w:t xml:space="preserve">lub na rynku organizowanym przez podmiot prowadzący na terytorium </w:t>
      </w:r>
      <w:r w:rsidR="004B0F0A">
        <w:t>Polski</w:t>
      </w:r>
      <w:r w:rsidRPr="70A23377">
        <w:t xml:space="preserve"> rynek regulowany, na zlecenie odbiorców końcowych przyłączonych do sieci na terytorium </w:t>
      </w:r>
      <w:r w:rsidR="004B0F0A">
        <w:t>Polski</w:t>
      </w:r>
      <w:r>
        <w:t>,</w:t>
      </w:r>
    </w:p>
    <w:p w14:paraId="32B25870" w14:textId="77777777" w:rsidR="00F34BD4" w:rsidRPr="00252C5F" w:rsidRDefault="00F34BD4" w:rsidP="00767FC5">
      <w:pPr>
        <w:numPr>
          <w:ilvl w:val="0"/>
          <w:numId w:val="13"/>
        </w:numPr>
      </w:pPr>
      <w:r>
        <w:t>podmiot</w:t>
      </w:r>
      <w:r w:rsidRPr="1E4A8F41">
        <w:t>y</w:t>
      </w:r>
      <w:r>
        <w:t xml:space="preserve"> paliwowe wprowadzające do obrotu paliwa ciekłe</w:t>
      </w:r>
      <w:r w:rsidRPr="00252C5F">
        <w:t xml:space="preserve">. </w:t>
      </w:r>
    </w:p>
    <w:p w14:paraId="1C070026" w14:textId="77777777" w:rsidR="00010793" w:rsidRDefault="00010793" w:rsidP="00373FD3"/>
    <w:p w14:paraId="7EF79128" w14:textId="0DFC1D91" w:rsidR="00F34BD4" w:rsidRPr="00010793" w:rsidRDefault="00010793" w:rsidP="00373FD3">
      <w:pPr>
        <w:rPr>
          <w:b/>
          <w:bCs/>
        </w:rPr>
      </w:pPr>
      <w:r w:rsidRPr="00010793">
        <w:rPr>
          <w:b/>
          <w:bCs/>
        </w:rPr>
        <w:t>P</w:t>
      </w:r>
      <w:r w:rsidR="00F34BD4" w:rsidRPr="00010793">
        <w:rPr>
          <w:b/>
          <w:bCs/>
        </w:rPr>
        <w:t>odmioty zobowiązane realizują obowiązek uzyskania oszczędności energii poprzez:</w:t>
      </w:r>
    </w:p>
    <w:p w14:paraId="7A88AEE1" w14:textId="77777777" w:rsidR="00F34BD4" w:rsidRPr="00010793" w:rsidRDefault="00F34BD4" w:rsidP="00767FC5">
      <w:pPr>
        <w:numPr>
          <w:ilvl w:val="0"/>
          <w:numId w:val="14"/>
        </w:numPr>
        <w:rPr>
          <w:b/>
          <w:bCs/>
        </w:rPr>
      </w:pPr>
      <w:r w:rsidRPr="00010793">
        <w:rPr>
          <w:b/>
          <w:bCs/>
        </w:rPr>
        <w:t>realizowanie przedsięwzięć służących poprawie efektywności energetycznej u odbiorcy końcowego, w wyniku których uzyskuje się oszczędność energii finalnej potwierdzonej audytem efektywności energetycznej,</w:t>
      </w:r>
    </w:p>
    <w:p w14:paraId="68A9D79C" w14:textId="77777777" w:rsidR="00F34BD4" w:rsidRPr="00010793" w:rsidRDefault="00F34BD4" w:rsidP="00767FC5">
      <w:pPr>
        <w:numPr>
          <w:ilvl w:val="0"/>
          <w:numId w:val="14"/>
        </w:numPr>
        <w:rPr>
          <w:b/>
          <w:bCs/>
        </w:rPr>
      </w:pPr>
      <w:r w:rsidRPr="00010793">
        <w:rPr>
          <w:b/>
          <w:bCs/>
        </w:rPr>
        <w:t>uzyskanie i przedstawienie do umorzenia Prezesowi URE świadectw efektywności energetycznej, zwanych białymi certyfikatami,</w:t>
      </w:r>
    </w:p>
    <w:p w14:paraId="56C16ED6" w14:textId="77777777" w:rsidR="00F34BD4" w:rsidRPr="00075176" w:rsidRDefault="00F34BD4" w:rsidP="00FA29F5">
      <w:pPr>
        <w:numPr>
          <w:ilvl w:val="0"/>
          <w:numId w:val="14"/>
        </w:numPr>
        <w:spacing w:after="360"/>
      </w:pPr>
      <w:r w:rsidRPr="00010793">
        <w:rPr>
          <w:b/>
          <w:bCs/>
        </w:rPr>
        <w:lastRenderedPageBreak/>
        <w:t>realizowanie przedsięwzięć służących poprawie efektywności energetycznej u obiorcy końcowego w ramach programów bezzwrotnych dofinansowań</w:t>
      </w:r>
      <w:r w:rsidRPr="0314F8C7">
        <w:t>.</w:t>
      </w:r>
      <w:r w:rsidRPr="05CAFDD8">
        <w:t xml:space="preserve"> </w:t>
      </w:r>
    </w:p>
    <w:p w14:paraId="55C5E88C" w14:textId="381C2026" w:rsidR="00F34BD4" w:rsidRPr="00267B06" w:rsidRDefault="00F34BD4" w:rsidP="00373FD3">
      <w:r w:rsidRPr="00267B06">
        <w:t xml:space="preserve">W myśl art. 30 ust. 1 ustawy </w:t>
      </w:r>
      <w:r w:rsidRPr="00373FD3">
        <w:t>o efektywności energetycznej</w:t>
      </w:r>
      <w:r w:rsidRPr="00267B06">
        <w:t xml:space="preserve"> ze świadectwa efektywności energetycznej wynikają zbywalne prawa majątkowe, które są towarem giełdowym w rozumieniu ustawy z dnia 26</w:t>
      </w:r>
      <w:r w:rsidR="00010793">
        <w:t> </w:t>
      </w:r>
      <w:r w:rsidRPr="00267B06">
        <w:t xml:space="preserve">października 2000 r. </w:t>
      </w:r>
      <w:r w:rsidRPr="00373FD3">
        <w:t xml:space="preserve">o giełdach towarowych, </w:t>
      </w:r>
      <w:r w:rsidRPr="00075176">
        <w:t>a więc podlegają obrotowi</w:t>
      </w:r>
      <w:r w:rsidRPr="00267B06">
        <w:t xml:space="preserve">. W przypadku podmiotów, które zgodnie z ustawą są objęte obowiązkiem pozyskania świadectw efektywności energetycznej, a nie uzyskają ich i nie umorzą lub nie zrealizują przedsięwzięć służących poprawie efektywności energetycznej u odbiorcy końcowego udokumentowanych audytem </w:t>
      </w:r>
      <w:r w:rsidRPr="4530394C">
        <w:t>efektywności energetycznej</w:t>
      </w:r>
      <w:r w:rsidRPr="00267B06">
        <w:t xml:space="preserve">, muszą uiścić opłatę zastępczą w odpowiedniej wysokości określonej ustawą. W ramach systemu zobowiązującego do efektywności energetycznej podmioty zobowiązane mają określone ustawowo ilości energii końcowej, które są obowiązane uzyskać i przedstawić do umorzenia za każdy kolejny rok. </w:t>
      </w:r>
    </w:p>
    <w:p w14:paraId="247736C7" w14:textId="77777777" w:rsidR="00F34BD4" w:rsidRPr="00267B06" w:rsidRDefault="00F34BD4" w:rsidP="00373FD3">
      <w:r w:rsidRPr="00267B06">
        <w:t>Świadectwa efektywności energetycznej można uzyskać tylko za przedsięwzięcia, których rodzaje zostały określone w art. 19 ust. 1 ustawy. Zgodnie z ustawą o efektywności energetycznej Prezes URE wydaje świadectwa na wniosek podmiotu, u którego będzie realizowane przedsięwzięcie służące poprawie efektywności energetycznej; lub podmiotu przez niego upoważnionego.</w:t>
      </w:r>
    </w:p>
    <w:p w14:paraId="0C7D23B2" w14:textId="77777777" w:rsidR="00F34BD4" w:rsidRPr="00267B06" w:rsidRDefault="00F34BD4" w:rsidP="00373FD3">
      <w:r w:rsidRPr="00267B06">
        <w:t>Wykaz wszystkich kwalifikowalnych działań/przedsięwzięć w ramach zgłoszonego przez Polskę systemu zobowiązującego do efektywności energetycznej został ogłoszony przez Ministra Klimatu i Środowiska w drodze obwieszczenia i opublikowany w Dzienniku Urzędowym Monitor Polski</w:t>
      </w:r>
      <w:r w:rsidRPr="00373FD3">
        <w:footnoteReference w:id="4"/>
      </w:r>
      <w:r w:rsidRPr="00267B06">
        <w:t>. Świadectwo efektywności energetycznej wydawane w ramach systemu stanowi potwierdzenie deklarowanej oszczędności energii wynikającej z realizacji przedsięwzięcia służącego poprawie efektywności energetycznej. Warunkiem uzyskania świadectwa jest m.in. sporządzenie dla danego przedsięwzięcia audytu efektywności energetycznej. Audyt ten jest przedkładany Prezesowi URE przez podmiot zgłaszający przedsięwzięcie służące poprawie efektywności energetycznej.</w:t>
      </w:r>
    </w:p>
    <w:p w14:paraId="37CF2E5E" w14:textId="121A3A1C" w:rsidR="00F34BD4" w:rsidRPr="00373FD3" w:rsidRDefault="00F34BD4" w:rsidP="00373FD3">
      <w:r w:rsidRPr="00373FD3">
        <w:t>Dodatkowo od 1 stycznia 2022 r. podmioty zobowiązane, lub podmioty przez nie upoważnione mogą realizować programy bezzwrotnych dofinansowań w celu współfinansowania przedsięwzięć służących poprawie efektywności energetycznej, polegających na wymianie urządzeń lub instalacji służących do celów ogrzewania lub przygotowania ciepłej wody użytkowej na urządzenia lub instalacje służące do celów ogrzewania lub przygotowania ciepłej wody użytkowej charakteryzujące się wyższą klasą efektywności energetycznej, o której mowa w aktach delegowanych w rozumieniu art. 2 ust. 1 ustawy z</w:t>
      </w:r>
      <w:r w:rsidR="00E45FB6">
        <w:t> </w:t>
      </w:r>
      <w:r w:rsidRPr="00373FD3">
        <w:t>dnia 14 września 2012 r. o etykietowaniu energetycznym produktów związanych z energią (Dz. U. z 2020</w:t>
      </w:r>
      <w:r w:rsidR="00E45FB6">
        <w:t> </w:t>
      </w:r>
      <w:r w:rsidRPr="00373FD3">
        <w:t>r. poz. 378), z zastrzeżeniem art. 7 ust. 2 rozporządzenia Parlamentu Europejskiego i Rady (UE) 2017/1369 z dnia 4 lipca 2017 r. ustanawiającego ramy etykietowania energetycznego i uchylającego dyrektywę 2010/30/UE (Dz. Urz. UE L 198 z 28.07.2017, str. 1),</w:t>
      </w:r>
      <w:r w:rsidR="00767FC5">
        <w:t xml:space="preserve"> </w:t>
      </w:r>
      <w:r w:rsidRPr="00373FD3">
        <w:t>bądź przyłączeniu do sieci ciepłowniczej na podstawie umów zawieranych z odbiorcami końcowymi.</w:t>
      </w:r>
    </w:p>
    <w:p w14:paraId="2232A9A9" w14:textId="15F85B22" w:rsidR="00F34BD4" w:rsidRPr="00373FD3" w:rsidRDefault="00F34BD4" w:rsidP="00373FD3">
      <w:r w:rsidRPr="00373FD3">
        <w:t xml:space="preserve">Ilość energii finalnej, wyrażonej w tonach oleju ekwiwalentnego, zaoszczędzonej w ciągu </w:t>
      </w:r>
      <w:r w:rsidR="0011179A">
        <w:t>roku</w:t>
      </w:r>
      <w:r w:rsidRPr="00373FD3">
        <w:t xml:space="preserve"> kalendarzowego przez odbiorców końcowych w wyniku realizacji programu bezzwrotnych dofinansowań oblicza się z uwzględnieniem wartości referencyjnych. Przez wartość referencyjną oszczędności energii finalnej, rozumie się przeciętną ilość średniorocznych oszczędności energii finalnej, wyrażoną w tonach</w:t>
      </w:r>
      <w:r w:rsidRPr="00075176">
        <w:rPr>
          <w:rFonts w:eastAsia="Times New Roman" w:cs="Times New Roman"/>
          <w:color w:val="000000" w:themeColor="text1"/>
        </w:rPr>
        <w:t xml:space="preserve"> oleju ekwiwalentnego na rok, uzyskaną w wyniku realizacji danego rodzaju przedsięwzięcia służącego </w:t>
      </w:r>
      <w:r w:rsidRPr="00373FD3">
        <w:t>poprawie efektywności energetycznej.</w:t>
      </w:r>
    </w:p>
    <w:p w14:paraId="0CA38640" w14:textId="77777777" w:rsidR="00F34BD4" w:rsidRPr="00267B06" w:rsidRDefault="00F34BD4" w:rsidP="00373FD3">
      <w:r w:rsidRPr="00267B06">
        <w:t xml:space="preserve">Natomiast w odniesieniu do możliwości przewidzianej </w:t>
      </w:r>
      <w:r w:rsidRPr="00AF11EC">
        <w:t xml:space="preserve">w art. 9 ust. 11 lit. a) </w:t>
      </w:r>
      <w:r>
        <w:t xml:space="preserve">dyrektywy </w:t>
      </w:r>
      <w:r w:rsidRPr="00AF11EC">
        <w:t>należy podkreślić, że podmioty zobowiązane mogą zaliczać na poczet</w:t>
      </w:r>
      <w:r w:rsidRPr="00267B06">
        <w:t xml:space="preserve"> swoich zobowiązań poświadczone oszczędności energii osiągnięte przez strony trzecie, ale nie odbywa się to w taki sposób, żeby strony te musiały uzyskiwać oszczędności energii w imieniu podmiotów zobowiązanych. Świadectwa efektywności energetycznej wydawane są na wniosek podmiotu, u którego realizowane jest przedsięwzięcie służące poprawie efektywności energetycznej lub podmiotu przez niego upoważnionego. Podmioty te działają na </w:t>
      </w:r>
      <w:r w:rsidRPr="00267B06">
        <w:lastRenderedPageBreak/>
        <w:t xml:space="preserve">zasadach rynkowych i są niezależne od podmiotów zobowiązanych. System nie przewiduje takiej możliwości, aby podmioty zobowiązane realizowały swój obowiązek za pośrednictwem innych akredytowanych przez państwo podmiotów. Zgodnie z ustawą o efektywności energetycznej prawa majątkowe wynikające ze świadectw są zbywalne i stanowią towar podlegający obrotowi na giełdzie towarowej lub rynku regulowanym. Zatem podmioty zobowiązane mogą kupować te prawa majątkowe na rynku i przedstawiać je do umorzenia Prezesowi URE w celu zaliczenia na poczet realizacji swojego obowiązku. </w:t>
      </w:r>
    </w:p>
    <w:p w14:paraId="7861EE28" w14:textId="0CFD3CB5" w:rsidR="00F34BD4" w:rsidRPr="004D7678" w:rsidRDefault="00EB53CB" w:rsidP="00F01951">
      <w:pPr>
        <w:pStyle w:val="Nagwek4"/>
        <w:numPr>
          <w:ilvl w:val="0"/>
          <w:numId w:val="0"/>
        </w:numPr>
        <w:ind w:left="851" w:hanging="567"/>
      </w:pPr>
      <w:r>
        <w:t>c)</w:t>
      </w:r>
      <w:r w:rsidR="00F01951">
        <w:tab/>
      </w:r>
      <w:r w:rsidR="00F34BD4" w:rsidRPr="00B4693F">
        <w:t xml:space="preserve">Zastosowane metody obliczeniowe, o których mowa w pkt 1 Załącznika V do dyrektywy </w:t>
      </w:r>
      <w:r w:rsidR="00C204DC">
        <w:t>2023/1791</w:t>
      </w:r>
    </w:p>
    <w:p w14:paraId="5FFA7B7A" w14:textId="1C8135AE" w:rsidR="00F34BD4" w:rsidRPr="003B2E20" w:rsidRDefault="00F34BD4" w:rsidP="00373FD3">
      <w:r w:rsidRPr="003B2E20">
        <w:t xml:space="preserve">W ramach systemu zobowiązującego do efektywności energetycznej funkcjonującego na podstawie ustawy z dnia 20 maja 2016 </w:t>
      </w:r>
      <w:r w:rsidR="0011179A">
        <w:t>r.</w:t>
      </w:r>
      <w:r w:rsidRPr="003B2E20">
        <w:t xml:space="preserve"> </w:t>
      </w:r>
      <w:r w:rsidRPr="00373FD3">
        <w:t>o efektywności energetycznej</w:t>
      </w:r>
      <w:r w:rsidRPr="003B2E20">
        <w:t xml:space="preserve"> podmioty zgłaszające przedsięwzięcia służące poprawie efektywności energetycznej </w:t>
      </w:r>
      <w:r>
        <w:t>są zobowiązane</w:t>
      </w:r>
      <w:r w:rsidR="00767FC5">
        <w:t xml:space="preserve"> </w:t>
      </w:r>
      <w:r w:rsidRPr="003B2E20">
        <w:t xml:space="preserve">przedłożyć Prezesowi URE prawidłowo wypełniony wniosek wraz z audytem efektywności energetycznej sporządzonym dla tego przedsięwzięcia. Szczegółowy zakres i sposób sporządzania audytu efektywności energetycznej, sposób i tryb jego weryfikacji oraz metody obliczania oszczędności </w:t>
      </w:r>
      <w:r w:rsidR="00EE55F8" w:rsidRPr="00EE55F8">
        <w:t>energii zostały określone w rozporządzeniu Ministra Klimatu i Środowiska z dnia 12 kwietnia 2022 r. zmieniającym rozporządzenie w sprawie szczegółowego zakresu i sposobu sporządzania audytu efektywności energetycznej oraz metod obliczania oszczędności energii (Dz. U. z 2022 r. poz. 956).</w:t>
      </w:r>
    </w:p>
    <w:p w14:paraId="275FD668" w14:textId="77777777" w:rsidR="00F34BD4" w:rsidRPr="003B2E20" w:rsidRDefault="00F34BD4" w:rsidP="00373FD3">
      <w:r w:rsidRPr="003B2E20">
        <w:t>Zgodnie z rozporządzeniem audyt efektywności energetycznej sporządzany dla przedsięwzięcia służącego poprawie efektywności energetycznej w zakresie oceny stanu technicznego oraz analizy zużycia energii (budynku, urządzenia lub instalacji), stosownie do sposobu sporządzania audytu, obejmuje w szczególności:</w:t>
      </w:r>
    </w:p>
    <w:p w14:paraId="22B11A84" w14:textId="77777777" w:rsidR="00F34BD4" w:rsidRPr="0029132A" w:rsidRDefault="00F34BD4" w:rsidP="00767FC5">
      <w:pPr>
        <w:pStyle w:val="Akapitzlist"/>
        <w:numPr>
          <w:ilvl w:val="0"/>
          <w:numId w:val="27"/>
        </w:numPr>
      </w:pPr>
      <w:r w:rsidRPr="0029132A">
        <w:t>inwentaryzację techniczną, zawierającą określenie rodzaju budynku, urządzenia lub instalacji i ich parametrów pracy oraz ogólnych danych technicznych wraz z dokumentacją lub opisem technicznym;</w:t>
      </w:r>
    </w:p>
    <w:p w14:paraId="7F52FF68" w14:textId="77777777" w:rsidR="00F34BD4" w:rsidRPr="0029132A" w:rsidRDefault="00F34BD4" w:rsidP="00767FC5">
      <w:pPr>
        <w:pStyle w:val="Akapitzlist"/>
        <w:numPr>
          <w:ilvl w:val="0"/>
          <w:numId w:val="27"/>
        </w:numPr>
      </w:pPr>
      <w:r w:rsidRPr="0029132A">
        <w:t xml:space="preserve">wyniki pomiarów wielkości fizycznych i parametrów pracy obiektu, urządzenia lub instalacji, z uwzględnieniem: </w:t>
      </w:r>
    </w:p>
    <w:p w14:paraId="2E1D4799" w14:textId="77777777" w:rsidR="00F34BD4" w:rsidRPr="0029132A" w:rsidRDefault="00F34BD4" w:rsidP="00767FC5">
      <w:pPr>
        <w:pStyle w:val="Akapitzlist"/>
        <w:numPr>
          <w:ilvl w:val="1"/>
          <w:numId w:val="28"/>
        </w:numPr>
      </w:pPr>
      <w:r w:rsidRPr="0029132A">
        <w:t xml:space="preserve">czynników wpływających na zużycie energii, </w:t>
      </w:r>
    </w:p>
    <w:p w14:paraId="34507427" w14:textId="77777777" w:rsidR="00F34BD4" w:rsidRPr="0029132A" w:rsidRDefault="00F34BD4" w:rsidP="00767FC5">
      <w:pPr>
        <w:pStyle w:val="Akapitzlist"/>
        <w:numPr>
          <w:ilvl w:val="1"/>
          <w:numId w:val="28"/>
        </w:numPr>
      </w:pPr>
      <w:r w:rsidRPr="0029132A">
        <w:t>charakterystyki sprzętu służącego do wykonywania pomiarów wraz z dokumentacją tych pomiarów oraz określeniem okresów, w których pomiary te wykonano,</w:t>
      </w:r>
    </w:p>
    <w:p w14:paraId="0D84BF28" w14:textId="77777777" w:rsidR="00F34BD4" w:rsidRPr="0029132A" w:rsidRDefault="00F34BD4" w:rsidP="00767FC5">
      <w:pPr>
        <w:pStyle w:val="Akapitzlist"/>
        <w:numPr>
          <w:ilvl w:val="0"/>
          <w:numId w:val="27"/>
        </w:numPr>
      </w:pPr>
      <w:r w:rsidRPr="0029132A">
        <w:t xml:space="preserve">wyniki oszacowań zużycia energii przez obiekt, urządzenie lub instalację, z wykorzystaniem metod analitycznych i z uwzględnieniem danych znamionowych lub katalogowych oraz czynników wpływających na zużycie energii. </w:t>
      </w:r>
    </w:p>
    <w:p w14:paraId="38A623D8" w14:textId="5BEFF918" w:rsidR="00F34BD4" w:rsidRPr="003B2E20" w:rsidRDefault="00F34BD4" w:rsidP="00373FD3">
      <w:r w:rsidRPr="003B2E20">
        <w:t xml:space="preserve">Należy jednak podkreślić, że w przypadku, gdy do prawidłowej oceny stanu technicznego oraz analizy zużycia energii przez obiekt, urządzenie lub instalację nie jest konieczne wykonanie pomiarów wielkości fizycznych i parametrów ich pracy wykonuje się tylko oszacowania zużycia energii wraz z uzasadnieniem. W związku z tym, w zależności od dokonanej oceny, stosowane są metody obliczania oszczędności energii określone </w:t>
      </w:r>
      <w:r w:rsidRPr="00F71EDC">
        <w:t>w pkt 1) lit. a) b) lub c) Załącznika V:</w:t>
      </w:r>
      <w:r w:rsidRPr="003B2E20">
        <w:t xml:space="preserve"> mierzona oszczędność energii (</w:t>
      </w:r>
      <w:r w:rsidR="00EE55F8">
        <w:t xml:space="preserve">ang. </w:t>
      </w:r>
      <w:r w:rsidRPr="00EE55F8">
        <w:rPr>
          <w:i/>
          <w:iCs/>
        </w:rPr>
        <w:t>metered savings</w:t>
      </w:r>
      <w:r w:rsidRPr="003B2E20">
        <w:t>), tj. wynikająca z pomiarów zużycia energii, skalowana oszczędność energii (</w:t>
      </w:r>
      <w:r w:rsidR="00EE55F8">
        <w:t xml:space="preserve">ang. </w:t>
      </w:r>
      <w:r w:rsidRPr="00EE55F8">
        <w:rPr>
          <w:i/>
          <w:iCs/>
        </w:rPr>
        <w:t>scaled savings</w:t>
      </w:r>
      <w:r w:rsidRPr="003B2E20">
        <w:t>), tj. techniczne oszacowania oszczędności energii lub też zakładana oszczędność energii/„ex-ante” (</w:t>
      </w:r>
      <w:r w:rsidR="00EE55F8">
        <w:t xml:space="preserve">ang. </w:t>
      </w:r>
      <w:r w:rsidRPr="00EE55F8">
        <w:rPr>
          <w:i/>
          <w:iCs/>
        </w:rPr>
        <w:t>deemed savings</w:t>
      </w:r>
      <w:r w:rsidRPr="003B2E20">
        <w:t xml:space="preserve">). Jednak ostatnia z tych metod może być stosowana tylko dla niektórych kategorii prostych przedsięwzięć wskazanych w rozporządzeniu, dla których audyt może być sporządzony jako tzw. audyt uproszczony. Oceny stanu technicznego wraz z analizą zużycia energii oraz wyboru metody obliczania oszczędności dokonują wykwalifikowani audytorzy energetyczni, których działania są niezależne od podmiotów zobowiązanych. Audyt efektywności energetycznej obejmuje również określenie czynników wpływających na zużycie energii. Czynniki te mogą dotyczyć kwestii usytuowania budynku i jego zasiedlenia (gęstość, okresowość), warunków eksploatacyjnych (temperatura, wilgotność, intensywność oświetlenia i wentylacji) oraz wielkość produkcji. Ponadto audyt efektywności energetycznej zawiera wykaz obowiązujących przepisów, norm, dokumentów i danych źródłowych, w szczególności </w:t>
      </w:r>
      <w:r w:rsidRPr="003B2E20">
        <w:lastRenderedPageBreak/>
        <w:t>specjalistycznych opracowań w zakresie najlepszych dostępnych technologii lub dobrych praktyk, z</w:t>
      </w:r>
      <w:r w:rsidR="00EE55F8">
        <w:t> </w:t>
      </w:r>
      <w:r w:rsidRPr="003B2E20">
        <w:t>których korzystał sporządzający audyt.</w:t>
      </w:r>
    </w:p>
    <w:p w14:paraId="58B9E5CA" w14:textId="55F2241F" w:rsidR="00F34BD4" w:rsidRPr="00373FD3" w:rsidRDefault="00F34BD4" w:rsidP="00373FD3">
      <w:r w:rsidRPr="6B3B16EB">
        <w:t xml:space="preserve">Dodatkowo w ramach programów bezzwrotnych dofinansowań ilość zaoszczędzonej energii końcowej </w:t>
      </w:r>
      <w:r w:rsidRPr="59207C9B">
        <w:t>w</w:t>
      </w:r>
      <w:r w:rsidR="002B484E">
        <w:t> </w:t>
      </w:r>
      <w:r w:rsidRPr="59207C9B">
        <w:t xml:space="preserve">wyniku ich </w:t>
      </w:r>
      <w:r w:rsidRPr="3CC6FE7E">
        <w:t>realizacji</w:t>
      </w:r>
      <w:r w:rsidRPr="59207C9B">
        <w:t xml:space="preserve"> określa się </w:t>
      </w:r>
      <w:r w:rsidRPr="7ACDD89C">
        <w:t>z uwzględnieniem wartości</w:t>
      </w:r>
      <w:r w:rsidRPr="59207C9B">
        <w:t xml:space="preserve"> referencyjnych. </w:t>
      </w:r>
      <w:r w:rsidRPr="49D7A90C">
        <w:t>Wartości referencyjne i</w:t>
      </w:r>
      <w:r w:rsidR="002B484E">
        <w:t> </w:t>
      </w:r>
      <w:r w:rsidRPr="49D7A90C">
        <w:t>sposób ich obliczania został określony w rozporządzeniu</w:t>
      </w:r>
      <w:r w:rsidRPr="56CEEFCA">
        <w:t xml:space="preserve"> </w:t>
      </w:r>
      <w:r w:rsidRPr="541FDB25">
        <w:t xml:space="preserve">Ministra Klimatu i Środowiska z dnia 22 listopada 2021 r. </w:t>
      </w:r>
      <w:r w:rsidRPr="00373FD3">
        <w:t>w sprawie wartości referencyjnych oszczędności energii finalnej dla przedsięwzięć służących poprawie efektywności energetycznej oraz w sprawie sposobu obliczania tych wartości</w:t>
      </w:r>
      <w:r w:rsidRPr="541FDB25">
        <w:t xml:space="preserve"> (Dz. U. z 2021 r. poz. 2172).</w:t>
      </w:r>
      <w:r w:rsidRPr="49D7A90C">
        <w:t xml:space="preserve"> </w:t>
      </w:r>
      <w:r w:rsidRPr="37536C78">
        <w:t>Wartości referencyjne dla przedsięwzięć</w:t>
      </w:r>
      <w:r w:rsidR="00767FC5">
        <w:t xml:space="preserve"> </w:t>
      </w:r>
      <w:r w:rsidRPr="00373FD3">
        <w:t xml:space="preserve">służących poprawie efektywności energetycznej, polegających na wymianie w budynkach mieszkalnych jednorodzinnych standardowych indywidualnych źródeł ciepła oraz sposób obliczania wartości referencyjnych oszczędności energii finalnej dla przedsięwzięć służących poprawie efektywności energetycznej, polegających na wymianie źródeł ciepła, w sposób ustandaryzowany określają ilość osiągniętej oszczędności energii końcowej bez potrzeby sporządzania audytu. </w:t>
      </w:r>
    </w:p>
    <w:p w14:paraId="6EB16BCB" w14:textId="26D446B4" w:rsidR="00F34BD4" w:rsidRPr="00B4693F" w:rsidRDefault="00EB53CB" w:rsidP="00F01951">
      <w:pPr>
        <w:pStyle w:val="Nagwek4"/>
        <w:numPr>
          <w:ilvl w:val="0"/>
          <w:numId w:val="0"/>
        </w:numPr>
        <w:ind w:left="851" w:hanging="567"/>
      </w:pPr>
      <w:r>
        <w:t>d)</w:t>
      </w:r>
      <w:r w:rsidR="00F01951">
        <w:tab/>
      </w:r>
      <w:r w:rsidR="00F34BD4" w:rsidRPr="00B4693F">
        <w:t>Metoda wyrażania wielkości oszczędności energii (oszczędność energii pierwotnej lub końcowej)</w:t>
      </w:r>
    </w:p>
    <w:p w14:paraId="27813CCA" w14:textId="77777777" w:rsidR="00F34BD4" w:rsidRPr="00DF20A0" w:rsidRDefault="00F34BD4" w:rsidP="00373FD3">
      <w:r w:rsidRPr="171B3358">
        <w:t>Zgodnie z</w:t>
      </w:r>
      <w:r>
        <w:t xml:space="preserve"> pkt. 3 lit. d) Załącznika V</w:t>
      </w:r>
      <w:r w:rsidRPr="171B3358">
        <w:t xml:space="preserve"> państwa członkowskie wyrażają wielkość oszczędności energii wymaganą od każdej strony zobowiązanej w kategoriach zużycia energii końcowej lub pierwotnej. Metodę wybraną w celu wyrażenia wymaganej wielkości oszczędności energii wykorzystuje się także w celu obliczania oszczędności zgłaszanych przez strony zobowiązane.</w:t>
      </w:r>
    </w:p>
    <w:p w14:paraId="2405D68B" w14:textId="2965746F" w:rsidR="00F34BD4" w:rsidRDefault="00F34BD4" w:rsidP="00373FD3">
      <w:r w:rsidRPr="00D43788">
        <w:t xml:space="preserve">W ramach systemu zobowiązującego do efektywności energetycznej sporządzenie audytu dla danego przedsięwzięcia jest obligatoryjnym wymogiem, od którego spełnienia uwarunkowane jest ubieganie się o przyznanie świadectwa (białego certyfikatu). Na podstawie audytu określane są podstawowe parametry przedsięwzięcia służącego poprawie efektywności energetycznej, takie jak średnioroczna oszczędność energii końcowej i średnioroczna oszczędność energii pierwotnej. Parametry te są zapisywane w karcie audytu efektywności energetycznej. Zgodnie z przepisami ustawy o efektywności energetycznej podmioty zobowiązane muszą uzyskać w każdym </w:t>
      </w:r>
      <w:r w:rsidR="0011179A">
        <w:t>roku</w:t>
      </w:r>
      <w:r w:rsidRPr="00D43788">
        <w:t xml:space="preserve"> oszczędności energii końcowej. </w:t>
      </w:r>
    </w:p>
    <w:p w14:paraId="0F045F13" w14:textId="3C946B93" w:rsidR="00F34BD4" w:rsidRPr="00D43788" w:rsidRDefault="00F34BD4" w:rsidP="00373FD3">
      <w:r w:rsidRPr="00D43788">
        <w:t xml:space="preserve">W związku z tym świadectwo wydawane przez Prezesa URE zawiera również, wyrażoną w tonach oleju ekwiwalentnego, ilość energii końcowej zaoszczędzonej średnio w ciągu </w:t>
      </w:r>
      <w:r w:rsidR="0011179A">
        <w:t>roku</w:t>
      </w:r>
      <w:r w:rsidRPr="00D43788">
        <w:t xml:space="preserve">, w wyniku realizacji przedsięwzięcia służącego poprawie efektywności energetycznej. Natomiast w przypadku gdy w wyniku realizacji danego przedsięwzięcia uzyskiwana jest oszczędność energii pierwotnej, wielkość oszczędności energii zawartą na świadectwie ustala się z uwzględnieniem współczynników konwersji. </w:t>
      </w:r>
    </w:p>
    <w:p w14:paraId="35C027CE" w14:textId="77777777" w:rsidR="00F34BD4" w:rsidRDefault="00F34BD4" w:rsidP="00373FD3">
      <w:r w:rsidRPr="00075176">
        <w:t>Współczynniki konwersji wynikające ze sprawności procesów przetworzenia energii pierwotnej w energię końcową zostały określone w rozporządzeniu Ministra Klimatu i Środowiska zmieniającego rozporządzenie w sprawie szczegółowego zakresu i sposobu sporządzania audytu efektywności energetycznej oraz metod obliczania oszczędności energii. Wartości współczynników zostały określone oddzielnie w zależności od rodzaju nośnika energii, w tym m.</w:t>
      </w:r>
      <w:r>
        <w:t xml:space="preserve"> </w:t>
      </w:r>
      <w:r w:rsidRPr="00075176">
        <w:t>in.</w:t>
      </w:r>
      <w:r>
        <w:t xml:space="preserve"> </w:t>
      </w:r>
      <w:r w:rsidRPr="00075176">
        <w:t>energii elektrycznej dostarczanej z sieci elektroenergetycznej, ciepła dostarczanego z sieci ciepłowniczej i gazu ziemnego sieciowego</w:t>
      </w:r>
      <w:r w:rsidRPr="171B3358">
        <w:t xml:space="preserve">. </w:t>
      </w:r>
    </w:p>
    <w:p w14:paraId="27C3E3C0" w14:textId="36279036" w:rsidR="00F34BD4" w:rsidRPr="00B4693F" w:rsidRDefault="00EB53CB" w:rsidP="00F01951">
      <w:pPr>
        <w:pStyle w:val="Nagwek4"/>
        <w:numPr>
          <w:ilvl w:val="0"/>
          <w:numId w:val="0"/>
        </w:numPr>
        <w:ind w:left="709" w:hanging="425"/>
      </w:pPr>
      <w:r>
        <w:t>e)</w:t>
      </w:r>
      <w:r w:rsidR="00F01951">
        <w:tab/>
      </w:r>
      <w:r w:rsidR="00F34BD4" w:rsidRPr="00B4693F">
        <w:t>Okres obowiązywania środków i tempo zmniejszania się oszczędności w tym okresie</w:t>
      </w:r>
    </w:p>
    <w:p w14:paraId="21051564" w14:textId="17DC71D5" w:rsidR="00F34BD4" w:rsidRPr="00D43788" w:rsidRDefault="00F34BD4" w:rsidP="00373FD3">
      <w:r w:rsidRPr="00D43788">
        <w:t xml:space="preserve">W odniesieniu do okresu obowiązywania środków z dziedziny polityki (lifetime of measures), o którym mowa </w:t>
      </w:r>
      <w:r w:rsidRPr="005C1BF5">
        <w:t xml:space="preserve">w pkt 2 lit. p) Załącznika V do dyrektywy </w:t>
      </w:r>
      <w:r w:rsidR="00C204DC">
        <w:t>2023/1791</w:t>
      </w:r>
      <w:r w:rsidRPr="00D43788">
        <w:t>, w ramach systemu zobowiązującego do efektywności energetycznej stosowana jest „metoda bezpośrednia”, zgodnie z Zaleceniem Komisji</w:t>
      </w:r>
      <w:bookmarkStart w:id="9" w:name="_Hlk173757600"/>
      <w:bookmarkStart w:id="10" w:name="_Ref133923497"/>
      <w:r w:rsidR="006C41F6">
        <w:t xml:space="preserve"> Europejskiej</w:t>
      </w:r>
      <w:r w:rsidR="00723E25" w:rsidRPr="00723E25">
        <w:t xml:space="preserve"> 2019/1658</w:t>
      </w:r>
      <w:bookmarkEnd w:id="9"/>
      <w:r w:rsidRPr="00E45FB6">
        <w:rPr>
          <w:vertAlign w:val="superscript"/>
        </w:rPr>
        <w:footnoteReference w:id="5"/>
      </w:r>
      <w:bookmarkEnd w:id="10"/>
      <w:r>
        <w:t>.</w:t>
      </w:r>
      <w:r w:rsidRPr="00D43788">
        <w:t xml:space="preserve"> W</w:t>
      </w:r>
      <w:r w:rsidR="00933722">
        <w:t> </w:t>
      </w:r>
      <w:r w:rsidRPr="00D43788">
        <w:t xml:space="preserve">ramach tej metody przy obliczaniu oszczędności energii bierze się pod uwagę cały „czas trwania” środka. Pojęcie „czasu trwania” poszczególnych środków mających na celu oszczędność energii odnosi się do faktu, że oszczędności można uzyskać nie tylko w </w:t>
      </w:r>
      <w:r w:rsidR="0011179A">
        <w:t>roku</w:t>
      </w:r>
      <w:r w:rsidRPr="00D43788">
        <w:t xml:space="preserve"> wdrożenia, ale </w:t>
      </w:r>
      <w:r w:rsidRPr="00D43788">
        <w:lastRenderedPageBreak/>
        <w:t xml:space="preserve">również w kolejnych latach. „Czas trwania” to w związku z tym okres, w którym działanie w dalszym ciągu będzie przynosiło wymierne oszczędności Dokonuje się tego, obliczając oszczędności energii, jakie zostaną osiągnięte w związku z każdym przedsięwzięciem służącym poprawie efektywności energetycznej w okresie między rokiem jego wdrożenia a końcem okresu objętego obowiązkiem. Polska nie stosuje innej metody, która jest dopuszczalna na mocy przepisów pkt 2 lit. </w:t>
      </w:r>
      <w:r>
        <w:t>p</w:t>
      </w:r>
      <w:r w:rsidRPr="00D43788">
        <w:t xml:space="preserve">) Załącznika V. </w:t>
      </w:r>
    </w:p>
    <w:p w14:paraId="5B127298" w14:textId="3D1166F0" w:rsidR="00F34BD4" w:rsidRPr="00D43788" w:rsidRDefault="00F34BD4" w:rsidP="00373FD3">
      <w:r w:rsidRPr="00D43788">
        <w:t xml:space="preserve">Czas trwania środka z dziedziny polityki, rozumiany jako okres uzyskiwania oszczędności energii wyrażony w latach kalendarzowych, określony jest w karcie audytu energetycznego, publikowanej dla każdego wydanego świadectwa na stronie internetowej w Biuletynie Informacji Publicznej URE. Przykładowo dla oszczędności ciepła wykorzystywanego do ogrzewania pomieszczeń bilans wykonuje się dla standardowego okresu grzewczego ze standardowymi temperaturami zewnętrznymi. W przypadku audytu zakładu produkcyjnego oszczędność energii odnosi się do pierwotnej, bazowej wielkości produkcji w okresie </w:t>
      </w:r>
      <w:r w:rsidR="0011179A">
        <w:t>roku.</w:t>
      </w:r>
    </w:p>
    <w:p w14:paraId="6DC3262E" w14:textId="40FB4CD3" w:rsidR="00F34BD4" w:rsidRPr="00D43788" w:rsidRDefault="00F34BD4" w:rsidP="00373FD3">
      <w:r w:rsidRPr="00D43788">
        <w:t>Przewiduje się stosowanie orientacyjnych wartości czasów trwania środków określonych dla poszczególnych rodzajów środków z dziedziny polityki przedstawionych w wykazie w tabeli zawartej w Dodatku VIII</w:t>
      </w:r>
      <w:r w:rsidR="00723E25">
        <w:t xml:space="preserve">. </w:t>
      </w:r>
      <w:r w:rsidR="00723E25" w:rsidRPr="00933722">
        <w:rPr>
          <w:i/>
          <w:iCs/>
        </w:rPr>
        <w:t>Okres obowiązywania środków i tempo zmniejszania się oszczędności w tym okresie</w:t>
      </w:r>
      <w:r w:rsidR="00723E25" w:rsidRPr="00373FD3">
        <w:t xml:space="preserve"> </w:t>
      </w:r>
      <w:r w:rsidR="00723E25" w:rsidRPr="00DB3E40">
        <w:t xml:space="preserve">do </w:t>
      </w:r>
      <w:r w:rsidR="00723E25">
        <w:t>Zalecenia Komisji</w:t>
      </w:r>
      <w:r w:rsidR="006C41F6">
        <w:t xml:space="preserve"> Europejskiej </w:t>
      </w:r>
      <w:r w:rsidR="00723E25" w:rsidRPr="00723E25">
        <w:t>2019/1658</w:t>
      </w:r>
      <w:r w:rsidRPr="00D43788">
        <w:t xml:space="preserve">. </w:t>
      </w:r>
    </w:p>
    <w:p w14:paraId="729CA14D" w14:textId="77777777" w:rsidR="00F34BD4" w:rsidRDefault="00F34BD4" w:rsidP="00373FD3">
      <w:r w:rsidRPr="00D43788">
        <w:t xml:space="preserve">Metoda „bezpośrednia” w sposób oczywisty spełnia warunek, zgodnie z którym stosowana metoda obliczeniowa musi doprowadzić do rzeczywistego osiągnięcia wymaganej ilości oszczędności energii w okresie objętym obowiązkiem. </w:t>
      </w:r>
    </w:p>
    <w:p w14:paraId="7DE50B11" w14:textId="2CD30305" w:rsidR="00F34BD4" w:rsidRPr="00B4693F" w:rsidRDefault="00EB53CB" w:rsidP="00F01951">
      <w:pPr>
        <w:pStyle w:val="Nagwek4"/>
        <w:numPr>
          <w:ilvl w:val="0"/>
          <w:numId w:val="0"/>
        </w:numPr>
        <w:ind w:left="851" w:hanging="567"/>
      </w:pPr>
      <w:r>
        <w:t>f)</w:t>
      </w:r>
      <w:r w:rsidR="00F01951">
        <w:tab/>
      </w:r>
      <w:r w:rsidR="00F34BD4" w:rsidRPr="00B4693F">
        <w:t>Krótki opis metody obliczania oszczędności energii, w tym sposobów zapewniania dodatkowości i istotności oraz metod i poziomów referencyjnych stosowanych do oszczędności szacowanej i skalowanych</w:t>
      </w:r>
    </w:p>
    <w:p w14:paraId="56E6945E" w14:textId="46F0AEF0" w:rsidR="00F34BD4" w:rsidRPr="00665104" w:rsidRDefault="00F34BD4" w:rsidP="00373FD3">
      <w:r w:rsidRPr="00665104">
        <w:t xml:space="preserve">Oszczędności energii, które mają być osiągnięte do 2030 r. </w:t>
      </w:r>
      <w:r w:rsidRPr="00896BC0">
        <w:t xml:space="preserve">zgodnie z art. 8 ust. 1 lit. b) dyrektywy </w:t>
      </w:r>
      <w:r w:rsidR="00C204DC">
        <w:t>2023/1791</w:t>
      </w:r>
      <w:r w:rsidRPr="00896BC0">
        <w:t>, będą obliczane na dwa sposoby. Oszczędnoś</w:t>
      </w:r>
      <w:r w:rsidRPr="00665104">
        <w:t xml:space="preserve">ci energii finalnej określane są dla wybranych środków z dziedziny polityki metodą oceny typu </w:t>
      </w:r>
      <w:r w:rsidRPr="00373FD3">
        <w:t>bottom-up</w:t>
      </w:r>
      <w:r w:rsidRPr="00E45FB6">
        <w:rPr>
          <w:vertAlign w:val="superscript"/>
        </w:rPr>
        <w:footnoteReference w:id="6"/>
      </w:r>
      <w:r>
        <w:t>.</w:t>
      </w:r>
      <w:r w:rsidRPr="00665104">
        <w:t xml:space="preserve"> Metoda ta umożliwia pokazanie bezpośredniego związku pomiędzy realizacją tych środków a polityką energetyczną państwa. Środki monitorowane metodą </w:t>
      </w:r>
      <w:r w:rsidRPr="00373FD3">
        <w:t>bottom-up</w:t>
      </w:r>
      <w:r w:rsidRPr="00665104">
        <w:t xml:space="preserve"> obejmują znaczną część całkowitej wymaganej oszczędności energii finalnej. </w:t>
      </w:r>
    </w:p>
    <w:p w14:paraId="66D6CA77" w14:textId="77777777" w:rsidR="00F34BD4" w:rsidRPr="00075176" w:rsidRDefault="00F34BD4" w:rsidP="001D4A88">
      <w:pPr>
        <w:pStyle w:val="zasada"/>
      </w:pPr>
      <w:r w:rsidRPr="001D4A88">
        <w:t>Zasada</w:t>
      </w:r>
      <w:r w:rsidRPr="00075176">
        <w:t xml:space="preserve"> dodatkowości</w:t>
      </w:r>
    </w:p>
    <w:p w14:paraId="59221BC8" w14:textId="5EF856B9" w:rsidR="00F34BD4" w:rsidRPr="00665104" w:rsidRDefault="00F34BD4" w:rsidP="00373FD3">
      <w:r>
        <w:t>U</w:t>
      </w:r>
      <w:r w:rsidRPr="00665104">
        <w:t xml:space="preserve">znane mogą zostać wyłącznie oszczędności energii przekraczające poziomy unijnych wymagań dotyczących wycofywania z obrotu określonych produktów związanych z energią w następstwie </w:t>
      </w:r>
      <w:r w:rsidRPr="0071320E">
        <w:t>wdrożenia środków wykonawczych na mocy dyrektywy 2009/125/WE</w:t>
      </w:r>
      <w:bookmarkStart w:id="11" w:name="_Ref135213769"/>
      <w:r w:rsidRPr="00373FD3">
        <w:footnoteReference w:id="7"/>
      </w:r>
      <w:bookmarkEnd w:id="11"/>
      <w:r w:rsidRPr="0071320E">
        <w:t>.</w:t>
      </w:r>
      <w:r w:rsidRPr="00665104">
        <w:t xml:space="preserve"> W</w:t>
      </w:r>
      <w:r>
        <w:t> </w:t>
      </w:r>
      <w:r w:rsidRPr="00665104">
        <w:t xml:space="preserve">szczególności wymagania te zostały wprowadzone dla produktów związanych z takimi przedsięwzięciami jak: modernizacja instalacji oświetlenia, wymiana silników elektrycznych czy też wymiana kotłów/źródeł ciepła w instalacjach ogrzewczych. Stosowanie zasady dodatkowości zostało zapewnione w taki sposób, iż dla ww. przedsięwzięć (wymiany urządzeń/sprzętu objętych wymogami dotyczącymi ekoprojektu) dokonano stosownych korekt w formułach stosowanych przy obliczaniu oszczędności energii w ramach sporządzania audytu efektywności energetycznej. W przypadku tych przedsięwzięć minimalne poziomy </w:t>
      </w:r>
      <w:r w:rsidRPr="00665104">
        <w:lastRenderedPageBreak/>
        <w:t>wynikające z wdrożenia przepisów unijnych dotyczących wymogów ekoprojektu są wyznaczane i</w:t>
      </w:r>
      <w:r w:rsidR="00291573">
        <w:t> </w:t>
      </w:r>
      <w:r w:rsidRPr="00665104">
        <w:t>stosowane jako poziomy referencyjne będące punktami wyjścia przy obliczaniu oszczędności energii.</w:t>
      </w:r>
    </w:p>
    <w:p w14:paraId="0C90BEB9" w14:textId="77777777" w:rsidR="00F34BD4" w:rsidRPr="00075176" w:rsidRDefault="00F34BD4" w:rsidP="001D4A88">
      <w:pPr>
        <w:pStyle w:val="zasada"/>
      </w:pPr>
      <w:r w:rsidRPr="00075176">
        <w:t>Zasada istotności</w:t>
      </w:r>
    </w:p>
    <w:p w14:paraId="27F16460" w14:textId="2042BC05" w:rsidR="00F34BD4" w:rsidRPr="00665104" w:rsidRDefault="00F34BD4" w:rsidP="00373FD3">
      <w:r>
        <w:t>A</w:t>
      </w:r>
      <w:r w:rsidRPr="00665104">
        <w:t>by odpowiednie działania indywidualne podejmowane przez krajowe organy mogły być kwalifikowalne, muszą one być „istotne” dla osiągnięcia zgłoszonych oszczędności energii. Zgodnie z Zaleceniem Komisj</w:t>
      </w:r>
      <w:r>
        <w:t>i</w:t>
      </w:r>
      <w:r w:rsidR="006C41F6">
        <w:t xml:space="preserve"> Europejskiej</w:t>
      </w:r>
      <w:r w:rsidR="00723E25" w:rsidRPr="00723E25">
        <w:t xml:space="preserve"> 2019/1658</w:t>
      </w:r>
      <w:r w:rsidRPr="00665104">
        <w:t xml:space="preserve">, termin „istotny” oznacza, że organy te muszą mieć udział w przedmiotowym działaniu indywidualnego oraz że dotacja lub zaangażowanie strony zobowiązanej musi wyraźnie mieć większy niż minimalny wpływ na decyzję użytkownika końcowego o podjęciu inwestycji w poprawę efektywności energetycznej. Zatem państwa członkowskie muszą być w stanie wykazać, że oszczędności wynikają ze środków z dziedziny polityki wprowadzonych w celu uzyskania oszczędności końcowego zużycia energii. </w:t>
      </w:r>
    </w:p>
    <w:p w14:paraId="72A46DF2" w14:textId="4309F990" w:rsidR="00F34BD4" w:rsidRDefault="00F34BD4" w:rsidP="00373FD3">
      <w:r w:rsidRPr="00665104">
        <w:t xml:space="preserve">Spełnienie zasady „istotności” w ramach funkcjonującego w Polsce systemu zobowiązującego do efektywności energetycznej gwarantuje obowiązek przedłożenia Prezesowi URE audytu efektywności energetycznej oraz ustalenie poziomu minimalnego oszczędności energii końcowej, od którego przyznawane jest świadectwo efektywności energetycznej, równego 10 ton oleju ekwiwalentnego (toe) średnio w ciągu </w:t>
      </w:r>
      <w:r w:rsidR="0011179A">
        <w:t>roku.</w:t>
      </w:r>
      <w:r w:rsidRPr="00665104">
        <w:t xml:space="preserve"> Świadectwa są wydawane wyłącznie za realizację działań przynoszących znaczące oszczędności energii. Mogą to być pojedyncze duże przedsięwzięcia lub kilka przedsięwzięć tego samego rodzaju osiągających skumulowaną oszczędność energii równą co najmniej 10 toe. W ramach systemu określone są zatem ogólne wymogi zgodnie z którymi podmioty ubiegające się o świadectwo efektywności energetycznej muszą udokumentować i udowodnić swój bezpośredni wkład we wdrożenie działania, tj. wymagane jest, aby udowodniły: czy wkład został wniesiony bezpośrednio czy przez pośredników oraz czy decyzja została podjęta przed wdrożeniem działania. Ponadto zgodnie z przepisami ustawy o efektywności energetycznej strony zobowiązane muszą przedstawiać Prezesowi URE na jego żądanie wszelkie dokumenty lub informacje niezbędne do oceny wykonania obowiązku. </w:t>
      </w:r>
    </w:p>
    <w:p w14:paraId="291ACA29" w14:textId="77777777" w:rsidR="00F34BD4" w:rsidRDefault="00F34BD4" w:rsidP="00373FD3">
      <w:r>
        <w:t>Dodatkowo w odniesieniu do programów bezzwrotnych dofinansowań należy zaznaczyć, że o</w:t>
      </w:r>
      <w:r w:rsidRPr="00472C44">
        <w:t xml:space="preserve">szczędności energii finalnej uzyskane w ramach </w:t>
      </w:r>
      <w:r>
        <w:t>tych programów</w:t>
      </w:r>
      <w:r w:rsidRPr="00472C44">
        <w:t xml:space="preserve"> są istotne dla osiągnięcia krajowego celu w zakresie oszczędności energii, określonego w art. 8 dyrektywy. Szczególne znaczenie należy przypisać efektowi skali. W ramach </w:t>
      </w:r>
      <w:r>
        <w:t>programów bezzwrotnych dofinansowań</w:t>
      </w:r>
      <w:r w:rsidRPr="00472C44">
        <w:t xml:space="preserve"> uzyskuje się istotne oszczędności energii finalnej podczas realizacji wielu przedsięwzięć służących poprawie efektywności energetycznej przynoszących stosunkowo niewielką ilość oszczędności energii.</w:t>
      </w:r>
    </w:p>
    <w:p w14:paraId="03CA5A72" w14:textId="3DE2EE83" w:rsidR="00F34BD4" w:rsidRPr="00B4693F" w:rsidRDefault="00EB53CB" w:rsidP="00F01951">
      <w:pPr>
        <w:pStyle w:val="Nagwek4"/>
        <w:numPr>
          <w:ilvl w:val="0"/>
          <w:numId w:val="0"/>
        </w:numPr>
        <w:ind w:left="851" w:hanging="567"/>
      </w:pPr>
      <w:r>
        <w:t xml:space="preserve">g) </w:t>
      </w:r>
      <w:r w:rsidR="00F01951">
        <w:tab/>
      </w:r>
      <w:r w:rsidR="00F34BD4" w:rsidRPr="00B4693F">
        <w:t xml:space="preserve">Oszczędność energii finalnej i skumulowana oszczędność </w:t>
      </w:r>
      <w:r w:rsidR="00F34BD4">
        <w:t>końcowego zużycia energii</w:t>
      </w:r>
      <w:r w:rsidR="00F34BD4" w:rsidRPr="00B4693F">
        <w:t xml:space="preserve"> w okresie 2021</w:t>
      </w:r>
      <w:r w:rsidR="004B0F0A">
        <w:t>–20</w:t>
      </w:r>
      <w:r w:rsidR="00F34BD4" w:rsidRPr="00B4693F">
        <w:t>30</w:t>
      </w:r>
    </w:p>
    <w:p w14:paraId="0DE6A1AE" w14:textId="28D325D0" w:rsidR="00235CB9" w:rsidRDefault="00F34BD4" w:rsidP="00373FD3">
      <w:r w:rsidRPr="00165AA4">
        <w:t>W Polsce</w:t>
      </w:r>
      <w:r w:rsidRPr="76BE6E13">
        <w:t>,</w:t>
      </w:r>
      <w:r w:rsidRPr="00165AA4">
        <w:t xml:space="preserve"> obecny cel w zakresie oszczędności energii </w:t>
      </w:r>
      <w:r>
        <w:t>końcowej</w:t>
      </w:r>
      <w:r w:rsidRPr="00165AA4">
        <w:t xml:space="preserve"> dotyczy energii sprzedawanej odbiorcom końcowym (</w:t>
      </w:r>
      <w:r>
        <w:t>system zobowiązujący do efektywności energetycznej</w:t>
      </w:r>
      <w:r w:rsidRPr="00165AA4">
        <w:t xml:space="preserve">). </w:t>
      </w:r>
      <w:r w:rsidRPr="76BE6E13">
        <w:t>Dla podmiotów</w:t>
      </w:r>
      <w:r w:rsidRPr="00165AA4">
        <w:t xml:space="preserve"> zobowiązanych prowadzących sprzedaż energii elektrycznej, gazu ziemnego i ciepła sieciowego </w:t>
      </w:r>
      <w:r>
        <w:t xml:space="preserve">wynosi on </w:t>
      </w:r>
      <w:r w:rsidRPr="00165AA4">
        <w:t xml:space="preserve">1,5% wolumenu rocznej sprzedaży do odbiorców końcowych. </w:t>
      </w:r>
      <w:r w:rsidRPr="76BE6E13">
        <w:t>Dla podmiotów</w:t>
      </w:r>
      <w:r w:rsidRPr="00165AA4">
        <w:t xml:space="preserve"> zobowiązanych prowadzących sprzedaż paliw płynnych, w ustawie</w:t>
      </w:r>
      <w:r>
        <w:t xml:space="preserve"> z dnia 20 maja 2016 r.</w:t>
      </w:r>
      <w:r w:rsidR="00767FC5">
        <w:t xml:space="preserve"> </w:t>
      </w:r>
      <w:r w:rsidRPr="00373FD3">
        <w:t>o efektywności energetycznej</w:t>
      </w:r>
      <w:r>
        <w:t xml:space="preserve"> (</w:t>
      </w:r>
      <w:r w:rsidR="002754E3" w:rsidRPr="002754E3">
        <w:t>Dz. U. z 2024 r. poz. 1047</w:t>
      </w:r>
      <w:r>
        <w:t>)</w:t>
      </w:r>
      <w:r w:rsidRPr="00165AA4">
        <w:t xml:space="preserve"> określono podejście progresywne: w 2021 r. – 0,2%, w 2022 r. – 0,2%, w 2023 – 0,4%, w 2024 – 0,4%, w 2025 – 0,5%, w 2026 – 0,6%, w 2027 – 0,7%, w 2028 – 0,8%, w 2029 – 0,9, w 2030 – 1,0% wolumenu rocznej sprzedaży do odbiorców końcowych. </w:t>
      </w:r>
      <w:r w:rsidRPr="663FA424">
        <w:t>Zatem obowiązek</w:t>
      </w:r>
      <w:r w:rsidR="00235CB9">
        <w:t>,</w:t>
      </w:r>
      <w:r w:rsidRPr="663FA424">
        <w:t xml:space="preserve"> o którym mowa powyżej będzie </w:t>
      </w:r>
      <w:r w:rsidRPr="00075176">
        <w:t>rozłożony</w:t>
      </w:r>
      <w:r w:rsidR="00767FC5">
        <w:t xml:space="preserve"> </w:t>
      </w:r>
      <w:r w:rsidRPr="00075176">
        <w:t>w</w:t>
      </w:r>
      <w:r w:rsidR="00767FC5">
        <w:t xml:space="preserve"> </w:t>
      </w:r>
      <w:r w:rsidRPr="00075176">
        <w:t>czasie</w:t>
      </w:r>
      <w:r w:rsidRPr="663FA424">
        <w:t>,</w:t>
      </w:r>
      <w:r w:rsidRPr="00075176">
        <w:t xml:space="preserve"> </w:t>
      </w:r>
      <w:r w:rsidR="004A5C88">
        <w:t>co przedstawia</w:t>
      </w:r>
      <w:r w:rsidR="00AC3E6C">
        <w:t xml:space="preserve"> </w:t>
      </w:r>
      <w:r w:rsidR="00AC3E6C">
        <w:fldChar w:fldCharType="begin"/>
      </w:r>
      <w:r w:rsidR="00AC3E6C">
        <w:instrText xml:space="preserve"> REF _Ref173760035 \h </w:instrText>
      </w:r>
      <w:r w:rsidR="00AC3E6C">
        <w:fldChar w:fldCharType="separate"/>
      </w:r>
      <w:r w:rsidR="00CC735D">
        <w:t xml:space="preserve">Tabela </w:t>
      </w:r>
      <w:r w:rsidR="00CC735D">
        <w:rPr>
          <w:noProof/>
        </w:rPr>
        <w:t>1</w:t>
      </w:r>
      <w:r w:rsidR="00AC3E6C">
        <w:fldChar w:fldCharType="end"/>
      </w:r>
      <w:r w:rsidRPr="004D7678">
        <w:t>.</w:t>
      </w:r>
      <w:r>
        <w:t xml:space="preserve"> Wartość oszczędności nowych średniorocznych oszczędności w 2021 </w:t>
      </w:r>
      <w:r w:rsidR="0011179A">
        <w:t>r.</w:t>
      </w:r>
      <w:r>
        <w:t xml:space="preserve"> została uzupełniona o uzyskane oszczędności wynikające z realizacji obowiązku przed podmioty zobowiązane.</w:t>
      </w:r>
    </w:p>
    <w:p w14:paraId="04FC68D6" w14:textId="74D0EB7A" w:rsidR="00F34BD4" w:rsidRDefault="00767FC5" w:rsidP="00373FD3">
      <w:r>
        <w:t xml:space="preserve"> </w:t>
      </w:r>
    </w:p>
    <w:p w14:paraId="5A3794AF" w14:textId="77777777" w:rsidR="00FA29F5" w:rsidRDefault="00FA29F5" w:rsidP="00373FD3"/>
    <w:p w14:paraId="5D2AD830" w14:textId="77777777" w:rsidR="00FA29F5" w:rsidRDefault="00FA29F5" w:rsidP="00373FD3"/>
    <w:p w14:paraId="32F59A89" w14:textId="78629F2B" w:rsidR="00AC3E6C" w:rsidRDefault="00AC3E6C" w:rsidP="00AC3E6C">
      <w:pPr>
        <w:pStyle w:val="Legenda"/>
        <w:keepNext/>
      </w:pPr>
      <w:bookmarkStart w:id="12" w:name="_Ref173760035"/>
      <w:bookmarkStart w:id="13" w:name="_Ref173760022"/>
      <w:r>
        <w:lastRenderedPageBreak/>
        <w:t xml:space="preserve">Tabela </w:t>
      </w:r>
      <w:fldSimple w:instr=" SEQ Tabela \* ARABIC ">
        <w:r w:rsidR="00CC735D">
          <w:rPr>
            <w:noProof/>
          </w:rPr>
          <w:t>1</w:t>
        </w:r>
      </w:fldSimple>
      <w:bookmarkEnd w:id="12"/>
      <w:r>
        <w:t xml:space="preserve">. </w:t>
      </w:r>
      <w:r>
        <w:rPr>
          <w:rStyle w:val="rynqvb"/>
          <w:bCs/>
        </w:rPr>
        <w:t>System świadectw efektywności energetycznej: o</w:t>
      </w:r>
      <w:r w:rsidRPr="00E35197">
        <w:rPr>
          <w:rStyle w:val="rynqvb"/>
          <w:bCs/>
        </w:rPr>
        <w:t>szczędności</w:t>
      </w:r>
      <w:r>
        <w:rPr>
          <w:rStyle w:val="rynqvb"/>
          <w:bCs/>
        </w:rPr>
        <w:t xml:space="preserve"> końcowego zużycia</w:t>
      </w:r>
      <w:r w:rsidRPr="00E35197">
        <w:rPr>
          <w:rStyle w:val="rynqvb"/>
          <w:bCs/>
        </w:rPr>
        <w:t xml:space="preserve"> energii osiągnię</w:t>
      </w:r>
      <w:r>
        <w:rPr>
          <w:rStyle w:val="rynqvb"/>
          <w:bCs/>
        </w:rPr>
        <w:t>te w 2021 r. oraz szacunkowe oszczędności</w:t>
      </w:r>
      <w:r w:rsidRPr="00E35197">
        <w:rPr>
          <w:rStyle w:val="rynqvb"/>
          <w:bCs/>
        </w:rPr>
        <w:t xml:space="preserve"> </w:t>
      </w:r>
      <w:r>
        <w:rPr>
          <w:rStyle w:val="rynqvb"/>
          <w:bCs/>
        </w:rPr>
        <w:t>do osiągnięcia</w:t>
      </w:r>
      <w:r w:rsidRPr="00E35197">
        <w:rPr>
          <w:rStyle w:val="rynqvb"/>
          <w:bCs/>
        </w:rPr>
        <w:t xml:space="preserve"> latach 202</w:t>
      </w:r>
      <w:r>
        <w:rPr>
          <w:rStyle w:val="rynqvb"/>
          <w:bCs/>
        </w:rPr>
        <w:t>2</w:t>
      </w:r>
      <w:r w:rsidR="004B0F0A">
        <w:rPr>
          <w:rStyle w:val="rynqvb"/>
          <w:bCs/>
        </w:rPr>
        <w:t>–</w:t>
      </w:r>
      <w:r w:rsidRPr="00E35197">
        <w:rPr>
          <w:rStyle w:val="rynqvb"/>
          <w:bCs/>
        </w:rPr>
        <w:t>2030 – roczne i skumulowane</w:t>
      </w:r>
      <w:bookmarkEnd w:id="13"/>
    </w:p>
    <w:tbl>
      <w:tblPr>
        <w:tblpPr w:leftFromText="141" w:rightFromText="141" w:vertAnchor="text" w:horzAnchor="margin" w:tblpY="196"/>
        <w:tblW w:w="5060" w:type="pct"/>
        <w:tblCellMar>
          <w:left w:w="70" w:type="dxa"/>
          <w:right w:w="70" w:type="dxa"/>
        </w:tblCellMar>
        <w:tblLook w:val="04A0" w:firstRow="1" w:lastRow="0" w:firstColumn="1" w:lastColumn="0" w:noHBand="0" w:noVBand="1"/>
      </w:tblPr>
      <w:tblGrid>
        <w:gridCol w:w="1394"/>
        <w:gridCol w:w="669"/>
        <w:gridCol w:w="623"/>
        <w:gridCol w:w="623"/>
        <w:gridCol w:w="623"/>
        <w:gridCol w:w="655"/>
        <w:gridCol w:w="655"/>
        <w:gridCol w:w="623"/>
        <w:gridCol w:w="623"/>
        <w:gridCol w:w="623"/>
        <w:gridCol w:w="655"/>
        <w:gridCol w:w="1410"/>
      </w:tblGrid>
      <w:tr w:rsidR="00F34BD4" w:rsidRPr="004D43AB" w14:paraId="1345DB1B" w14:textId="77777777">
        <w:trPr>
          <w:trHeight w:val="283"/>
        </w:trPr>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DAE3D" w14:textId="77777777" w:rsidR="00F34BD4" w:rsidRPr="00D94B5E" w:rsidRDefault="00F34BD4">
            <w:pPr>
              <w:spacing w:after="0"/>
              <w:jc w:val="center"/>
              <w:rPr>
                <w:color w:val="000000"/>
                <w:szCs w:val="20"/>
                <w:lang w:eastAsia="pl-PL"/>
              </w:rPr>
            </w:pPr>
            <w:r w:rsidRPr="00D94B5E">
              <w:rPr>
                <w:color w:val="000000"/>
                <w:szCs w:val="20"/>
                <w:lang w:eastAsia="pl-PL"/>
              </w:rPr>
              <w:t>Rok</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0E324131" w14:textId="77777777" w:rsidR="00F34BD4" w:rsidRPr="00D94B5E" w:rsidRDefault="00F34BD4">
            <w:pPr>
              <w:spacing w:after="0"/>
              <w:jc w:val="center"/>
              <w:rPr>
                <w:color w:val="000000"/>
                <w:szCs w:val="20"/>
                <w:lang w:eastAsia="pl-PL"/>
              </w:rPr>
            </w:pPr>
            <w:r w:rsidRPr="00D94B5E">
              <w:rPr>
                <w:color w:val="000000"/>
                <w:szCs w:val="20"/>
                <w:lang w:eastAsia="pl-PL"/>
              </w:rPr>
              <w:t>2021</w:t>
            </w:r>
          </w:p>
        </w:tc>
        <w:tc>
          <w:tcPr>
            <w:tcW w:w="623" w:type="dxa"/>
            <w:tcBorders>
              <w:top w:val="single" w:sz="4" w:space="0" w:color="auto"/>
              <w:left w:val="nil"/>
              <w:bottom w:val="single" w:sz="4" w:space="0" w:color="auto"/>
              <w:right w:val="single" w:sz="4" w:space="0" w:color="auto"/>
            </w:tcBorders>
            <w:shd w:val="clear" w:color="auto" w:fill="auto"/>
            <w:noWrap/>
            <w:vAlign w:val="center"/>
            <w:hideMark/>
          </w:tcPr>
          <w:p w14:paraId="38FB9EFC" w14:textId="77777777" w:rsidR="00F34BD4" w:rsidRPr="00D94B5E" w:rsidRDefault="00F34BD4">
            <w:pPr>
              <w:spacing w:after="0"/>
              <w:jc w:val="center"/>
              <w:rPr>
                <w:color w:val="000000"/>
                <w:szCs w:val="20"/>
                <w:lang w:eastAsia="pl-PL"/>
              </w:rPr>
            </w:pPr>
            <w:r w:rsidRPr="00D94B5E">
              <w:rPr>
                <w:color w:val="000000"/>
                <w:szCs w:val="20"/>
                <w:lang w:eastAsia="pl-PL"/>
              </w:rPr>
              <w:t>2022</w:t>
            </w:r>
          </w:p>
        </w:tc>
        <w:tc>
          <w:tcPr>
            <w:tcW w:w="623" w:type="dxa"/>
            <w:tcBorders>
              <w:top w:val="single" w:sz="4" w:space="0" w:color="auto"/>
              <w:left w:val="nil"/>
              <w:bottom w:val="single" w:sz="4" w:space="0" w:color="auto"/>
              <w:right w:val="single" w:sz="4" w:space="0" w:color="auto"/>
            </w:tcBorders>
            <w:shd w:val="clear" w:color="auto" w:fill="auto"/>
            <w:noWrap/>
            <w:vAlign w:val="center"/>
            <w:hideMark/>
          </w:tcPr>
          <w:p w14:paraId="280F0D81" w14:textId="77777777" w:rsidR="00F34BD4" w:rsidRPr="00D94B5E" w:rsidRDefault="00F34BD4">
            <w:pPr>
              <w:spacing w:after="0"/>
              <w:jc w:val="center"/>
              <w:rPr>
                <w:color w:val="000000"/>
                <w:szCs w:val="20"/>
                <w:lang w:eastAsia="pl-PL"/>
              </w:rPr>
            </w:pPr>
            <w:r w:rsidRPr="00D94B5E">
              <w:rPr>
                <w:color w:val="000000"/>
                <w:szCs w:val="20"/>
                <w:lang w:eastAsia="pl-PL"/>
              </w:rPr>
              <w:t>2023</w:t>
            </w:r>
          </w:p>
        </w:tc>
        <w:tc>
          <w:tcPr>
            <w:tcW w:w="623" w:type="dxa"/>
            <w:tcBorders>
              <w:top w:val="single" w:sz="4" w:space="0" w:color="auto"/>
              <w:left w:val="nil"/>
              <w:bottom w:val="single" w:sz="4" w:space="0" w:color="auto"/>
              <w:right w:val="single" w:sz="4" w:space="0" w:color="auto"/>
            </w:tcBorders>
            <w:shd w:val="clear" w:color="auto" w:fill="auto"/>
            <w:noWrap/>
            <w:vAlign w:val="center"/>
            <w:hideMark/>
          </w:tcPr>
          <w:p w14:paraId="6485CD2D" w14:textId="77777777" w:rsidR="00F34BD4" w:rsidRPr="00D94B5E" w:rsidRDefault="00F34BD4">
            <w:pPr>
              <w:spacing w:after="0"/>
              <w:jc w:val="center"/>
              <w:rPr>
                <w:color w:val="000000"/>
                <w:szCs w:val="20"/>
                <w:lang w:eastAsia="pl-PL"/>
              </w:rPr>
            </w:pPr>
            <w:r w:rsidRPr="00D94B5E">
              <w:rPr>
                <w:color w:val="000000"/>
                <w:szCs w:val="20"/>
                <w:lang w:eastAsia="pl-PL"/>
              </w:rPr>
              <w:t>2024</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7C1D23D7" w14:textId="77777777" w:rsidR="00F34BD4" w:rsidRPr="00D94B5E" w:rsidRDefault="00F34BD4">
            <w:pPr>
              <w:spacing w:after="0"/>
              <w:jc w:val="center"/>
              <w:rPr>
                <w:color w:val="000000"/>
                <w:szCs w:val="20"/>
                <w:lang w:eastAsia="pl-PL"/>
              </w:rPr>
            </w:pPr>
            <w:r w:rsidRPr="00D94B5E">
              <w:rPr>
                <w:color w:val="000000"/>
                <w:szCs w:val="20"/>
                <w:lang w:eastAsia="pl-PL"/>
              </w:rPr>
              <w:t>2025</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04F4EFE9" w14:textId="77777777" w:rsidR="00F34BD4" w:rsidRPr="00D94B5E" w:rsidRDefault="00F34BD4">
            <w:pPr>
              <w:spacing w:after="0"/>
              <w:jc w:val="center"/>
              <w:rPr>
                <w:color w:val="000000"/>
                <w:szCs w:val="20"/>
                <w:lang w:eastAsia="pl-PL"/>
              </w:rPr>
            </w:pPr>
            <w:r w:rsidRPr="00D94B5E">
              <w:rPr>
                <w:color w:val="000000"/>
                <w:szCs w:val="20"/>
                <w:lang w:eastAsia="pl-PL"/>
              </w:rPr>
              <w:t>2026</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14:paraId="43A47A69" w14:textId="77777777" w:rsidR="00F34BD4" w:rsidRPr="00D94B5E" w:rsidRDefault="00F34BD4">
            <w:pPr>
              <w:spacing w:after="0"/>
              <w:jc w:val="center"/>
              <w:rPr>
                <w:color w:val="000000"/>
                <w:szCs w:val="20"/>
                <w:lang w:eastAsia="pl-PL"/>
              </w:rPr>
            </w:pPr>
            <w:r w:rsidRPr="00D94B5E">
              <w:rPr>
                <w:color w:val="000000"/>
                <w:szCs w:val="20"/>
                <w:lang w:eastAsia="pl-PL"/>
              </w:rPr>
              <w:t>2027</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14:paraId="17F8F3E6" w14:textId="77777777" w:rsidR="00F34BD4" w:rsidRPr="00D94B5E" w:rsidRDefault="00F34BD4">
            <w:pPr>
              <w:spacing w:after="0"/>
              <w:jc w:val="center"/>
              <w:rPr>
                <w:color w:val="000000"/>
                <w:szCs w:val="20"/>
                <w:lang w:eastAsia="pl-PL"/>
              </w:rPr>
            </w:pPr>
            <w:r w:rsidRPr="00D94B5E">
              <w:rPr>
                <w:color w:val="000000"/>
                <w:szCs w:val="20"/>
                <w:lang w:eastAsia="pl-PL"/>
              </w:rPr>
              <w:t>2028</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14:paraId="44B18BA8" w14:textId="77777777" w:rsidR="00F34BD4" w:rsidRPr="00D94B5E" w:rsidRDefault="00F34BD4">
            <w:pPr>
              <w:spacing w:after="0"/>
              <w:jc w:val="center"/>
              <w:rPr>
                <w:color w:val="000000"/>
                <w:szCs w:val="20"/>
                <w:lang w:eastAsia="pl-PL"/>
              </w:rPr>
            </w:pPr>
            <w:r w:rsidRPr="00D94B5E">
              <w:rPr>
                <w:color w:val="000000"/>
                <w:szCs w:val="20"/>
                <w:lang w:eastAsia="pl-PL"/>
              </w:rPr>
              <w:t>2029</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78259" w14:textId="77777777" w:rsidR="00F34BD4" w:rsidRPr="00D94B5E" w:rsidRDefault="00F34BD4">
            <w:pPr>
              <w:spacing w:after="0"/>
              <w:jc w:val="center"/>
              <w:rPr>
                <w:color w:val="000000"/>
                <w:szCs w:val="20"/>
                <w:lang w:eastAsia="pl-PL"/>
              </w:rPr>
            </w:pPr>
            <w:r w:rsidRPr="00D94B5E">
              <w:rPr>
                <w:color w:val="000000"/>
                <w:szCs w:val="20"/>
                <w:lang w:eastAsia="pl-PL"/>
              </w:rPr>
              <w:t>2030</w:t>
            </w:r>
          </w:p>
        </w:tc>
        <w:tc>
          <w:tcPr>
            <w:tcW w:w="1410" w:type="dxa"/>
            <w:tcBorders>
              <w:top w:val="nil"/>
              <w:left w:val="single" w:sz="4" w:space="0" w:color="auto"/>
              <w:bottom w:val="single" w:sz="4" w:space="0" w:color="auto"/>
            </w:tcBorders>
            <w:shd w:val="clear" w:color="auto" w:fill="auto"/>
            <w:noWrap/>
            <w:vAlign w:val="center"/>
            <w:hideMark/>
          </w:tcPr>
          <w:p w14:paraId="546073C3" w14:textId="77777777" w:rsidR="00F34BD4" w:rsidRPr="00D94B5E" w:rsidRDefault="00F34BD4">
            <w:pPr>
              <w:spacing w:after="0"/>
              <w:jc w:val="center"/>
              <w:rPr>
                <w:color w:val="000000"/>
                <w:szCs w:val="20"/>
                <w:lang w:eastAsia="pl-PL"/>
              </w:rPr>
            </w:pPr>
          </w:p>
        </w:tc>
      </w:tr>
      <w:tr w:rsidR="00F34BD4" w:rsidRPr="004D43AB" w14:paraId="44DC4E40" w14:textId="77777777">
        <w:trPr>
          <w:trHeight w:val="283"/>
        </w:trPr>
        <w:tc>
          <w:tcPr>
            <w:tcW w:w="1394" w:type="dxa"/>
            <w:vMerge w:val="restart"/>
            <w:tcBorders>
              <w:top w:val="nil"/>
              <w:left w:val="single" w:sz="4" w:space="0" w:color="auto"/>
              <w:right w:val="single" w:sz="4" w:space="0" w:color="auto"/>
            </w:tcBorders>
            <w:shd w:val="clear" w:color="auto" w:fill="auto"/>
            <w:vAlign w:val="center"/>
            <w:hideMark/>
          </w:tcPr>
          <w:p w14:paraId="79F3576C" w14:textId="77777777" w:rsidR="00F34BD4" w:rsidRPr="00D94B5E" w:rsidRDefault="00F34BD4">
            <w:pPr>
              <w:spacing w:after="0"/>
              <w:jc w:val="center"/>
              <w:rPr>
                <w:color w:val="000000"/>
                <w:szCs w:val="20"/>
                <w:lang w:eastAsia="pl-PL"/>
              </w:rPr>
            </w:pPr>
            <w:r w:rsidRPr="00D94B5E">
              <w:rPr>
                <w:color w:val="000000"/>
                <w:szCs w:val="20"/>
                <w:lang w:eastAsia="pl-PL"/>
              </w:rPr>
              <w:t>Oszczędności końcowego zużycia energii (ktoe)</w:t>
            </w:r>
          </w:p>
        </w:tc>
        <w:tc>
          <w:tcPr>
            <w:tcW w:w="669" w:type="dxa"/>
            <w:tcBorders>
              <w:top w:val="nil"/>
              <w:left w:val="nil"/>
              <w:bottom w:val="single" w:sz="4" w:space="0" w:color="auto"/>
              <w:right w:val="single" w:sz="4" w:space="0" w:color="auto"/>
            </w:tcBorders>
            <w:shd w:val="clear" w:color="auto" w:fill="auto"/>
            <w:noWrap/>
            <w:vAlign w:val="center"/>
          </w:tcPr>
          <w:p w14:paraId="076DC86B"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23" w:type="dxa"/>
            <w:tcBorders>
              <w:top w:val="nil"/>
              <w:left w:val="nil"/>
              <w:bottom w:val="single" w:sz="4" w:space="0" w:color="auto"/>
              <w:right w:val="single" w:sz="4" w:space="0" w:color="auto"/>
            </w:tcBorders>
            <w:shd w:val="clear" w:color="auto" w:fill="auto"/>
            <w:noWrap/>
            <w:vAlign w:val="center"/>
          </w:tcPr>
          <w:p w14:paraId="19AE5FDB"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23" w:type="dxa"/>
            <w:tcBorders>
              <w:top w:val="nil"/>
              <w:left w:val="nil"/>
              <w:bottom w:val="single" w:sz="4" w:space="0" w:color="auto"/>
              <w:right w:val="single" w:sz="4" w:space="0" w:color="auto"/>
            </w:tcBorders>
            <w:shd w:val="clear" w:color="auto" w:fill="auto"/>
            <w:noWrap/>
            <w:vAlign w:val="center"/>
          </w:tcPr>
          <w:p w14:paraId="51A003C3"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23" w:type="dxa"/>
            <w:tcBorders>
              <w:top w:val="nil"/>
              <w:left w:val="nil"/>
              <w:bottom w:val="single" w:sz="4" w:space="0" w:color="auto"/>
              <w:right w:val="single" w:sz="4" w:space="0" w:color="auto"/>
            </w:tcBorders>
            <w:shd w:val="clear" w:color="auto" w:fill="auto"/>
            <w:noWrap/>
            <w:vAlign w:val="center"/>
          </w:tcPr>
          <w:p w14:paraId="02BD3A51"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3072ED2C"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44019038"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0B06A005"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183593F8"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5A7A54C1"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24AC7" w14:textId="77777777" w:rsidR="00F34BD4" w:rsidRPr="00D94B5E" w:rsidRDefault="00F34BD4">
            <w:pPr>
              <w:spacing w:after="0"/>
              <w:jc w:val="center"/>
              <w:rPr>
                <w:color w:val="000000"/>
                <w:szCs w:val="20"/>
                <w:lang w:eastAsia="pl-PL"/>
              </w:rPr>
            </w:pPr>
            <w:r w:rsidRPr="00D94B5E">
              <w:rPr>
                <w:rFonts w:cs="Calibri"/>
                <w:color w:val="000000"/>
                <w:szCs w:val="20"/>
              </w:rPr>
              <w:t>699</w:t>
            </w:r>
          </w:p>
        </w:tc>
        <w:tc>
          <w:tcPr>
            <w:tcW w:w="1410" w:type="dxa"/>
            <w:vMerge w:val="restart"/>
            <w:tcBorders>
              <w:top w:val="nil"/>
              <w:left w:val="single" w:sz="4" w:space="0" w:color="auto"/>
              <w:right w:val="single" w:sz="4" w:space="0" w:color="auto"/>
            </w:tcBorders>
            <w:shd w:val="clear" w:color="auto" w:fill="auto"/>
            <w:vAlign w:val="center"/>
            <w:hideMark/>
          </w:tcPr>
          <w:p w14:paraId="32CB85E4" w14:textId="77777777" w:rsidR="00F34BD4" w:rsidRPr="00D94B5E" w:rsidRDefault="00F34BD4">
            <w:pPr>
              <w:spacing w:after="0"/>
              <w:jc w:val="center"/>
              <w:rPr>
                <w:color w:val="000000"/>
                <w:szCs w:val="20"/>
                <w:lang w:eastAsia="pl-PL"/>
              </w:rPr>
            </w:pPr>
            <w:r w:rsidRPr="00D94B5E">
              <w:rPr>
                <w:color w:val="000000"/>
                <w:szCs w:val="20"/>
                <w:lang w:eastAsia="pl-PL"/>
              </w:rPr>
              <w:t>Całkowite skumulowane oszczędności końcowego zużycia energii (do 2030)</w:t>
            </w:r>
          </w:p>
        </w:tc>
      </w:tr>
      <w:tr w:rsidR="00F34BD4" w:rsidRPr="004D43AB" w14:paraId="0F68EA69" w14:textId="77777777">
        <w:trPr>
          <w:trHeight w:val="283"/>
        </w:trPr>
        <w:tc>
          <w:tcPr>
            <w:tcW w:w="1394" w:type="dxa"/>
            <w:vMerge/>
            <w:tcBorders>
              <w:left w:val="single" w:sz="4" w:space="0" w:color="auto"/>
              <w:right w:val="single" w:sz="4" w:space="0" w:color="auto"/>
            </w:tcBorders>
            <w:shd w:val="clear" w:color="auto" w:fill="auto"/>
            <w:vAlign w:val="center"/>
            <w:hideMark/>
          </w:tcPr>
          <w:p w14:paraId="52B2BF98" w14:textId="77777777" w:rsidR="00F34BD4" w:rsidRPr="00D94B5E" w:rsidRDefault="00F34BD4">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2E6D1BF6"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2AD67BDE"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015AC2C7"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11EEF894"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17C306A8"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2FE3258C"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38244B22"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63631C52"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6C426A86" w14:textId="77777777" w:rsidR="00F34BD4" w:rsidRPr="00D94B5E" w:rsidRDefault="00F34BD4">
            <w:pPr>
              <w:spacing w:after="0"/>
              <w:jc w:val="center"/>
              <w:rPr>
                <w:color w:val="000000"/>
                <w:szCs w:val="20"/>
                <w:lang w:eastAsia="pl-PL"/>
              </w:rPr>
            </w:pPr>
            <w:r w:rsidRPr="00D94B5E">
              <w:rPr>
                <w:rFonts w:cs="Calibri"/>
                <w:color w:val="000000"/>
                <w:szCs w:val="20"/>
              </w:rPr>
              <w:t>675</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D96BB" w14:textId="77777777" w:rsidR="00F34BD4" w:rsidRPr="00D94B5E" w:rsidRDefault="00F34BD4">
            <w:pPr>
              <w:spacing w:after="0"/>
              <w:jc w:val="center"/>
              <w:rPr>
                <w:color w:val="000000"/>
                <w:szCs w:val="20"/>
                <w:lang w:eastAsia="pl-PL"/>
              </w:rPr>
            </w:pPr>
            <w:r w:rsidRPr="00D94B5E">
              <w:rPr>
                <w:rFonts w:cs="Calibri"/>
                <w:color w:val="000000"/>
                <w:szCs w:val="20"/>
              </w:rPr>
              <w:t>675</w:t>
            </w:r>
          </w:p>
        </w:tc>
        <w:tc>
          <w:tcPr>
            <w:tcW w:w="1410" w:type="dxa"/>
            <w:vMerge/>
            <w:tcBorders>
              <w:left w:val="single" w:sz="4" w:space="0" w:color="auto"/>
              <w:right w:val="single" w:sz="4" w:space="0" w:color="auto"/>
            </w:tcBorders>
            <w:shd w:val="clear" w:color="auto" w:fill="auto"/>
            <w:vAlign w:val="center"/>
            <w:hideMark/>
          </w:tcPr>
          <w:p w14:paraId="7D8C6E1B" w14:textId="77777777" w:rsidR="00F34BD4" w:rsidRPr="00D94B5E" w:rsidRDefault="00F34BD4">
            <w:pPr>
              <w:spacing w:after="0"/>
              <w:jc w:val="center"/>
              <w:rPr>
                <w:color w:val="000000"/>
                <w:szCs w:val="20"/>
                <w:lang w:eastAsia="pl-PL"/>
              </w:rPr>
            </w:pPr>
          </w:p>
        </w:tc>
      </w:tr>
      <w:tr w:rsidR="00F34BD4" w:rsidRPr="004D43AB" w14:paraId="60E06198" w14:textId="77777777">
        <w:trPr>
          <w:trHeight w:val="283"/>
        </w:trPr>
        <w:tc>
          <w:tcPr>
            <w:tcW w:w="1394" w:type="dxa"/>
            <w:vMerge/>
            <w:tcBorders>
              <w:left w:val="single" w:sz="4" w:space="0" w:color="auto"/>
              <w:right w:val="single" w:sz="4" w:space="0" w:color="auto"/>
            </w:tcBorders>
            <w:shd w:val="clear" w:color="auto" w:fill="auto"/>
            <w:vAlign w:val="center"/>
            <w:hideMark/>
          </w:tcPr>
          <w:p w14:paraId="46F58780" w14:textId="77777777" w:rsidR="00F34BD4" w:rsidRPr="00D94B5E" w:rsidRDefault="00F34BD4">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545C0CAB"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6A5EEDC9"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56D526EA"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4A42B241"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7BBD39E2"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25627DE0"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4E83CE12"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31855E42" w14:textId="77777777" w:rsidR="00F34BD4" w:rsidRPr="00D94B5E" w:rsidRDefault="00F34BD4">
            <w:pPr>
              <w:spacing w:after="0"/>
              <w:jc w:val="center"/>
              <w:rPr>
                <w:color w:val="000000"/>
                <w:szCs w:val="20"/>
                <w:lang w:eastAsia="pl-PL"/>
              </w:rPr>
            </w:pPr>
            <w:r w:rsidRPr="00D94B5E">
              <w:rPr>
                <w:rFonts w:cs="Calibri"/>
                <w:color w:val="000000"/>
                <w:szCs w:val="20"/>
              </w:rPr>
              <w:t>650</w:t>
            </w:r>
          </w:p>
        </w:tc>
        <w:tc>
          <w:tcPr>
            <w:tcW w:w="623" w:type="dxa"/>
            <w:tcBorders>
              <w:top w:val="single" w:sz="4" w:space="0" w:color="auto"/>
              <w:left w:val="single" w:sz="4" w:space="0" w:color="auto"/>
              <w:bottom w:val="single" w:sz="4" w:space="0" w:color="auto"/>
              <w:right w:val="single" w:sz="4" w:space="0" w:color="auto"/>
            </w:tcBorders>
            <w:vAlign w:val="center"/>
          </w:tcPr>
          <w:p w14:paraId="647DDC05" w14:textId="77777777" w:rsidR="00F34BD4" w:rsidRPr="00D94B5E" w:rsidRDefault="00F34BD4">
            <w:pPr>
              <w:spacing w:after="0"/>
              <w:jc w:val="center"/>
              <w:rPr>
                <w:color w:val="000000"/>
                <w:szCs w:val="20"/>
                <w:lang w:eastAsia="pl-PL"/>
              </w:rPr>
            </w:pPr>
            <w:r w:rsidRPr="00D94B5E">
              <w:rPr>
                <w:rFonts w:cs="Calibri"/>
                <w:color w:val="000000"/>
                <w:szCs w:val="20"/>
              </w:rPr>
              <w:t>650</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EA80C" w14:textId="77777777" w:rsidR="00F34BD4" w:rsidRPr="00D94B5E" w:rsidRDefault="00F34BD4">
            <w:pPr>
              <w:spacing w:after="0"/>
              <w:jc w:val="center"/>
              <w:rPr>
                <w:color w:val="000000"/>
                <w:szCs w:val="20"/>
                <w:lang w:eastAsia="pl-PL"/>
              </w:rPr>
            </w:pPr>
            <w:r w:rsidRPr="00D94B5E">
              <w:rPr>
                <w:rFonts w:cs="Calibri"/>
                <w:color w:val="000000"/>
                <w:szCs w:val="20"/>
              </w:rPr>
              <w:t>650</w:t>
            </w:r>
          </w:p>
        </w:tc>
        <w:tc>
          <w:tcPr>
            <w:tcW w:w="1410" w:type="dxa"/>
            <w:vMerge/>
            <w:tcBorders>
              <w:left w:val="single" w:sz="4" w:space="0" w:color="auto"/>
              <w:right w:val="single" w:sz="4" w:space="0" w:color="auto"/>
            </w:tcBorders>
            <w:shd w:val="clear" w:color="auto" w:fill="auto"/>
            <w:vAlign w:val="center"/>
            <w:hideMark/>
          </w:tcPr>
          <w:p w14:paraId="6F31B457" w14:textId="77777777" w:rsidR="00F34BD4" w:rsidRPr="00D94B5E" w:rsidRDefault="00F34BD4">
            <w:pPr>
              <w:spacing w:after="0"/>
              <w:jc w:val="center"/>
              <w:rPr>
                <w:color w:val="000000"/>
                <w:szCs w:val="20"/>
                <w:lang w:eastAsia="pl-PL"/>
              </w:rPr>
            </w:pPr>
          </w:p>
        </w:tc>
      </w:tr>
      <w:tr w:rsidR="00F34BD4" w:rsidRPr="004D43AB" w14:paraId="1BAAA3FF" w14:textId="77777777">
        <w:trPr>
          <w:trHeight w:val="283"/>
        </w:trPr>
        <w:tc>
          <w:tcPr>
            <w:tcW w:w="1394" w:type="dxa"/>
            <w:vMerge/>
            <w:tcBorders>
              <w:left w:val="single" w:sz="4" w:space="0" w:color="auto"/>
              <w:right w:val="single" w:sz="4" w:space="0" w:color="auto"/>
            </w:tcBorders>
            <w:vAlign w:val="center"/>
            <w:hideMark/>
          </w:tcPr>
          <w:p w14:paraId="1B0CE4F4" w14:textId="77777777" w:rsidR="00F34BD4" w:rsidRPr="00D94B5E" w:rsidRDefault="00F34BD4">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58B82B39"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2C5F0798"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54B31C8C"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765B07E3"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1D4A9849"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51C0F612"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23" w:type="dxa"/>
            <w:tcBorders>
              <w:top w:val="single" w:sz="4" w:space="0" w:color="auto"/>
              <w:left w:val="single" w:sz="4" w:space="0" w:color="auto"/>
              <w:bottom w:val="single" w:sz="4" w:space="0" w:color="auto"/>
              <w:right w:val="single" w:sz="4" w:space="0" w:color="auto"/>
            </w:tcBorders>
            <w:vAlign w:val="center"/>
          </w:tcPr>
          <w:p w14:paraId="72ACEA4D" w14:textId="77777777" w:rsidR="00F34BD4" w:rsidRPr="00D94B5E" w:rsidRDefault="00F34BD4">
            <w:pPr>
              <w:spacing w:after="0"/>
              <w:jc w:val="center"/>
              <w:rPr>
                <w:color w:val="000000"/>
                <w:szCs w:val="20"/>
                <w:lang w:eastAsia="pl-PL"/>
              </w:rPr>
            </w:pPr>
            <w:r w:rsidRPr="00D94B5E">
              <w:rPr>
                <w:rFonts w:cs="Calibri"/>
                <w:color w:val="000000"/>
                <w:szCs w:val="20"/>
              </w:rPr>
              <w:t>625</w:t>
            </w:r>
          </w:p>
        </w:tc>
        <w:tc>
          <w:tcPr>
            <w:tcW w:w="623" w:type="dxa"/>
            <w:tcBorders>
              <w:top w:val="single" w:sz="4" w:space="0" w:color="auto"/>
              <w:left w:val="single" w:sz="4" w:space="0" w:color="auto"/>
              <w:bottom w:val="single" w:sz="4" w:space="0" w:color="auto"/>
              <w:right w:val="single" w:sz="4" w:space="0" w:color="auto"/>
            </w:tcBorders>
            <w:vAlign w:val="center"/>
          </w:tcPr>
          <w:p w14:paraId="6EA57D09" w14:textId="77777777" w:rsidR="00F34BD4" w:rsidRPr="00D94B5E" w:rsidRDefault="00F34BD4">
            <w:pPr>
              <w:spacing w:after="0"/>
              <w:jc w:val="center"/>
              <w:rPr>
                <w:color w:val="000000"/>
                <w:szCs w:val="20"/>
                <w:lang w:eastAsia="pl-PL"/>
              </w:rPr>
            </w:pPr>
            <w:r w:rsidRPr="00D94B5E">
              <w:rPr>
                <w:rFonts w:cs="Calibri"/>
                <w:color w:val="000000"/>
                <w:szCs w:val="20"/>
              </w:rPr>
              <w:t>625</w:t>
            </w:r>
          </w:p>
        </w:tc>
        <w:tc>
          <w:tcPr>
            <w:tcW w:w="623" w:type="dxa"/>
            <w:tcBorders>
              <w:top w:val="single" w:sz="4" w:space="0" w:color="auto"/>
              <w:left w:val="single" w:sz="4" w:space="0" w:color="auto"/>
              <w:bottom w:val="single" w:sz="4" w:space="0" w:color="auto"/>
              <w:right w:val="single" w:sz="4" w:space="0" w:color="auto"/>
            </w:tcBorders>
            <w:vAlign w:val="center"/>
          </w:tcPr>
          <w:p w14:paraId="5DBAC637" w14:textId="77777777" w:rsidR="00F34BD4" w:rsidRPr="00D94B5E" w:rsidRDefault="00F34BD4">
            <w:pPr>
              <w:spacing w:after="0"/>
              <w:jc w:val="center"/>
              <w:rPr>
                <w:color w:val="000000"/>
                <w:szCs w:val="20"/>
                <w:lang w:eastAsia="pl-PL"/>
              </w:rPr>
            </w:pPr>
            <w:r w:rsidRPr="00D94B5E">
              <w:rPr>
                <w:rFonts w:cs="Calibri"/>
                <w:color w:val="000000"/>
                <w:szCs w:val="20"/>
              </w:rPr>
              <w:t>625</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3273C" w14:textId="77777777" w:rsidR="00F34BD4" w:rsidRPr="00D94B5E" w:rsidRDefault="00F34BD4">
            <w:pPr>
              <w:spacing w:after="0"/>
              <w:jc w:val="center"/>
              <w:rPr>
                <w:color w:val="000000"/>
                <w:szCs w:val="20"/>
                <w:lang w:eastAsia="pl-PL"/>
              </w:rPr>
            </w:pPr>
            <w:r w:rsidRPr="00D94B5E">
              <w:rPr>
                <w:rFonts w:cs="Calibri"/>
                <w:color w:val="000000"/>
                <w:szCs w:val="20"/>
              </w:rPr>
              <w:t>625</w:t>
            </w:r>
          </w:p>
        </w:tc>
        <w:tc>
          <w:tcPr>
            <w:tcW w:w="1410" w:type="dxa"/>
            <w:vMerge/>
            <w:tcBorders>
              <w:left w:val="single" w:sz="4" w:space="0" w:color="auto"/>
              <w:right w:val="single" w:sz="4" w:space="0" w:color="auto"/>
            </w:tcBorders>
            <w:shd w:val="clear" w:color="auto" w:fill="auto"/>
            <w:vAlign w:val="center"/>
            <w:hideMark/>
          </w:tcPr>
          <w:p w14:paraId="4E152148" w14:textId="77777777" w:rsidR="00F34BD4" w:rsidRPr="00D94B5E" w:rsidRDefault="00F34BD4">
            <w:pPr>
              <w:spacing w:after="0"/>
              <w:jc w:val="center"/>
              <w:rPr>
                <w:color w:val="000000"/>
                <w:szCs w:val="20"/>
                <w:lang w:eastAsia="pl-PL"/>
              </w:rPr>
            </w:pPr>
          </w:p>
        </w:tc>
      </w:tr>
      <w:tr w:rsidR="00F34BD4" w:rsidRPr="004D43AB" w14:paraId="0F1E927F" w14:textId="77777777">
        <w:trPr>
          <w:trHeight w:val="283"/>
        </w:trPr>
        <w:tc>
          <w:tcPr>
            <w:tcW w:w="1394" w:type="dxa"/>
            <w:vMerge/>
            <w:tcBorders>
              <w:left w:val="single" w:sz="4" w:space="0" w:color="auto"/>
              <w:right w:val="single" w:sz="4" w:space="0" w:color="auto"/>
            </w:tcBorders>
            <w:vAlign w:val="center"/>
            <w:hideMark/>
          </w:tcPr>
          <w:p w14:paraId="7C622322" w14:textId="77777777" w:rsidR="00F34BD4" w:rsidRPr="00D94B5E" w:rsidRDefault="00F34BD4">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5BEAC3B7"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586320C4"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6DECDE82"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3321233A"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1951479B"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5E34CF7C" w14:textId="77777777" w:rsidR="00F34BD4" w:rsidRPr="00D94B5E" w:rsidRDefault="00F34BD4">
            <w:pPr>
              <w:spacing w:after="0"/>
              <w:jc w:val="center"/>
              <w:rPr>
                <w:color w:val="000000"/>
                <w:szCs w:val="20"/>
                <w:lang w:eastAsia="pl-PL"/>
              </w:rPr>
            </w:pPr>
            <w:r w:rsidRPr="00D94B5E">
              <w:rPr>
                <w:rFonts w:cs="Calibri"/>
                <w:color w:val="000000"/>
                <w:szCs w:val="20"/>
              </w:rPr>
              <w:t>601</w:t>
            </w:r>
          </w:p>
        </w:tc>
        <w:tc>
          <w:tcPr>
            <w:tcW w:w="623" w:type="dxa"/>
            <w:tcBorders>
              <w:top w:val="single" w:sz="4" w:space="0" w:color="auto"/>
              <w:left w:val="single" w:sz="4" w:space="0" w:color="auto"/>
              <w:bottom w:val="single" w:sz="4" w:space="0" w:color="auto"/>
              <w:right w:val="single" w:sz="4" w:space="0" w:color="auto"/>
            </w:tcBorders>
            <w:vAlign w:val="center"/>
          </w:tcPr>
          <w:p w14:paraId="2B08C182" w14:textId="77777777" w:rsidR="00F34BD4" w:rsidRPr="00D94B5E" w:rsidRDefault="00F34BD4">
            <w:pPr>
              <w:spacing w:after="0"/>
              <w:jc w:val="center"/>
              <w:rPr>
                <w:color w:val="000000"/>
                <w:szCs w:val="20"/>
                <w:lang w:eastAsia="pl-PL"/>
              </w:rPr>
            </w:pPr>
            <w:r w:rsidRPr="00D94B5E">
              <w:rPr>
                <w:rFonts w:cs="Calibri"/>
                <w:color w:val="000000"/>
                <w:szCs w:val="20"/>
              </w:rPr>
              <w:t>601</w:t>
            </w:r>
          </w:p>
        </w:tc>
        <w:tc>
          <w:tcPr>
            <w:tcW w:w="623" w:type="dxa"/>
            <w:tcBorders>
              <w:top w:val="single" w:sz="4" w:space="0" w:color="auto"/>
              <w:left w:val="single" w:sz="4" w:space="0" w:color="auto"/>
              <w:bottom w:val="single" w:sz="4" w:space="0" w:color="auto"/>
              <w:right w:val="single" w:sz="4" w:space="0" w:color="auto"/>
            </w:tcBorders>
            <w:vAlign w:val="center"/>
          </w:tcPr>
          <w:p w14:paraId="09F45C91" w14:textId="77777777" w:rsidR="00F34BD4" w:rsidRPr="00D94B5E" w:rsidRDefault="00F34BD4">
            <w:pPr>
              <w:spacing w:after="0"/>
              <w:jc w:val="center"/>
              <w:rPr>
                <w:color w:val="000000"/>
                <w:szCs w:val="20"/>
                <w:lang w:eastAsia="pl-PL"/>
              </w:rPr>
            </w:pPr>
            <w:r w:rsidRPr="00D94B5E">
              <w:rPr>
                <w:rFonts w:cs="Calibri"/>
                <w:color w:val="000000"/>
                <w:szCs w:val="20"/>
              </w:rPr>
              <w:t>601</w:t>
            </w:r>
          </w:p>
        </w:tc>
        <w:tc>
          <w:tcPr>
            <w:tcW w:w="623" w:type="dxa"/>
            <w:tcBorders>
              <w:top w:val="single" w:sz="4" w:space="0" w:color="auto"/>
              <w:left w:val="single" w:sz="4" w:space="0" w:color="auto"/>
              <w:bottom w:val="single" w:sz="4" w:space="0" w:color="auto"/>
              <w:right w:val="single" w:sz="4" w:space="0" w:color="auto"/>
            </w:tcBorders>
            <w:vAlign w:val="center"/>
          </w:tcPr>
          <w:p w14:paraId="7E8FCCF6" w14:textId="77777777" w:rsidR="00F34BD4" w:rsidRPr="00D94B5E" w:rsidRDefault="00F34BD4">
            <w:pPr>
              <w:spacing w:after="0"/>
              <w:jc w:val="center"/>
              <w:rPr>
                <w:color w:val="000000"/>
                <w:szCs w:val="20"/>
                <w:lang w:eastAsia="pl-PL"/>
              </w:rPr>
            </w:pPr>
            <w:r w:rsidRPr="00D94B5E">
              <w:rPr>
                <w:rFonts w:cs="Calibri"/>
                <w:color w:val="000000"/>
                <w:szCs w:val="20"/>
              </w:rPr>
              <w:t>601</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6F299" w14:textId="77777777" w:rsidR="00F34BD4" w:rsidRPr="00D94B5E" w:rsidRDefault="00F34BD4">
            <w:pPr>
              <w:spacing w:after="0"/>
              <w:jc w:val="center"/>
              <w:rPr>
                <w:color w:val="000000"/>
                <w:szCs w:val="20"/>
                <w:lang w:eastAsia="pl-PL"/>
              </w:rPr>
            </w:pPr>
            <w:r w:rsidRPr="00D94B5E">
              <w:rPr>
                <w:rFonts w:cs="Calibri"/>
                <w:color w:val="000000"/>
                <w:szCs w:val="20"/>
              </w:rPr>
              <w:t>601</w:t>
            </w:r>
          </w:p>
        </w:tc>
        <w:tc>
          <w:tcPr>
            <w:tcW w:w="1410" w:type="dxa"/>
            <w:vMerge/>
            <w:tcBorders>
              <w:left w:val="single" w:sz="4" w:space="0" w:color="auto"/>
              <w:right w:val="single" w:sz="4" w:space="0" w:color="auto"/>
            </w:tcBorders>
            <w:vAlign w:val="center"/>
            <w:hideMark/>
          </w:tcPr>
          <w:p w14:paraId="1E85D3E4" w14:textId="77777777" w:rsidR="00F34BD4" w:rsidRPr="00D94B5E" w:rsidRDefault="00F34BD4">
            <w:pPr>
              <w:spacing w:after="0"/>
              <w:jc w:val="center"/>
              <w:rPr>
                <w:color w:val="000000"/>
                <w:szCs w:val="20"/>
                <w:lang w:eastAsia="pl-PL"/>
              </w:rPr>
            </w:pPr>
          </w:p>
        </w:tc>
      </w:tr>
      <w:tr w:rsidR="00F34BD4" w:rsidRPr="004D43AB" w14:paraId="36ACFE77" w14:textId="77777777">
        <w:trPr>
          <w:trHeight w:val="283"/>
        </w:trPr>
        <w:tc>
          <w:tcPr>
            <w:tcW w:w="1394" w:type="dxa"/>
            <w:vMerge/>
            <w:tcBorders>
              <w:left w:val="single" w:sz="4" w:space="0" w:color="auto"/>
              <w:right w:val="single" w:sz="4" w:space="0" w:color="auto"/>
            </w:tcBorders>
            <w:vAlign w:val="center"/>
            <w:hideMark/>
          </w:tcPr>
          <w:p w14:paraId="22E6BC40" w14:textId="77777777" w:rsidR="00F34BD4" w:rsidRPr="00D94B5E" w:rsidRDefault="00F34BD4">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08D099E0"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45ABE9CF"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6F359651"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75D4A5BF"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55" w:type="dxa"/>
            <w:tcBorders>
              <w:top w:val="nil"/>
              <w:left w:val="nil"/>
              <w:bottom w:val="single" w:sz="4" w:space="0" w:color="auto"/>
              <w:right w:val="single" w:sz="4" w:space="0" w:color="auto"/>
            </w:tcBorders>
            <w:shd w:val="clear" w:color="auto" w:fill="auto"/>
            <w:noWrap/>
            <w:vAlign w:val="center"/>
          </w:tcPr>
          <w:p w14:paraId="79E78832" w14:textId="77777777" w:rsidR="00F34BD4" w:rsidRPr="00D94B5E" w:rsidRDefault="00F34BD4">
            <w:pPr>
              <w:spacing w:after="0"/>
              <w:jc w:val="center"/>
              <w:rPr>
                <w:color w:val="000000"/>
                <w:szCs w:val="20"/>
                <w:lang w:eastAsia="pl-PL"/>
              </w:rPr>
            </w:pPr>
            <w:r w:rsidRPr="00D94B5E">
              <w:rPr>
                <w:rFonts w:cs="Calibri"/>
                <w:color w:val="000000"/>
                <w:szCs w:val="20"/>
              </w:rPr>
              <w:t>576</w:t>
            </w:r>
          </w:p>
        </w:tc>
        <w:tc>
          <w:tcPr>
            <w:tcW w:w="655" w:type="dxa"/>
            <w:tcBorders>
              <w:top w:val="nil"/>
              <w:left w:val="nil"/>
              <w:bottom w:val="single" w:sz="4" w:space="0" w:color="auto"/>
              <w:right w:val="single" w:sz="4" w:space="0" w:color="auto"/>
            </w:tcBorders>
            <w:shd w:val="clear" w:color="auto" w:fill="auto"/>
            <w:noWrap/>
            <w:vAlign w:val="center"/>
          </w:tcPr>
          <w:p w14:paraId="4260D116" w14:textId="77777777" w:rsidR="00F34BD4" w:rsidRPr="00D94B5E" w:rsidRDefault="00F34BD4">
            <w:pPr>
              <w:spacing w:after="0"/>
              <w:jc w:val="center"/>
              <w:rPr>
                <w:color w:val="000000"/>
                <w:szCs w:val="20"/>
                <w:lang w:eastAsia="pl-PL"/>
              </w:rPr>
            </w:pPr>
            <w:r w:rsidRPr="00D94B5E">
              <w:rPr>
                <w:rFonts w:cs="Calibri"/>
                <w:color w:val="000000"/>
                <w:szCs w:val="20"/>
              </w:rPr>
              <w:t>576</w:t>
            </w:r>
          </w:p>
        </w:tc>
        <w:tc>
          <w:tcPr>
            <w:tcW w:w="623" w:type="dxa"/>
            <w:tcBorders>
              <w:top w:val="single" w:sz="4" w:space="0" w:color="auto"/>
              <w:left w:val="single" w:sz="4" w:space="0" w:color="auto"/>
              <w:bottom w:val="single" w:sz="4" w:space="0" w:color="auto"/>
              <w:right w:val="single" w:sz="4" w:space="0" w:color="auto"/>
            </w:tcBorders>
            <w:vAlign w:val="center"/>
          </w:tcPr>
          <w:p w14:paraId="17421AA0" w14:textId="77777777" w:rsidR="00F34BD4" w:rsidRPr="00D94B5E" w:rsidRDefault="00F34BD4">
            <w:pPr>
              <w:spacing w:after="0"/>
              <w:jc w:val="center"/>
              <w:rPr>
                <w:color w:val="000000"/>
                <w:szCs w:val="20"/>
                <w:lang w:eastAsia="pl-PL"/>
              </w:rPr>
            </w:pPr>
            <w:r w:rsidRPr="00D94B5E">
              <w:rPr>
                <w:rFonts w:cs="Calibri"/>
                <w:color w:val="000000"/>
                <w:szCs w:val="20"/>
              </w:rPr>
              <w:t>576</w:t>
            </w:r>
          </w:p>
        </w:tc>
        <w:tc>
          <w:tcPr>
            <w:tcW w:w="623" w:type="dxa"/>
            <w:tcBorders>
              <w:top w:val="single" w:sz="4" w:space="0" w:color="auto"/>
              <w:left w:val="single" w:sz="4" w:space="0" w:color="auto"/>
              <w:bottom w:val="single" w:sz="4" w:space="0" w:color="auto"/>
              <w:right w:val="single" w:sz="4" w:space="0" w:color="auto"/>
            </w:tcBorders>
            <w:vAlign w:val="center"/>
          </w:tcPr>
          <w:p w14:paraId="5E043999" w14:textId="77777777" w:rsidR="00F34BD4" w:rsidRPr="00D94B5E" w:rsidRDefault="00F34BD4">
            <w:pPr>
              <w:spacing w:after="0"/>
              <w:jc w:val="center"/>
              <w:rPr>
                <w:color w:val="000000"/>
                <w:szCs w:val="20"/>
                <w:lang w:eastAsia="pl-PL"/>
              </w:rPr>
            </w:pPr>
            <w:r w:rsidRPr="00D94B5E">
              <w:rPr>
                <w:rFonts w:cs="Calibri"/>
                <w:color w:val="000000"/>
                <w:szCs w:val="20"/>
              </w:rPr>
              <w:t>576</w:t>
            </w:r>
          </w:p>
        </w:tc>
        <w:tc>
          <w:tcPr>
            <w:tcW w:w="623" w:type="dxa"/>
            <w:tcBorders>
              <w:top w:val="single" w:sz="4" w:space="0" w:color="auto"/>
              <w:left w:val="single" w:sz="4" w:space="0" w:color="auto"/>
              <w:bottom w:val="single" w:sz="4" w:space="0" w:color="auto"/>
              <w:right w:val="single" w:sz="4" w:space="0" w:color="auto"/>
            </w:tcBorders>
            <w:vAlign w:val="center"/>
          </w:tcPr>
          <w:p w14:paraId="63229BBD" w14:textId="77777777" w:rsidR="00F34BD4" w:rsidRPr="00D94B5E" w:rsidRDefault="00F34BD4">
            <w:pPr>
              <w:spacing w:after="0"/>
              <w:jc w:val="center"/>
              <w:rPr>
                <w:color w:val="000000"/>
                <w:szCs w:val="20"/>
                <w:lang w:eastAsia="pl-PL"/>
              </w:rPr>
            </w:pPr>
            <w:r w:rsidRPr="00D94B5E">
              <w:rPr>
                <w:rFonts w:cs="Calibri"/>
                <w:color w:val="000000"/>
                <w:szCs w:val="20"/>
              </w:rPr>
              <w:t>576</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D96D9" w14:textId="77777777" w:rsidR="00F34BD4" w:rsidRPr="00D94B5E" w:rsidRDefault="00F34BD4">
            <w:pPr>
              <w:spacing w:after="0"/>
              <w:jc w:val="center"/>
              <w:rPr>
                <w:color w:val="000000"/>
                <w:szCs w:val="20"/>
                <w:lang w:eastAsia="pl-PL"/>
              </w:rPr>
            </w:pPr>
            <w:r w:rsidRPr="00D94B5E">
              <w:rPr>
                <w:rFonts w:cs="Calibri"/>
                <w:color w:val="000000"/>
                <w:szCs w:val="20"/>
              </w:rPr>
              <w:t>576</w:t>
            </w:r>
          </w:p>
        </w:tc>
        <w:tc>
          <w:tcPr>
            <w:tcW w:w="1410" w:type="dxa"/>
            <w:vMerge/>
            <w:tcBorders>
              <w:left w:val="single" w:sz="4" w:space="0" w:color="auto"/>
              <w:right w:val="single" w:sz="4" w:space="0" w:color="auto"/>
            </w:tcBorders>
            <w:shd w:val="clear" w:color="auto" w:fill="auto"/>
            <w:vAlign w:val="center"/>
            <w:hideMark/>
          </w:tcPr>
          <w:p w14:paraId="2150DFF8" w14:textId="77777777" w:rsidR="00F34BD4" w:rsidRPr="00D94B5E" w:rsidRDefault="00F34BD4">
            <w:pPr>
              <w:spacing w:after="0"/>
              <w:jc w:val="center"/>
              <w:rPr>
                <w:color w:val="000000"/>
                <w:szCs w:val="20"/>
                <w:lang w:eastAsia="pl-PL"/>
              </w:rPr>
            </w:pPr>
          </w:p>
        </w:tc>
      </w:tr>
      <w:tr w:rsidR="00F34BD4" w:rsidRPr="004D43AB" w14:paraId="70460D8E" w14:textId="77777777">
        <w:trPr>
          <w:trHeight w:val="283"/>
        </w:trPr>
        <w:tc>
          <w:tcPr>
            <w:tcW w:w="1394" w:type="dxa"/>
            <w:vMerge/>
            <w:tcBorders>
              <w:left w:val="single" w:sz="4" w:space="0" w:color="auto"/>
              <w:right w:val="single" w:sz="4" w:space="0" w:color="auto"/>
            </w:tcBorders>
            <w:vAlign w:val="center"/>
            <w:hideMark/>
          </w:tcPr>
          <w:p w14:paraId="25AAFF1D" w14:textId="77777777" w:rsidR="00F34BD4" w:rsidRPr="00D94B5E" w:rsidRDefault="00F34BD4">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2C09B3E2"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0B46AF5C"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31C21020"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7CF15BD6" w14:textId="77777777" w:rsidR="00F34BD4" w:rsidRPr="00D94B5E" w:rsidRDefault="00F34BD4">
            <w:pPr>
              <w:spacing w:after="0"/>
              <w:jc w:val="center"/>
              <w:rPr>
                <w:color w:val="000000"/>
                <w:szCs w:val="20"/>
                <w:lang w:eastAsia="pl-PL"/>
              </w:rPr>
            </w:pPr>
            <w:r w:rsidRPr="00D94B5E">
              <w:rPr>
                <w:rFonts w:cs="Calibri"/>
                <w:color w:val="000000"/>
                <w:szCs w:val="20"/>
              </w:rPr>
              <w:t>552</w:t>
            </w:r>
          </w:p>
        </w:tc>
        <w:tc>
          <w:tcPr>
            <w:tcW w:w="655" w:type="dxa"/>
            <w:tcBorders>
              <w:top w:val="nil"/>
              <w:left w:val="nil"/>
              <w:bottom w:val="single" w:sz="4" w:space="0" w:color="auto"/>
              <w:right w:val="single" w:sz="4" w:space="0" w:color="auto"/>
            </w:tcBorders>
            <w:shd w:val="clear" w:color="auto" w:fill="auto"/>
            <w:noWrap/>
            <w:vAlign w:val="center"/>
          </w:tcPr>
          <w:p w14:paraId="525D1422" w14:textId="77777777" w:rsidR="00F34BD4" w:rsidRPr="00D94B5E" w:rsidRDefault="00F34BD4">
            <w:pPr>
              <w:spacing w:after="0"/>
              <w:jc w:val="center"/>
              <w:rPr>
                <w:color w:val="000000"/>
                <w:szCs w:val="20"/>
                <w:lang w:eastAsia="pl-PL"/>
              </w:rPr>
            </w:pPr>
            <w:r w:rsidRPr="00D94B5E">
              <w:rPr>
                <w:rFonts w:cs="Calibri"/>
                <w:color w:val="000000"/>
                <w:szCs w:val="20"/>
              </w:rPr>
              <w:t>552</w:t>
            </w:r>
          </w:p>
        </w:tc>
        <w:tc>
          <w:tcPr>
            <w:tcW w:w="655" w:type="dxa"/>
            <w:tcBorders>
              <w:top w:val="nil"/>
              <w:left w:val="nil"/>
              <w:bottom w:val="single" w:sz="4" w:space="0" w:color="auto"/>
              <w:right w:val="single" w:sz="4" w:space="0" w:color="auto"/>
            </w:tcBorders>
            <w:shd w:val="clear" w:color="auto" w:fill="auto"/>
            <w:noWrap/>
            <w:vAlign w:val="center"/>
          </w:tcPr>
          <w:p w14:paraId="57DA2BB3" w14:textId="77777777" w:rsidR="00F34BD4" w:rsidRPr="00D94B5E" w:rsidRDefault="00F34BD4">
            <w:pPr>
              <w:spacing w:after="0"/>
              <w:jc w:val="center"/>
              <w:rPr>
                <w:color w:val="000000"/>
                <w:szCs w:val="20"/>
                <w:lang w:eastAsia="pl-PL"/>
              </w:rPr>
            </w:pPr>
            <w:r w:rsidRPr="00D94B5E">
              <w:rPr>
                <w:rFonts w:cs="Calibri"/>
                <w:color w:val="000000"/>
                <w:szCs w:val="20"/>
              </w:rPr>
              <w:t>552</w:t>
            </w:r>
          </w:p>
        </w:tc>
        <w:tc>
          <w:tcPr>
            <w:tcW w:w="623" w:type="dxa"/>
            <w:tcBorders>
              <w:top w:val="single" w:sz="4" w:space="0" w:color="auto"/>
              <w:left w:val="single" w:sz="4" w:space="0" w:color="auto"/>
              <w:bottom w:val="single" w:sz="4" w:space="0" w:color="auto"/>
              <w:right w:val="single" w:sz="4" w:space="0" w:color="auto"/>
            </w:tcBorders>
            <w:vAlign w:val="center"/>
          </w:tcPr>
          <w:p w14:paraId="67CB5993" w14:textId="77777777" w:rsidR="00F34BD4" w:rsidRPr="00D94B5E" w:rsidRDefault="00F34BD4">
            <w:pPr>
              <w:spacing w:after="0"/>
              <w:jc w:val="center"/>
              <w:rPr>
                <w:color w:val="000000"/>
                <w:szCs w:val="20"/>
                <w:lang w:eastAsia="pl-PL"/>
              </w:rPr>
            </w:pPr>
            <w:r w:rsidRPr="00D94B5E">
              <w:rPr>
                <w:rFonts w:cs="Calibri"/>
                <w:color w:val="000000"/>
                <w:szCs w:val="20"/>
              </w:rPr>
              <w:t>552</w:t>
            </w:r>
          </w:p>
        </w:tc>
        <w:tc>
          <w:tcPr>
            <w:tcW w:w="623" w:type="dxa"/>
            <w:tcBorders>
              <w:top w:val="single" w:sz="4" w:space="0" w:color="auto"/>
              <w:left w:val="single" w:sz="4" w:space="0" w:color="auto"/>
              <w:bottom w:val="single" w:sz="4" w:space="0" w:color="auto"/>
              <w:right w:val="single" w:sz="4" w:space="0" w:color="auto"/>
            </w:tcBorders>
            <w:vAlign w:val="center"/>
          </w:tcPr>
          <w:p w14:paraId="7F385DA6" w14:textId="77777777" w:rsidR="00F34BD4" w:rsidRPr="00D94B5E" w:rsidRDefault="00F34BD4">
            <w:pPr>
              <w:spacing w:after="0"/>
              <w:jc w:val="center"/>
              <w:rPr>
                <w:color w:val="000000"/>
                <w:szCs w:val="20"/>
                <w:lang w:eastAsia="pl-PL"/>
              </w:rPr>
            </w:pPr>
            <w:r w:rsidRPr="00D94B5E">
              <w:rPr>
                <w:rFonts w:cs="Calibri"/>
                <w:color w:val="000000"/>
                <w:szCs w:val="20"/>
              </w:rPr>
              <w:t>552</w:t>
            </w:r>
          </w:p>
        </w:tc>
        <w:tc>
          <w:tcPr>
            <w:tcW w:w="623" w:type="dxa"/>
            <w:tcBorders>
              <w:top w:val="single" w:sz="4" w:space="0" w:color="auto"/>
              <w:left w:val="single" w:sz="4" w:space="0" w:color="auto"/>
              <w:bottom w:val="single" w:sz="4" w:space="0" w:color="auto"/>
              <w:right w:val="single" w:sz="4" w:space="0" w:color="auto"/>
            </w:tcBorders>
            <w:vAlign w:val="center"/>
          </w:tcPr>
          <w:p w14:paraId="306DB62C" w14:textId="77777777" w:rsidR="00F34BD4" w:rsidRPr="00D94B5E" w:rsidRDefault="00F34BD4">
            <w:pPr>
              <w:spacing w:after="0"/>
              <w:jc w:val="center"/>
              <w:rPr>
                <w:color w:val="000000"/>
                <w:szCs w:val="20"/>
                <w:lang w:eastAsia="pl-PL"/>
              </w:rPr>
            </w:pPr>
            <w:r w:rsidRPr="00D94B5E">
              <w:rPr>
                <w:rFonts w:cs="Calibri"/>
                <w:color w:val="000000"/>
                <w:szCs w:val="20"/>
              </w:rPr>
              <w:t>552</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27C0A" w14:textId="77777777" w:rsidR="00F34BD4" w:rsidRPr="00D94B5E" w:rsidRDefault="00F34BD4">
            <w:pPr>
              <w:spacing w:after="0"/>
              <w:jc w:val="center"/>
              <w:rPr>
                <w:color w:val="000000"/>
                <w:szCs w:val="20"/>
                <w:lang w:eastAsia="pl-PL"/>
              </w:rPr>
            </w:pPr>
            <w:r w:rsidRPr="00D94B5E">
              <w:rPr>
                <w:rFonts w:cs="Calibri"/>
                <w:color w:val="000000"/>
                <w:szCs w:val="20"/>
              </w:rPr>
              <w:t>552</w:t>
            </w:r>
          </w:p>
        </w:tc>
        <w:tc>
          <w:tcPr>
            <w:tcW w:w="1410" w:type="dxa"/>
            <w:vMerge/>
            <w:tcBorders>
              <w:left w:val="single" w:sz="4" w:space="0" w:color="auto"/>
              <w:right w:val="single" w:sz="4" w:space="0" w:color="auto"/>
            </w:tcBorders>
            <w:vAlign w:val="center"/>
            <w:hideMark/>
          </w:tcPr>
          <w:p w14:paraId="208D8578" w14:textId="77777777" w:rsidR="00F34BD4" w:rsidRPr="00D94B5E" w:rsidRDefault="00F34BD4">
            <w:pPr>
              <w:spacing w:after="0"/>
              <w:jc w:val="center"/>
              <w:rPr>
                <w:color w:val="000000"/>
                <w:szCs w:val="20"/>
                <w:lang w:eastAsia="pl-PL"/>
              </w:rPr>
            </w:pPr>
          </w:p>
        </w:tc>
      </w:tr>
      <w:tr w:rsidR="00F34BD4" w:rsidRPr="004D43AB" w14:paraId="718F52AD" w14:textId="77777777">
        <w:trPr>
          <w:trHeight w:val="283"/>
        </w:trPr>
        <w:tc>
          <w:tcPr>
            <w:tcW w:w="1394" w:type="dxa"/>
            <w:vMerge/>
            <w:tcBorders>
              <w:left w:val="single" w:sz="4" w:space="0" w:color="auto"/>
              <w:right w:val="single" w:sz="4" w:space="0" w:color="auto"/>
            </w:tcBorders>
            <w:vAlign w:val="center"/>
          </w:tcPr>
          <w:p w14:paraId="4A82ECEF" w14:textId="77777777" w:rsidR="00F34BD4" w:rsidRPr="00D94B5E" w:rsidRDefault="00F34BD4">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1BC8597A"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vAlign w:val="center"/>
          </w:tcPr>
          <w:p w14:paraId="701D7030"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tcPr>
          <w:p w14:paraId="3465DD98" w14:textId="77777777" w:rsidR="00F34BD4" w:rsidRPr="00D94B5E" w:rsidRDefault="00F34BD4">
            <w:pPr>
              <w:spacing w:after="0"/>
              <w:jc w:val="center"/>
              <w:rPr>
                <w:color w:val="000000"/>
                <w:szCs w:val="20"/>
                <w:lang w:eastAsia="pl-PL"/>
              </w:rPr>
            </w:pPr>
            <w:r w:rsidRPr="00D94B5E">
              <w:rPr>
                <w:color w:val="000000"/>
                <w:szCs w:val="20"/>
                <w:lang w:eastAsia="pl-PL"/>
              </w:rPr>
              <w:t>552</w:t>
            </w:r>
          </w:p>
        </w:tc>
        <w:tc>
          <w:tcPr>
            <w:tcW w:w="623" w:type="dxa"/>
            <w:tcBorders>
              <w:top w:val="nil"/>
              <w:left w:val="nil"/>
              <w:bottom w:val="single" w:sz="4" w:space="0" w:color="auto"/>
              <w:right w:val="single" w:sz="4" w:space="0" w:color="auto"/>
            </w:tcBorders>
            <w:shd w:val="clear" w:color="auto" w:fill="auto"/>
            <w:noWrap/>
          </w:tcPr>
          <w:p w14:paraId="42F2E94F" w14:textId="77777777" w:rsidR="00F34BD4" w:rsidRPr="00D94B5E" w:rsidRDefault="00F34BD4">
            <w:pPr>
              <w:spacing w:after="0"/>
              <w:jc w:val="center"/>
              <w:rPr>
                <w:color w:val="000000"/>
                <w:szCs w:val="20"/>
                <w:lang w:eastAsia="pl-PL"/>
              </w:rPr>
            </w:pPr>
            <w:r w:rsidRPr="00D94B5E">
              <w:rPr>
                <w:color w:val="000000"/>
                <w:szCs w:val="20"/>
                <w:lang w:eastAsia="pl-PL"/>
              </w:rPr>
              <w:t>552</w:t>
            </w:r>
          </w:p>
        </w:tc>
        <w:tc>
          <w:tcPr>
            <w:tcW w:w="655" w:type="dxa"/>
            <w:tcBorders>
              <w:top w:val="nil"/>
              <w:left w:val="nil"/>
              <w:bottom w:val="single" w:sz="4" w:space="0" w:color="auto"/>
              <w:right w:val="single" w:sz="4" w:space="0" w:color="auto"/>
            </w:tcBorders>
            <w:shd w:val="clear" w:color="auto" w:fill="auto"/>
            <w:noWrap/>
          </w:tcPr>
          <w:p w14:paraId="7BED5469" w14:textId="77777777" w:rsidR="00F34BD4" w:rsidRPr="00D94B5E" w:rsidRDefault="00F34BD4">
            <w:pPr>
              <w:spacing w:after="0"/>
              <w:jc w:val="center"/>
              <w:rPr>
                <w:color w:val="000000"/>
                <w:szCs w:val="20"/>
                <w:lang w:eastAsia="pl-PL"/>
              </w:rPr>
            </w:pPr>
            <w:r w:rsidRPr="00D94B5E">
              <w:rPr>
                <w:color w:val="000000"/>
                <w:szCs w:val="20"/>
                <w:lang w:eastAsia="pl-PL"/>
              </w:rPr>
              <w:t>552</w:t>
            </w:r>
          </w:p>
        </w:tc>
        <w:tc>
          <w:tcPr>
            <w:tcW w:w="655" w:type="dxa"/>
            <w:tcBorders>
              <w:top w:val="nil"/>
              <w:left w:val="nil"/>
              <w:bottom w:val="single" w:sz="4" w:space="0" w:color="auto"/>
              <w:right w:val="single" w:sz="4" w:space="0" w:color="auto"/>
            </w:tcBorders>
            <w:shd w:val="clear" w:color="auto" w:fill="auto"/>
            <w:noWrap/>
          </w:tcPr>
          <w:p w14:paraId="5ACC42BE" w14:textId="77777777" w:rsidR="00F34BD4" w:rsidRPr="00D94B5E" w:rsidRDefault="00F34BD4">
            <w:pPr>
              <w:spacing w:after="0"/>
              <w:jc w:val="center"/>
              <w:rPr>
                <w:color w:val="000000"/>
                <w:szCs w:val="20"/>
                <w:lang w:eastAsia="pl-PL"/>
              </w:rPr>
            </w:pPr>
            <w:r w:rsidRPr="00D94B5E">
              <w:rPr>
                <w:color w:val="000000"/>
                <w:szCs w:val="20"/>
                <w:lang w:eastAsia="pl-PL"/>
              </w:rPr>
              <w:t>552</w:t>
            </w:r>
          </w:p>
        </w:tc>
        <w:tc>
          <w:tcPr>
            <w:tcW w:w="623" w:type="dxa"/>
            <w:tcBorders>
              <w:top w:val="single" w:sz="4" w:space="0" w:color="auto"/>
              <w:left w:val="single" w:sz="4" w:space="0" w:color="auto"/>
              <w:bottom w:val="single" w:sz="4" w:space="0" w:color="auto"/>
              <w:right w:val="single" w:sz="4" w:space="0" w:color="auto"/>
            </w:tcBorders>
          </w:tcPr>
          <w:p w14:paraId="692963F0" w14:textId="77777777" w:rsidR="00F34BD4" w:rsidRPr="00D94B5E" w:rsidRDefault="00F34BD4">
            <w:pPr>
              <w:spacing w:after="0"/>
              <w:jc w:val="center"/>
              <w:rPr>
                <w:color w:val="000000"/>
                <w:szCs w:val="20"/>
                <w:lang w:eastAsia="pl-PL"/>
              </w:rPr>
            </w:pPr>
            <w:r w:rsidRPr="00D94B5E">
              <w:rPr>
                <w:color w:val="000000"/>
                <w:szCs w:val="20"/>
                <w:lang w:eastAsia="pl-PL"/>
              </w:rPr>
              <w:t>552</w:t>
            </w:r>
          </w:p>
        </w:tc>
        <w:tc>
          <w:tcPr>
            <w:tcW w:w="623" w:type="dxa"/>
            <w:tcBorders>
              <w:top w:val="single" w:sz="4" w:space="0" w:color="auto"/>
              <w:left w:val="single" w:sz="4" w:space="0" w:color="auto"/>
              <w:bottom w:val="single" w:sz="4" w:space="0" w:color="auto"/>
              <w:right w:val="single" w:sz="4" w:space="0" w:color="auto"/>
            </w:tcBorders>
          </w:tcPr>
          <w:p w14:paraId="73EBE41F" w14:textId="77777777" w:rsidR="00F34BD4" w:rsidRPr="00D94B5E" w:rsidRDefault="00F34BD4">
            <w:pPr>
              <w:spacing w:after="0"/>
              <w:jc w:val="center"/>
              <w:rPr>
                <w:color w:val="000000"/>
                <w:szCs w:val="20"/>
                <w:lang w:eastAsia="pl-PL"/>
              </w:rPr>
            </w:pPr>
            <w:r w:rsidRPr="00D94B5E">
              <w:rPr>
                <w:color w:val="000000"/>
                <w:szCs w:val="20"/>
                <w:lang w:eastAsia="pl-PL"/>
              </w:rPr>
              <w:t>552</w:t>
            </w:r>
          </w:p>
        </w:tc>
        <w:tc>
          <w:tcPr>
            <w:tcW w:w="623" w:type="dxa"/>
            <w:tcBorders>
              <w:top w:val="single" w:sz="4" w:space="0" w:color="auto"/>
              <w:left w:val="single" w:sz="4" w:space="0" w:color="auto"/>
              <w:bottom w:val="single" w:sz="4" w:space="0" w:color="auto"/>
              <w:right w:val="single" w:sz="4" w:space="0" w:color="auto"/>
            </w:tcBorders>
          </w:tcPr>
          <w:p w14:paraId="3B9B75B8" w14:textId="77777777" w:rsidR="00F34BD4" w:rsidRPr="00D94B5E" w:rsidRDefault="00F34BD4">
            <w:pPr>
              <w:spacing w:after="0"/>
              <w:jc w:val="center"/>
              <w:rPr>
                <w:color w:val="000000"/>
                <w:szCs w:val="20"/>
                <w:lang w:eastAsia="pl-PL"/>
              </w:rPr>
            </w:pPr>
            <w:r w:rsidRPr="00D94B5E">
              <w:rPr>
                <w:color w:val="000000"/>
                <w:szCs w:val="20"/>
                <w:lang w:eastAsia="pl-PL"/>
              </w:rPr>
              <w:t>552</w:t>
            </w:r>
          </w:p>
        </w:tc>
        <w:tc>
          <w:tcPr>
            <w:tcW w:w="655" w:type="dxa"/>
            <w:tcBorders>
              <w:top w:val="single" w:sz="4" w:space="0" w:color="auto"/>
              <w:left w:val="single" w:sz="4" w:space="0" w:color="auto"/>
              <w:bottom w:val="single" w:sz="4" w:space="0" w:color="auto"/>
              <w:right w:val="single" w:sz="4" w:space="0" w:color="auto"/>
            </w:tcBorders>
            <w:shd w:val="clear" w:color="auto" w:fill="auto"/>
            <w:noWrap/>
          </w:tcPr>
          <w:p w14:paraId="55FFE271" w14:textId="77777777" w:rsidR="00F34BD4" w:rsidRPr="00D94B5E" w:rsidRDefault="00F34BD4">
            <w:pPr>
              <w:spacing w:after="0"/>
              <w:jc w:val="center"/>
              <w:rPr>
                <w:color w:val="000000"/>
                <w:szCs w:val="20"/>
                <w:lang w:eastAsia="pl-PL"/>
              </w:rPr>
            </w:pPr>
            <w:r w:rsidRPr="00D94B5E">
              <w:rPr>
                <w:color w:val="000000"/>
                <w:szCs w:val="20"/>
                <w:lang w:eastAsia="pl-PL"/>
              </w:rPr>
              <w:t>552</w:t>
            </w:r>
          </w:p>
        </w:tc>
        <w:tc>
          <w:tcPr>
            <w:tcW w:w="1410" w:type="dxa"/>
            <w:vMerge/>
            <w:tcBorders>
              <w:left w:val="single" w:sz="4" w:space="0" w:color="auto"/>
              <w:right w:val="single" w:sz="4" w:space="0" w:color="auto"/>
            </w:tcBorders>
            <w:vAlign w:val="center"/>
          </w:tcPr>
          <w:p w14:paraId="549EF7A5" w14:textId="77777777" w:rsidR="00F34BD4" w:rsidRPr="00D94B5E" w:rsidRDefault="00F34BD4">
            <w:pPr>
              <w:spacing w:after="0"/>
              <w:jc w:val="center"/>
              <w:rPr>
                <w:color w:val="000000"/>
                <w:szCs w:val="20"/>
                <w:lang w:eastAsia="pl-PL"/>
              </w:rPr>
            </w:pPr>
          </w:p>
        </w:tc>
      </w:tr>
      <w:tr w:rsidR="00F34BD4" w:rsidRPr="004D43AB" w14:paraId="56630D31" w14:textId="77777777">
        <w:trPr>
          <w:trHeight w:val="283"/>
        </w:trPr>
        <w:tc>
          <w:tcPr>
            <w:tcW w:w="1394" w:type="dxa"/>
            <w:vMerge/>
            <w:tcBorders>
              <w:left w:val="single" w:sz="4" w:space="0" w:color="auto"/>
              <w:right w:val="single" w:sz="4" w:space="0" w:color="auto"/>
            </w:tcBorders>
            <w:vAlign w:val="center"/>
          </w:tcPr>
          <w:p w14:paraId="2263999B" w14:textId="77777777" w:rsidR="00F34BD4" w:rsidRPr="00D94B5E" w:rsidRDefault="00F34BD4">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6208925E" w14:textId="77777777" w:rsidR="00F34BD4" w:rsidRPr="00D94B5E" w:rsidRDefault="00F34BD4">
            <w:pPr>
              <w:spacing w:after="0"/>
              <w:jc w:val="center"/>
              <w:rPr>
                <w:color w:val="000000"/>
                <w:szCs w:val="20"/>
                <w:lang w:eastAsia="pl-PL"/>
              </w:rPr>
            </w:pPr>
          </w:p>
        </w:tc>
        <w:tc>
          <w:tcPr>
            <w:tcW w:w="623" w:type="dxa"/>
            <w:tcBorders>
              <w:top w:val="nil"/>
              <w:left w:val="nil"/>
              <w:bottom w:val="single" w:sz="4" w:space="0" w:color="auto"/>
              <w:right w:val="single" w:sz="4" w:space="0" w:color="auto"/>
            </w:tcBorders>
            <w:shd w:val="clear" w:color="auto" w:fill="auto"/>
            <w:noWrap/>
          </w:tcPr>
          <w:p w14:paraId="7DE40FCA" w14:textId="77777777" w:rsidR="00F34BD4" w:rsidRPr="00D94B5E" w:rsidRDefault="00F34BD4">
            <w:pPr>
              <w:spacing w:after="0"/>
              <w:jc w:val="center"/>
              <w:rPr>
                <w:color w:val="000000"/>
                <w:szCs w:val="20"/>
                <w:lang w:eastAsia="pl-PL"/>
              </w:rPr>
            </w:pPr>
            <w:r w:rsidRPr="00D94B5E">
              <w:rPr>
                <w:color w:val="000000"/>
                <w:szCs w:val="20"/>
                <w:lang w:eastAsia="pl-PL"/>
              </w:rPr>
              <w:t>503</w:t>
            </w:r>
          </w:p>
        </w:tc>
        <w:tc>
          <w:tcPr>
            <w:tcW w:w="623" w:type="dxa"/>
            <w:tcBorders>
              <w:top w:val="nil"/>
              <w:left w:val="nil"/>
              <w:bottom w:val="single" w:sz="4" w:space="0" w:color="auto"/>
              <w:right w:val="single" w:sz="4" w:space="0" w:color="auto"/>
            </w:tcBorders>
            <w:shd w:val="clear" w:color="auto" w:fill="auto"/>
            <w:noWrap/>
          </w:tcPr>
          <w:p w14:paraId="313EAAF3" w14:textId="77777777" w:rsidR="00F34BD4" w:rsidRPr="00D94B5E" w:rsidRDefault="00F34BD4">
            <w:pPr>
              <w:spacing w:after="0"/>
              <w:jc w:val="center"/>
              <w:rPr>
                <w:color w:val="000000"/>
                <w:szCs w:val="20"/>
                <w:lang w:eastAsia="pl-PL"/>
              </w:rPr>
            </w:pPr>
            <w:r w:rsidRPr="00D94B5E">
              <w:rPr>
                <w:color w:val="000000"/>
                <w:szCs w:val="20"/>
                <w:lang w:eastAsia="pl-PL"/>
              </w:rPr>
              <w:t>503</w:t>
            </w:r>
          </w:p>
        </w:tc>
        <w:tc>
          <w:tcPr>
            <w:tcW w:w="623" w:type="dxa"/>
            <w:tcBorders>
              <w:top w:val="nil"/>
              <w:left w:val="nil"/>
              <w:bottom w:val="single" w:sz="4" w:space="0" w:color="auto"/>
              <w:right w:val="single" w:sz="4" w:space="0" w:color="auto"/>
            </w:tcBorders>
            <w:shd w:val="clear" w:color="auto" w:fill="auto"/>
            <w:noWrap/>
          </w:tcPr>
          <w:p w14:paraId="4C30FBC7" w14:textId="77777777" w:rsidR="00F34BD4" w:rsidRPr="00D94B5E" w:rsidRDefault="00F34BD4">
            <w:pPr>
              <w:spacing w:after="0"/>
              <w:jc w:val="center"/>
              <w:rPr>
                <w:color w:val="000000"/>
                <w:szCs w:val="20"/>
                <w:lang w:eastAsia="pl-PL"/>
              </w:rPr>
            </w:pPr>
            <w:r w:rsidRPr="00D94B5E">
              <w:rPr>
                <w:color w:val="000000"/>
                <w:szCs w:val="20"/>
                <w:lang w:eastAsia="pl-PL"/>
              </w:rPr>
              <w:t>503</w:t>
            </w:r>
          </w:p>
        </w:tc>
        <w:tc>
          <w:tcPr>
            <w:tcW w:w="655" w:type="dxa"/>
            <w:tcBorders>
              <w:top w:val="nil"/>
              <w:left w:val="nil"/>
              <w:bottom w:val="single" w:sz="4" w:space="0" w:color="auto"/>
              <w:right w:val="single" w:sz="4" w:space="0" w:color="auto"/>
            </w:tcBorders>
            <w:shd w:val="clear" w:color="auto" w:fill="auto"/>
            <w:noWrap/>
          </w:tcPr>
          <w:p w14:paraId="0E37D06C" w14:textId="77777777" w:rsidR="00F34BD4" w:rsidRPr="00D94B5E" w:rsidRDefault="00F34BD4">
            <w:pPr>
              <w:spacing w:after="0"/>
              <w:jc w:val="center"/>
              <w:rPr>
                <w:color w:val="000000"/>
                <w:szCs w:val="20"/>
                <w:lang w:eastAsia="pl-PL"/>
              </w:rPr>
            </w:pPr>
            <w:r w:rsidRPr="00D94B5E">
              <w:rPr>
                <w:color w:val="000000"/>
                <w:szCs w:val="20"/>
                <w:lang w:eastAsia="pl-PL"/>
              </w:rPr>
              <w:t>503</w:t>
            </w:r>
          </w:p>
        </w:tc>
        <w:tc>
          <w:tcPr>
            <w:tcW w:w="655" w:type="dxa"/>
            <w:tcBorders>
              <w:top w:val="nil"/>
              <w:left w:val="nil"/>
              <w:bottom w:val="single" w:sz="4" w:space="0" w:color="auto"/>
              <w:right w:val="single" w:sz="4" w:space="0" w:color="auto"/>
            </w:tcBorders>
            <w:shd w:val="clear" w:color="auto" w:fill="auto"/>
            <w:noWrap/>
          </w:tcPr>
          <w:p w14:paraId="0E436B85" w14:textId="77777777" w:rsidR="00F34BD4" w:rsidRPr="00D94B5E" w:rsidRDefault="00F34BD4">
            <w:pPr>
              <w:spacing w:after="0"/>
              <w:jc w:val="center"/>
              <w:rPr>
                <w:color w:val="000000"/>
                <w:szCs w:val="20"/>
                <w:lang w:eastAsia="pl-PL"/>
              </w:rPr>
            </w:pPr>
            <w:r w:rsidRPr="00D94B5E">
              <w:rPr>
                <w:color w:val="000000"/>
                <w:szCs w:val="20"/>
                <w:lang w:eastAsia="pl-PL"/>
              </w:rPr>
              <w:t>503</w:t>
            </w:r>
          </w:p>
        </w:tc>
        <w:tc>
          <w:tcPr>
            <w:tcW w:w="623" w:type="dxa"/>
            <w:tcBorders>
              <w:top w:val="single" w:sz="4" w:space="0" w:color="auto"/>
              <w:left w:val="single" w:sz="4" w:space="0" w:color="auto"/>
              <w:bottom w:val="single" w:sz="4" w:space="0" w:color="auto"/>
              <w:right w:val="single" w:sz="4" w:space="0" w:color="auto"/>
            </w:tcBorders>
          </w:tcPr>
          <w:p w14:paraId="4B808E34" w14:textId="77777777" w:rsidR="00F34BD4" w:rsidRPr="00D94B5E" w:rsidRDefault="00F34BD4">
            <w:pPr>
              <w:spacing w:after="0"/>
              <w:jc w:val="center"/>
              <w:rPr>
                <w:color w:val="000000"/>
                <w:szCs w:val="20"/>
                <w:lang w:eastAsia="pl-PL"/>
              </w:rPr>
            </w:pPr>
            <w:r w:rsidRPr="00D94B5E">
              <w:rPr>
                <w:color w:val="000000"/>
                <w:szCs w:val="20"/>
                <w:lang w:eastAsia="pl-PL"/>
              </w:rPr>
              <w:t>503</w:t>
            </w:r>
          </w:p>
        </w:tc>
        <w:tc>
          <w:tcPr>
            <w:tcW w:w="623" w:type="dxa"/>
            <w:tcBorders>
              <w:top w:val="single" w:sz="4" w:space="0" w:color="auto"/>
              <w:left w:val="single" w:sz="4" w:space="0" w:color="auto"/>
              <w:bottom w:val="single" w:sz="4" w:space="0" w:color="auto"/>
              <w:right w:val="single" w:sz="4" w:space="0" w:color="auto"/>
            </w:tcBorders>
          </w:tcPr>
          <w:p w14:paraId="1DDC4645" w14:textId="77777777" w:rsidR="00F34BD4" w:rsidRPr="00D94B5E" w:rsidRDefault="00F34BD4">
            <w:pPr>
              <w:spacing w:after="0"/>
              <w:jc w:val="center"/>
              <w:rPr>
                <w:color w:val="000000"/>
                <w:szCs w:val="20"/>
                <w:lang w:eastAsia="pl-PL"/>
              </w:rPr>
            </w:pPr>
            <w:r w:rsidRPr="00D94B5E">
              <w:rPr>
                <w:color w:val="000000"/>
                <w:szCs w:val="20"/>
                <w:lang w:eastAsia="pl-PL"/>
              </w:rPr>
              <w:t>503</w:t>
            </w:r>
          </w:p>
        </w:tc>
        <w:tc>
          <w:tcPr>
            <w:tcW w:w="623" w:type="dxa"/>
            <w:tcBorders>
              <w:top w:val="single" w:sz="4" w:space="0" w:color="auto"/>
              <w:left w:val="single" w:sz="4" w:space="0" w:color="auto"/>
              <w:bottom w:val="single" w:sz="4" w:space="0" w:color="auto"/>
              <w:right w:val="single" w:sz="4" w:space="0" w:color="auto"/>
            </w:tcBorders>
          </w:tcPr>
          <w:p w14:paraId="268095B1" w14:textId="77777777" w:rsidR="00F34BD4" w:rsidRPr="00D94B5E" w:rsidRDefault="00F34BD4">
            <w:pPr>
              <w:spacing w:after="0"/>
              <w:jc w:val="center"/>
              <w:rPr>
                <w:color w:val="000000"/>
                <w:szCs w:val="20"/>
                <w:lang w:eastAsia="pl-PL"/>
              </w:rPr>
            </w:pPr>
            <w:r w:rsidRPr="00D94B5E">
              <w:rPr>
                <w:color w:val="000000"/>
                <w:szCs w:val="20"/>
                <w:lang w:eastAsia="pl-PL"/>
              </w:rPr>
              <w:t>503</w:t>
            </w:r>
          </w:p>
        </w:tc>
        <w:tc>
          <w:tcPr>
            <w:tcW w:w="655" w:type="dxa"/>
            <w:tcBorders>
              <w:top w:val="single" w:sz="4" w:space="0" w:color="auto"/>
              <w:left w:val="single" w:sz="4" w:space="0" w:color="auto"/>
              <w:bottom w:val="single" w:sz="4" w:space="0" w:color="auto"/>
              <w:right w:val="single" w:sz="4" w:space="0" w:color="auto"/>
            </w:tcBorders>
            <w:shd w:val="clear" w:color="auto" w:fill="auto"/>
            <w:noWrap/>
          </w:tcPr>
          <w:p w14:paraId="2DFB6BDD" w14:textId="77777777" w:rsidR="00F34BD4" w:rsidRPr="00D94B5E" w:rsidRDefault="00F34BD4">
            <w:pPr>
              <w:spacing w:after="0"/>
              <w:jc w:val="center"/>
              <w:rPr>
                <w:color w:val="000000"/>
                <w:szCs w:val="20"/>
                <w:lang w:eastAsia="pl-PL"/>
              </w:rPr>
            </w:pPr>
            <w:r w:rsidRPr="00D94B5E">
              <w:rPr>
                <w:color w:val="000000"/>
                <w:szCs w:val="20"/>
                <w:lang w:eastAsia="pl-PL"/>
              </w:rPr>
              <w:t>503</w:t>
            </w:r>
          </w:p>
        </w:tc>
        <w:tc>
          <w:tcPr>
            <w:tcW w:w="1410" w:type="dxa"/>
            <w:vMerge/>
            <w:tcBorders>
              <w:left w:val="single" w:sz="4" w:space="0" w:color="auto"/>
              <w:right w:val="single" w:sz="4" w:space="0" w:color="auto"/>
            </w:tcBorders>
            <w:vAlign w:val="center"/>
          </w:tcPr>
          <w:p w14:paraId="2165B87B" w14:textId="77777777" w:rsidR="00F34BD4" w:rsidRPr="00D94B5E" w:rsidRDefault="00F34BD4">
            <w:pPr>
              <w:spacing w:after="0"/>
              <w:jc w:val="center"/>
              <w:rPr>
                <w:color w:val="000000"/>
                <w:szCs w:val="20"/>
                <w:lang w:eastAsia="pl-PL"/>
              </w:rPr>
            </w:pPr>
          </w:p>
        </w:tc>
      </w:tr>
      <w:tr w:rsidR="00F34BD4" w:rsidRPr="004D43AB" w14:paraId="07FF042A" w14:textId="77777777">
        <w:trPr>
          <w:trHeight w:val="283"/>
        </w:trPr>
        <w:tc>
          <w:tcPr>
            <w:tcW w:w="1394" w:type="dxa"/>
            <w:vMerge/>
            <w:tcBorders>
              <w:left w:val="single" w:sz="4" w:space="0" w:color="auto"/>
              <w:bottom w:val="single" w:sz="4" w:space="0" w:color="auto"/>
              <w:right w:val="single" w:sz="4" w:space="0" w:color="auto"/>
            </w:tcBorders>
            <w:vAlign w:val="center"/>
          </w:tcPr>
          <w:p w14:paraId="30FDE7B8" w14:textId="77777777" w:rsidR="00F34BD4" w:rsidRPr="00D94B5E" w:rsidRDefault="00F34BD4">
            <w:pPr>
              <w:spacing w:after="0"/>
              <w:jc w:val="center"/>
              <w:rPr>
                <w:color w:val="000000"/>
                <w:szCs w:val="20"/>
                <w:lang w:eastAsia="pl-PL"/>
              </w:rPr>
            </w:pPr>
          </w:p>
        </w:tc>
        <w:tc>
          <w:tcPr>
            <w:tcW w:w="669" w:type="dxa"/>
            <w:tcBorders>
              <w:top w:val="nil"/>
              <w:left w:val="nil"/>
              <w:bottom w:val="single" w:sz="4" w:space="0" w:color="auto"/>
              <w:right w:val="single" w:sz="4" w:space="0" w:color="auto"/>
            </w:tcBorders>
            <w:shd w:val="clear" w:color="auto" w:fill="auto"/>
            <w:noWrap/>
            <w:vAlign w:val="center"/>
          </w:tcPr>
          <w:p w14:paraId="17AF4C4C" w14:textId="77777777" w:rsidR="00F34BD4" w:rsidRPr="00D94B5E" w:rsidRDefault="00F34BD4">
            <w:pPr>
              <w:spacing w:after="0"/>
              <w:jc w:val="center"/>
              <w:rPr>
                <w:color w:val="000000"/>
                <w:szCs w:val="20"/>
                <w:lang w:eastAsia="pl-PL"/>
              </w:rPr>
            </w:pPr>
            <w:r w:rsidRPr="00D94B5E">
              <w:rPr>
                <w:color w:val="000000"/>
                <w:szCs w:val="20"/>
                <w:lang w:eastAsia="pl-PL"/>
              </w:rPr>
              <w:t>143</w:t>
            </w:r>
          </w:p>
        </w:tc>
        <w:tc>
          <w:tcPr>
            <w:tcW w:w="623" w:type="dxa"/>
            <w:tcBorders>
              <w:top w:val="nil"/>
              <w:left w:val="nil"/>
              <w:bottom w:val="single" w:sz="4" w:space="0" w:color="auto"/>
              <w:right w:val="single" w:sz="4" w:space="0" w:color="auto"/>
            </w:tcBorders>
            <w:shd w:val="clear" w:color="auto" w:fill="auto"/>
            <w:noWrap/>
          </w:tcPr>
          <w:p w14:paraId="3B0EB9E7" w14:textId="77777777" w:rsidR="00F34BD4" w:rsidRPr="00D94B5E" w:rsidRDefault="00F34BD4">
            <w:pPr>
              <w:spacing w:after="0"/>
              <w:jc w:val="center"/>
              <w:rPr>
                <w:color w:val="000000"/>
                <w:szCs w:val="20"/>
                <w:lang w:eastAsia="pl-PL"/>
              </w:rPr>
            </w:pPr>
            <w:r w:rsidRPr="00D94B5E">
              <w:rPr>
                <w:color w:val="000000"/>
                <w:szCs w:val="20"/>
                <w:lang w:eastAsia="pl-PL"/>
              </w:rPr>
              <w:t>143</w:t>
            </w:r>
          </w:p>
        </w:tc>
        <w:tc>
          <w:tcPr>
            <w:tcW w:w="623" w:type="dxa"/>
            <w:tcBorders>
              <w:top w:val="nil"/>
              <w:left w:val="nil"/>
              <w:bottom w:val="single" w:sz="4" w:space="0" w:color="auto"/>
              <w:right w:val="single" w:sz="4" w:space="0" w:color="auto"/>
            </w:tcBorders>
            <w:shd w:val="clear" w:color="auto" w:fill="auto"/>
            <w:noWrap/>
          </w:tcPr>
          <w:p w14:paraId="3EFEB8E5" w14:textId="77777777" w:rsidR="00F34BD4" w:rsidRPr="00D94B5E" w:rsidRDefault="00F34BD4">
            <w:pPr>
              <w:spacing w:after="0"/>
              <w:jc w:val="center"/>
              <w:rPr>
                <w:color w:val="000000"/>
                <w:szCs w:val="20"/>
                <w:lang w:eastAsia="pl-PL"/>
              </w:rPr>
            </w:pPr>
            <w:r w:rsidRPr="00D94B5E">
              <w:rPr>
                <w:color w:val="000000"/>
                <w:szCs w:val="20"/>
                <w:lang w:eastAsia="pl-PL"/>
              </w:rPr>
              <w:t>143</w:t>
            </w:r>
          </w:p>
        </w:tc>
        <w:tc>
          <w:tcPr>
            <w:tcW w:w="623" w:type="dxa"/>
            <w:tcBorders>
              <w:top w:val="nil"/>
              <w:left w:val="nil"/>
              <w:bottom w:val="single" w:sz="4" w:space="0" w:color="auto"/>
              <w:right w:val="single" w:sz="4" w:space="0" w:color="auto"/>
            </w:tcBorders>
            <w:shd w:val="clear" w:color="auto" w:fill="auto"/>
            <w:noWrap/>
          </w:tcPr>
          <w:p w14:paraId="4D080B32" w14:textId="77777777" w:rsidR="00F34BD4" w:rsidRPr="00D94B5E" w:rsidRDefault="00F34BD4">
            <w:pPr>
              <w:spacing w:after="0"/>
              <w:jc w:val="center"/>
              <w:rPr>
                <w:color w:val="000000"/>
                <w:szCs w:val="20"/>
                <w:lang w:eastAsia="pl-PL"/>
              </w:rPr>
            </w:pPr>
            <w:r w:rsidRPr="00D94B5E">
              <w:rPr>
                <w:color w:val="000000"/>
                <w:szCs w:val="20"/>
                <w:lang w:eastAsia="pl-PL"/>
              </w:rPr>
              <w:t>143</w:t>
            </w:r>
          </w:p>
        </w:tc>
        <w:tc>
          <w:tcPr>
            <w:tcW w:w="655" w:type="dxa"/>
            <w:tcBorders>
              <w:top w:val="nil"/>
              <w:left w:val="nil"/>
              <w:bottom w:val="single" w:sz="4" w:space="0" w:color="auto"/>
              <w:right w:val="single" w:sz="4" w:space="0" w:color="auto"/>
            </w:tcBorders>
            <w:shd w:val="clear" w:color="auto" w:fill="auto"/>
            <w:noWrap/>
          </w:tcPr>
          <w:p w14:paraId="48A26D7B" w14:textId="77777777" w:rsidR="00F34BD4" w:rsidRPr="00D94B5E" w:rsidRDefault="00F34BD4">
            <w:pPr>
              <w:spacing w:after="0"/>
              <w:jc w:val="center"/>
              <w:rPr>
                <w:color w:val="000000"/>
                <w:szCs w:val="20"/>
                <w:lang w:eastAsia="pl-PL"/>
              </w:rPr>
            </w:pPr>
            <w:r w:rsidRPr="00D94B5E">
              <w:rPr>
                <w:color w:val="000000"/>
                <w:szCs w:val="20"/>
                <w:lang w:eastAsia="pl-PL"/>
              </w:rPr>
              <w:t>143</w:t>
            </w:r>
          </w:p>
        </w:tc>
        <w:tc>
          <w:tcPr>
            <w:tcW w:w="655" w:type="dxa"/>
            <w:tcBorders>
              <w:top w:val="nil"/>
              <w:left w:val="nil"/>
              <w:bottom w:val="single" w:sz="4" w:space="0" w:color="auto"/>
              <w:right w:val="single" w:sz="4" w:space="0" w:color="auto"/>
            </w:tcBorders>
            <w:shd w:val="clear" w:color="auto" w:fill="auto"/>
            <w:noWrap/>
          </w:tcPr>
          <w:p w14:paraId="1A4EEC3D" w14:textId="77777777" w:rsidR="00F34BD4" w:rsidRPr="00D94B5E" w:rsidRDefault="00F34BD4">
            <w:pPr>
              <w:spacing w:after="0"/>
              <w:jc w:val="center"/>
              <w:rPr>
                <w:color w:val="000000"/>
                <w:szCs w:val="20"/>
                <w:lang w:eastAsia="pl-PL"/>
              </w:rPr>
            </w:pPr>
            <w:r w:rsidRPr="00D94B5E">
              <w:rPr>
                <w:color w:val="000000"/>
                <w:szCs w:val="20"/>
                <w:lang w:eastAsia="pl-PL"/>
              </w:rPr>
              <w:t>143</w:t>
            </w:r>
          </w:p>
        </w:tc>
        <w:tc>
          <w:tcPr>
            <w:tcW w:w="623" w:type="dxa"/>
            <w:tcBorders>
              <w:top w:val="single" w:sz="4" w:space="0" w:color="auto"/>
              <w:left w:val="single" w:sz="4" w:space="0" w:color="auto"/>
              <w:bottom w:val="single" w:sz="4" w:space="0" w:color="auto"/>
              <w:right w:val="single" w:sz="4" w:space="0" w:color="auto"/>
            </w:tcBorders>
          </w:tcPr>
          <w:p w14:paraId="60C9B0DB" w14:textId="77777777" w:rsidR="00F34BD4" w:rsidRPr="00D94B5E" w:rsidRDefault="00F34BD4">
            <w:pPr>
              <w:spacing w:after="0"/>
              <w:jc w:val="center"/>
              <w:rPr>
                <w:color w:val="000000"/>
                <w:szCs w:val="20"/>
                <w:lang w:eastAsia="pl-PL"/>
              </w:rPr>
            </w:pPr>
            <w:r w:rsidRPr="00D94B5E">
              <w:rPr>
                <w:color w:val="000000"/>
                <w:szCs w:val="20"/>
                <w:lang w:eastAsia="pl-PL"/>
              </w:rPr>
              <w:t>143</w:t>
            </w:r>
          </w:p>
        </w:tc>
        <w:tc>
          <w:tcPr>
            <w:tcW w:w="623" w:type="dxa"/>
            <w:tcBorders>
              <w:top w:val="single" w:sz="4" w:space="0" w:color="auto"/>
              <w:left w:val="single" w:sz="4" w:space="0" w:color="auto"/>
              <w:bottom w:val="single" w:sz="4" w:space="0" w:color="auto"/>
              <w:right w:val="single" w:sz="4" w:space="0" w:color="auto"/>
            </w:tcBorders>
          </w:tcPr>
          <w:p w14:paraId="3492B373" w14:textId="77777777" w:rsidR="00F34BD4" w:rsidRPr="00D94B5E" w:rsidRDefault="00F34BD4">
            <w:pPr>
              <w:spacing w:after="0"/>
              <w:jc w:val="center"/>
              <w:rPr>
                <w:color w:val="000000"/>
                <w:szCs w:val="20"/>
                <w:lang w:eastAsia="pl-PL"/>
              </w:rPr>
            </w:pPr>
            <w:r w:rsidRPr="00D94B5E">
              <w:rPr>
                <w:color w:val="000000"/>
                <w:szCs w:val="20"/>
                <w:lang w:eastAsia="pl-PL"/>
              </w:rPr>
              <w:t>143</w:t>
            </w:r>
          </w:p>
        </w:tc>
        <w:tc>
          <w:tcPr>
            <w:tcW w:w="623" w:type="dxa"/>
            <w:tcBorders>
              <w:top w:val="single" w:sz="4" w:space="0" w:color="auto"/>
              <w:left w:val="single" w:sz="4" w:space="0" w:color="auto"/>
              <w:bottom w:val="single" w:sz="4" w:space="0" w:color="auto"/>
              <w:right w:val="single" w:sz="4" w:space="0" w:color="auto"/>
            </w:tcBorders>
          </w:tcPr>
          <w:p w14:paraId="7AFB2036" w14:textId="77777777" w:rsidR="00F34BD4" w:rsidRPr="00D94B5E" w:rsidRDefault="00F34BD4">
            <w:pPr>
              <w:spacing w:after="0"/>
              <w:jc w:val="center"/>
              <w:rPr>
                <w:color w:val="000000"/>
                <w:szCs w:val="20"/>
                <w:lang w:eastAsia="pl-PL"/>
              </w:rPr>
            </w:pPr>
            <w:r w:rsidRPr="00D94B5E">
              <w:rPr>
                <w:color w:val="000000"/>
                <w:szCs w:val="20"/>
                <w:lang w:eastAsia="pl-PL"/>
              </w:rPr>
              <w:t>143</w:t>
            </w:r>
          </w:p>
        </w:tc>
        <w:tc>
          <w:tcPr>
            <w:tcW w:w="655" w:type="dxa"/>
            <w:tcBorders>
              <w:top w:val="single" w:sz="4" w:space="0" w:color="auto"/>
              <w:left w:val="single" w:sz="4" w:space="0" w:color="auto"/>
              <w:bottom w:val="single" w:sz="4" w:space="0" w:color="auto"/>
              <w:right w:val="single" w:sz="4" w:space="0" w:color="auto"/>
            </w:tcBorders>
            <w:shd w:val="clear" w:color="auto" w:fill="auto"/>
            <w:noWrap/>
          </w:tcPr>
          <w:p w14:paraId="0F0FA4DE" w14:textId="77777777" w:rsidR="00F34BD4" w:rsidRPr="00D94B5E" w:rsidRDefault="00F34BD4">
            <w:pPr>
              <w:spacing w:after="0"/>
              <w:jc w:val="center"/>
              <w:rPr>
                <w:color w:val="000000"/>
                <w:szCs w:val="20"/>
                <w:lang w:eastAsia="pl-PL"/>
              </w:rPr>
            </w:pPr>
            <w:r w:rsidRPr="00D94B5E">
              <w:rPr>
                <w:color w:val="000000"/>
                <w:szCs w:val="20"/>
                <w:lang w:eastAsia="pl-PL"/>
              </w:rPr>
              <w:t>143</w:t>
            </w:r>
          </w:p>
        </w:tc>
        <w:tc>
          <w:tcPr>
            <w:tcW w:w="1410" w:type="dxa"/>
            <w:vMerge/>
            <w:tcBorders>
              <w:left w:val="single" w:sz="4" w:space="0" w:color="auto"/>
              <w:bottom w:val="single" w:sz="4" w:space="0" w:color="auto"/>
              <w:right w:val="single" w:sz="4" w:space="0" w:color="auto"/>
            </w:tcBorders>
            <w:vAlign w:val="center"/>
          </w:tcPr>
          <w:p w14:paraId="663485D4" w14:textId="77777777" w:rsidR="00F34BD4" w:rsidRPr="00D94B5E" w:rsidRDefault="00F34BD4">
            <w:pPr>
              <w:spacing w:after="0"/>
              <w:jc w:val="center"/>
              <w:rPr>
                <w:color w:val="000000"/>
                <w:szCs w:val="20"/>
                <w:lang w:eastAsia="pl-PL"/>
              </w:rPr>
            </w:pPr>
          </w:p>
        </w:tc>
      </w:tr>
      <w:tr w:rsidR="00F34BD4" w:rsidRPr="004D43AB" w14:paraId="60F0ED77" w14:textId="77777777">
        <w:trPr>
          <w:trHeight w:val="283"/>
        </w:trPr>
        <w:tc>
          <w:tcPr>
            <w:tcW w:w="1394" w:type="dxa"/>
            <w:tcBorders>
              <w:top w:val="nil"/>
              <w:left w:val="single" w:sz="4" w:space="0" w:color="auto"/>
              <w:bottom w:val="single" w:sz="4" w:space="0" w:color="auto"/>
              <w:right w:val="single" w:sz="4" w:space="0" w:color="auto"/>
            </w:tcBorders>
            <w:shd w:val="clear" w:color="auto" w:fill="auto"/>
            <w:noWrap/>
            <w:vAlign w:val="center"/>
            <w:hideMark/>
          </w:tcPr>
          <w:p w14:paraId="5D4F732F" w14:textId="77777777" w:rsidR="00F34BD4" w:rsidRPr="00D94B5E" w:rsidRDefault="00F34BD4">
            <w:pPr>
              <w:spacing w:after="0"/>
              <w:jc w:val="center"/>
              <w:rPr>
                <w:color w:val="000000"/>
                <w:szCs w:val="20"/>
                <w:lang w:eastAsia="pl-PL"/>
              </w:rPr>
            </w:pPr>
            <w:r w:rsidRPr="00D94B5E">
              <w:rPr>
                <w:color w:val="000000"/>
                <w:szCs w:val="20"/>
                <w:lang w:eastAsia="pl-PL"/>
              </w:rPr>
              <w:t>Razem (ktoe)</w:t>
            </w:r>
          </w:p>
        </w:tc>
        <w:tc>
          <w:tcPr>
            <w:tcW w:w="669" w:type="dxa"/>
            <w:tcBorders>
              <w:top w:val="nil"/>
              <w:left w:val="nil"/>
              <w:bottom w:val="single" w:sz="4" w:space="0" w:color="auto"/>
              <w:right w:val="single" w:sz="4" w:space="0" w:color="auto"/>
            </w:tcBorders>
            <w:shd w:val="clear" w:color="auto" w:fill="auto"/>
            <w:noWrap/>
            <w:vAlign w:val="center"/>
          </w:tcPr>
          <w:p w14:paraId="4C02A731" w14:textId="77777777" w:rsidR="00F34BD4" w:rsidRPr="00D94B5E" w:rsidRDefault="00F34BD4">
            <w:pPr>
              <w:spacing w:after="0"/>
              <w:jc w:val="center"/>
              <w:rPr>
                <w:b/>
                <w:bCs/>
                <w:color w:val="000000"/>
                <w:szCs w:val="20"/>
                <w:lang w:eastAsia="pl-PL"/>
              </w:rPr>
            </w:pPr>
            <w:r w:rsidRPr="00D94B5E">
              <w:rPr>
                <w:rFonts w:cs="Calibri"/>
                <w:b/>
                <w:bCs/>
                <w:color w:val="000000"/>
                <w:szCs w:val="20"/>
              </w:rPr>
              <w:t>143</w:t>
            </w:r>
          </w:p>
        </w:tc>
        <w:tc>
          <w:tcPr>
            <w:tcW w:w="623" w:type="dxa"/>
            <w:tcBorders>
              <w:top w:val="nil"/>
              <w:left w:val="nil"/>
              <w:bottom w:val="single" w:sz="4" w:space="0" w:color="auto"/>
              <w:right w:val="single" w:sz="4" w:space="0" w:color="auto"/>
            </w:tcBorders>
            <w:shd w:val="clear" w:color="auto" w:fill="auto"/>
            <w:noWrap/>
            <w:vAlign w:val="center"/>
          </w:tcPr>
          <w:p w14:paraId="1CD4E9D4" w14:textId="77777777" w:rsidR="00F34BD4" w:rsidRPr="00D94B5E" w:rsidRDefault="00F34BD4">
            <w:pPr>
              <w:spacing w:after="0"/>
              <w:jc w:val="center"/>
              <w:rPr>
                <w:b/>
                <w:bCs/>
                <w:color w:val="000000"/>
                <w:szCs w:val="20"/>
                <w:lang w:eastAsia="pl-PL"/>
              </w:rPr>
            </w:pPr>
            <w:r w:rsidRPr="00D94B5E">
              <w:rPr>
                <w:rFonts w:cs="Calibri"/>
                <w:b/>
                <w:bCs/>
                <w:color w:val="000000"/>
                <w:szCs w:val="20"/>
              </w:rPr>
              <w:t>646</w:t>
            </w:r>
          </w:p>
        </w:tc>
        <w:tc>
          <w:tcPr>
            <w:tcW w:w="623" w:type="dxa"/>
            <w:tcBorders>
              <w:top w:val="nil"/>
              <w:left w:val="nil"/>
              <w:bottom w:val="single" w:sz="4" w:space="0" w:color="auto"/>
              <w:right w:val="single" w:sz="4" w:space="0" w:color="auto"/>
            </w:tcBorders>
            <w:shd w:val="clear" w:color="auto" w:fill="auto"/>
            <w:noWrap/>
            <w:vAlign w:val="center"/>
          </w:tcPr>
          <w:p w14:paraId="2F1B3A7D" w14:textId="77777777" w:rsidR="00F34BD4" w:rsidRPr="00D94B5E" w:rsidRDefault="00F34BD4">
            <w:pPr>
              <w:spacing w:after="0"/>
              <w:jc w:val="center"/>
              <w:rPr>
                <w:b/>
                <w:bCs/>
                <w:color w:val="000000"/>
                <w:szCs w:val="20"/>
                <w:lang w:eastAsia="pl-PL"/>
              </w:rPr>
            </w:pPr>
            <w:r w:rsidRPr="00D94B5E">
              <w:rPr>
                <w:rFonts w:cs="Calibri"/>
                <w:b/>
                <w:bCs/>
                <w:color w:val="000000"/>
                <w:szCs w:val="20"/>
              </w:rPr>
              <w:t>1198</w:t>
            </w:r>
          </w:p>
        </w:tc>
        <w:tc>
          <w:tcPr>
            <w:tcW w:w="623" w:type="dxa"/>
            <w:tcBorders>
              <w:top w:val="nil"/>
              <w:left w:val="nil"/>
              <w:bottom w:val="single" w:sz="4" w:space="0" w:color="auto"/>
              <w:right w:val="single" w:sz="4" w:space="0" w:color="auto"/>
            </w:tcBorders>
            <w:shd w:val="clear" w:color="auto" w:fill="auto"/>
            <w:noWrap/>
            <w:vAlign w:val="center"/>
          </w:tcPr>
          <w:p w14:paraId="429FAA65" w14:textId="77777777" w:rsidR="00F34BD4" w:rsidRPr="00D94B5E" w:rsidRDefault="00F34BD4">
            <w:pPr>
              <w:spacing w:after="0"/>
              <w:jc w:val="center"/>
              <w:rPr>
                <w:b/>
                <w:bCs/>
                <w:color w:val="000000"/>
                <w:szCs w:val="20"/>
                <w:lang w:eastAsia="pl-PL"/>
              </w:rPr>
            </w:pPr>
            <w:r w:rsidRPr="00D94B5E">
              <w:rPr>
                <w:rFonts w:cs="Calibri"/>
                <w:b/>
                <w:bCs/>
                <w:color w:val="000000"/>
                <w:szCs w:val="20"/>
              </w:rPr>
              <w:t>1750</w:t>
            </w:r>
          </w:p>
        </w:tc>
        <w:tc>
          <w:tcPr>
            <w:tcW w:w="655" w:type="dxa"/>
            <w:tcBorders>
              <w:top w:val="nil"/>
              <w:left w:val="nil"/>
              <w:bottom w:val="single" w:sz="4" w:space="0" w:color="auto"/>
              <w:right w:val="single" w:sz="4" w:space="0" w:color="auto"/>
            </w:tcBorders>
            <w:shd w:val="clear" w:color="auto" w:fill="auto"/>
            <w:noWrap/>
            <w:vAlign w:val="center"/>
          </w:tcPr>
          <w:p w14:paraId="0258CE7F" w14:textId="77777777" w:rsidR="00F34BD4" w:rsidRPr="00D94B5E" w:rsidRDefault="00F34BD4">
            <w:pPr>
              <w:spacing w:after="0"/>
              <w:jc w:val="center"/>
              <w:rPr>
                <w:b/>
                <w:bCs/>
                <w:color w:val="000000"/>
                <w:szCs w:val="20"/>
                <w:lang w:eastAsia="pl-PL"/>
              </w:rPr>
            </w:pPr>
            <w:r w:rsidRPr="00D94B5E">
              <w:rPr>
                <w:rFonts w:cs="Calibri"/>
                <w:b/>
                <w:bCs/>
                <w:color w:val="000000"/>
                <w:szCs w:val="20"/>
              </w:rPr>
              <w:t>2326</w:t>
            </w:r>
          </w:p>
        </w:tc>
        <w:tc>
          <w:tcPr>
            <w:tcW w:w="655" w:type="dxa"/>
            <w:tcBorders>
              <w:top w:val="nil"/>
              <w:left w:val="nil"/>
              <w:bottom w:val="single" w:sz="4" w:space="0" w:color="auto"/>
              <w:right w:val="single" w:sz="4" w:space="0" w:color="auto"/>
            </w:tcBorders>
            <w:shd w:val="clear" w:color="auto" w:fill="auto"/>
            <w:noWrap/>
            <w:vAlign w:val="center"/>
          </w:tcPr>
          <w:p w14:paraId="23F67D89" w14:textId="77777777" w:rsidR="00F34BD4" w:rsidRPr="00D94B5E" w:rsidRDefault="00F34BD4">
            <w:pPr>
              <w:spacing w:after="0"/>
              <w:jc w:val="center"/>
              <w:rPr>
                <w:b/>
                <w:bCs/>
                <w:color w:val="000000"/>
                <w:szCs w:val="20"/>
                <w:lang w:eastAsia="pl-PL"/>
              </w:rPr>
            </w:pPr>
            <w:r w:rsidRPr="00D94B5E">
              <w:rPr>
                <w:rFonts w:cs="Calibri"/>
                <w:b/>
                <w:bCs/>
                <w:color w:val="000000"/>
                <w:szCs w:val="20"/>
              </w:rPr>
              <w:t>2927</w:t>
            </w:r>
          </w:p>
        </w:tc>
        <w:tc>
          <w:tcPr>
            <w:tcW w:w="623" w:type="dxa"/>
            <w:tcBorders>
              <w:top w:val="single" w:sz="4" w:space="0" w:color="auto"/>
              <w:left w:val="single" w:sz="4" w:space="0" w:color="auto"/>
              <w:bottom w:val="single" w:sz="4" w:space="0" w:color="auto"/>
              <w:right w:val="single" w:sz="4" w:space="0" w:color="auto"/>
            </w:tcBorders>
            <w:vAlign w:val="center"/>
          </w:tcPr>
          <w:p w14:paraId="423AA85E" w14:textId="77777777" w:rsidR="00F34BD4" w:rsidRPr="00D94B5E" w:rsidRDefault="00F34BD4">
            <w:pPr>
              <w:spacing w:after="0"/>
              <w:jc w:val="center"/>
              <w:rPr>
                <w:b/>
                <w:bCs/>
                <w:color w:val="000000"/>
                <w:szCs w:val="20"/>
                <w:lang w:eastAsia="pl-PL"/>
              </w:rPr>
            </w:pPr>
            <w:r w:rsidRPr="00D94B5E">
              <w:rPr>
                <w:rFonts w:cs="Calibri"/>
                <w:b/>
                <w:bCs/>
                <w:color w:val="000000"/>
                <w:szCs w:val="20"/>
              </w:rPr>
              <w:t>3552</w:t>
            </w:r>
          </w:p>
        </w:tc>
        <w:tc>
          <w:tcPr>
            <w:tcW w:w="623" w:type="dxa"/>
            <w:tcBorders>
              <w:top w:val="single" w:sz="4" w:space="0" w:color="auto"/>
              <w:left w:val="single" w:sz="4" w:space="0" w:color="auto"/>
              <w:bottom w:val="single" w:sz="4" w:space="0" w:color="auto"/>
              <w:right w:val="single" w:sz="4" w:space="0" w:color="auto"/>
            </w:tcBorders>
            <w:vAlign w:val="center"/>
          </w:tcPr>
          <w:p w14:paraId="5F5A0672" w14:textId="77777777" w:rsidR="00F34BD4" w:rsidRPr="00D94B5E" w:rsidRDefault="00F34BD4">
            <w:pPr>
              <w:spacing w:after="0"/>
              <w:jc w:val="center"/>
              <w:rPr>
                <w:b/>
                <w:bCs/>
                <w:color w:val="000000"/>
                <w:szCs w:val="20"/>
                <w:lang w:eastAsia="pl-PL"/>
              </w:rPr>
            </w:pPr>
            <w:r w:rsidRPr="00D94B5E">
              <w:rPr>
                <w:rFonts w:cs="Calibri"/>
                <w:b/>
                <w:bCs/>
                <w:color w:val="000000"/>
                <w:szCs w:val="20"/>
              </w:rPr>
              <w:t>4202</w:t>
            </w:r>
          </w:p>
        </w:tc>
        <w:tc>
          <w:tcPr>
            <w:tcW w:w="623" w:type="dxa"/>
            <w:tcBorders>
              <w:top w:val="single" w:sz="4" w:space="0" w:color="auto"/>
              <w:left w:val="single" w:sz="4" w:space="0" w:color="auto"/>
              <w:bottom w:val="single" w:sz="4" w:space="0" w:color="auto"/>
              <w:right w:val="single" w:sz="4" w:space="0" w:color="auto"/>
            </w:tcBorders>
            <w:vAlign w:val="center"/>
          </w:tcPr>
          <w:p w14:paraId="1BB63DA0" w14:textId="77777777" w:rsidR="00F34BD4" w:rsidRPr="00D94B5E" w:rsidRDefault="00F34BD4">
            <w:pPr>
              <w:spacing w:after="0"/>
              <w:jc w:val="center"/>
              <w:rPr>
                <w:b/>
                <w:bCs/>
                <w:color w:val="000000"/>
                <w:szCs w:val="20"/>
                <w:lang w:eastAsia="pl-PL"/>
              </w:rPr>
            </w:pPr>
            <w:r w:rsidRPr="00D94B5E">
              <w:rPr>
                <w:rFonts w:cs="Calibri"/>
                <w:b/>
                <w:bCs/>
                <w:color w:val="000000"/>
                <w:szCs w:val="20"/>
              </w:rPr>
              <w:t>4877</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6E06B" w14:textId="77777777" w:rsidR="00F34BD4" w:rsidRPr="00D94B5E" w:rsidRDefault="00F34BD4">
            <w:pPr>
              <w:spacing w:after="0"/>
              <w:jc w:val="center"/>
              <w:rPr>
                <w:b/>
                <w:bCs/>
                <w:color w:val="000000"/>
                <w:szCs w:val="20"/>
                <w:lang w:eastAsia="pl-PL"/>
              </w:rPr>
            </w:pPr>
            <w:r w:rsidRPr="00D94B5E">
              <w:rPr>
                <w:rFonts w:cs="Calibri"/>
                <w:b/>
                <w:bCs/>
                <w:color w:val="000000"/>
                <w:szCs w:val="20"/>
              </w:rPr>
              <w:t>5576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ABC32AD" w14:textId="77777777" w:rsidR="00F34BD4" w:rsidRPr="00D94B5E" w:rsidRDefault="00F34BD4">
            <w:pPr>
              <w:spacing w:after="0"/>
              <w:jc w:val="center"/>
              <w:rPr>
                <w:b/>
                <w:bCs/>
                <w:color w:val="000000"/>
                <w:szCs w:val="20"/>
                <w:lang w:eastAsia="pl-PL"/>
              </w:rPr>
            </w:pPr>
            <w:r w:rsidRPr="00341BF1">
              <w:rPr>
                <w:rFonts w:cs="Calibri"/>
                <w:b/>
                <w:color w:val="4472C4" w:themeColor="accent1"/>
                <w:szCs w:val="20"/>
              </w:rPr>
              <w:t>27 197</w:t>
            </w:r>
          </w:p>
        </w:tc>
      </w:tr>
    </w:tbl>
    <w:p w14:paraId="15D2C72C" w14:textId="77777777" w:rsidR="00F34BD4" w:rsidRDefault="00F34BD4" w:rsidP="00F34BD4">
      <w:pPr>
        <w:spacing w:after="0" w:line="360" w:lineRule="auto"/>
        <w:ind w:firstLine="709"/>
      </w:pPr>
    </w:p>
    <w:p w14:paraId="522FADC3" w14:textId="4AE73503" w:rsidR="00F34BD4" w:rsidRDefault="00F34BD4" w:rsidP="00373FD3">
      <w:r w:rsidRPr="00075176">
        <w:t xml:space="preserve">Szacuje się, że do 31 grudnia 2030 </w:t>
      </w:r>
      <w:r w:rsidR="0011179A">
        <w:t>r.</w:t>
      </w:r>
      <w:r w:rsidRPr="00075176">
        <w:t xml:space="preserve"> strony zobowiązane przedstawią </w:t>
      </w:r>
      <w:r>
        <w:t xml:space="preserve">całkowite </w:t>
      </w:r>
      <w:r w:rsidRPr="00075176">
        <w:t xml:space="preserve">skumulowane oszczędności energii w wysokości </w:t>
      </w:r>
      <w:r>
        <w:t>27 198</w:t>
      </w:r>
      <w:r w:rsidRPr="00312085">
        <w:t xml:space="preserve"> ktoe</w:t>
      </w:r>
      <w:r>
        <w:t>. Zakładaną wysokość oszczędności końcowego zużycia energii od 2022 r. w ramach obowiązku, podmioty zobowiązane mogą realizować również poprzez program bezzwrotnych dofinansowań – zatem zakłada się, że wysokość nałożonego obowiązku zostanie osiągnięta</w:t>
      </w:r>
      <w:r w:rsidDel="008F0A18">
        <w:t>.</w:t>
      </w:r>
      <w:r>
        <w:t xml:space="preserve"> W związku z powyższym nie planuje się zwiększania poziomu obowiązku dla podmiotów zobowiązanych w ramach systemu świadectw efektywności energetycznej. Niemniej jednak planowane są zmiany ww. systemu tak aby był on przystępniejszy dla podmiotów zobowiązanych, co w rezultacie przyczyni się do osiągnięcia zamierzonego celu.</w:t>
      </w:r>
    </w:p>
    <w:p w14:paraId="06DB7186" w14:textId="2E8B3091" w:rsidR="00F34BD4" w:rsidRPr="00D10181" w:rsidRDefault="00EB53CB" w:rsidP="00F01951">
      <w:pPr>
        <w:pStyle w:val="Nagwek4"/>
        <w:numPr>
          <w:ilvl w:val="0"/>
          <w:numId w:val="0"/>
        </w:numPr>
        <w:ind w:left="851" w:hanging="567"/>
      </w:pPr>
      <w:r>
        <w:t>h)</w:t>
      </w:r>
      <w:r w:rsidR="00F01951">
        <w:tab/>
      </w:r>
      <w:r w:rsidR="00F34BD4" w:rsidRPr="00D10181">
        <w:t>Informacja o sposobie postępowania z ewentualnym dublowaniem się środków</w:t>
      </w:r>
      <w:r w:rsidR="00F01951">
        <w:t xml:space="preserve"> </w:t>
      </w:r>
      <w:r w:rsidR="00F34BD4" w:rsidRPr="00D10181">
        <w:t>i</w:t>
      </w:r>
      <w:r w:rsidR="00F01951">
        <w:t> </w:t>
      </w:r>
      <w:r w:rsidR="00F34BD4" w:rsidRPr="00D10181">
        <w:t>indywidualnych działań w celu unikania podwójnego zaliczania oszczędności energii</w:t>
      </w:r>
    </w:p>
    <w:p w14:paraId="2B9ECAF7" w14:textId="77B13B82" w:rsidR="00F34BD4" w:rsidRPr="00E920E1" w:rsidRDefault="00F34BD4" w:rsidP="00373FD3">
      <w:r w:rsidRPr="00E920E1">
        <w:t xml:space="preserve">Zgodnie z art. 8 ust. 14 dyrektywy </w:t>
      </w:r>
      <w:r w:rsidR="00C204DC">
        <w:t>2023/1791</w:t>
      </w:r>
      <w:r w:rsidRPr="00E920E1">
        <w:t xml:space="preserve"> wymaga się, aby państwa członkowskie wykazywały, że w przypadkach, w których skutki środków z dziedziny polityki lub działań indywidualnych nakładają się na siebie, oszczędność energii nie była liczona podwójnie. </w:t>
      </w:r>
    </w:p>
    <w:p w14:paraId="05DD42CC" w14:textId="593317FC" w:rsidR="00F34BD4" w:rsidRPr="00435887" w:rsidRDefault="00F34BD4" w:rsidP="00373FD3">
      <w:r w:rsidRPr="00E920E1">
        <w:t>W ramach systemu zobowiązującego do efektywności energetycznej świadectwa są wydawane przez Prezesa URE za realizację określonego przedsięwzięcia służącego poprawie efektywności energetycznej. Wszystkie świadectwa są numerowane i rejestrowane. Dane zawarte we wniosku o wydanie świadectwa efektywności energetycznej oraz w powiązanym z tym świadectwem audycie efektywności energetycznej jednoznacznie identyfikują miejsce, sposób i termin przeprowadzenia danego przedsięwzięcia. Wyklucza to możliwość wydania świadectw za to samo przedsięwzięcie dla dwu różnych podmiotów, czyli nie mogą być zgłaszane oszczędności energii wynikające z działania indywidualnego przez więcej niż jedną stronę zobowiązaną, o czym mówi Załącznik V pkt 3 lit. g) dyrektywy 20123/</w:t>
      </w:r>
      <w:r w:rsidR="00C204DC">
        <w:t>1791</w:t>
      </w:r>
      <w:r w:rsidRPr="00E920E1">
        <w:t>.</w:t>
      </w:r>
      <w:r w:rsidR="00767FC5">
        <w:t xml:space="preserve"> </w:t>
      </w:r>
    </w:p>
    <w:p w14:paraId="14583027" w14:textId="77777777" w:rsidR="00F34BD4" w:rsidRDefault="00F34BD4" w:rsidP="00373FD3">
      <w:r w:rsidRPr="00435887">
        <w:t>W tym zakresie skutecznym narzędziem jest prowadzenie krajowej bazy danych, w której rejestrowane są wydane świadectwa efektywności energetycznej wraz z informacją o podmiocie, który otrzymał wsparcie zachęcające do realizacji danego przedsięwzięcia służącego poprawie efektywności energetycznej.</w:t>
      </w:r>
    </w:p>
    <w:p w14:paraId="163C09CF" w14:textId="79D65516" w:rsidR="00F34BD4" w:rsidRPr="00D10181" w:rsidRDefault="00EB53CB" w:rsidP="00F01951">
      <w:pPr>
        <w:pStyle w:val="Nagwek4"/>
        <w:numPr>
          <w:ilvl w:val="0"/>
          <w:numId w:val="0"/>
        </w:numPr>
        <w:ind w:left="851" w:hanging="567"/>
      </w:pPr>
      <w:r>
        <w:t>i)</w:t>
      </w:r>
      <w:r w:rsidR="00F01951">
        <w:tab/>
      </w:r>
      <w:r w:rsidR="00F34BD4" w:rsidRPr="00D10181">
        <w:t>Uwzględnianie różnic klimatycznych między regionami i zastosowane podejście</w:t>
      </w:r>
    </w:p>
    <w:p w14:paraId="1851022C" w14:textId="1EF69A51" w:rsidR="00F34BD4" w:rsidRPr="00870C36" w:rsidRDefault="00F34BD4" w:rsidP="00373FD3">
      <w:r w:rsidRPr="00D87D8E">
        <w:t xml:space="preserve">W pkt 2 lit. o) Załącznika V do dyrektywy </w:t>
      </w:r>
      <w:r w:rsidR="00C204DC">
        <w:t>2023/1791</w:t>
      </w:r>
      <w:r w:rsidRPr="00D87D8E">
        <w:t xml:space="preserve"> zezwala</w:t>
      </w:r>
      <w:r w:rsidRPr="00870C36">
        <w:t xml:space="preserve"> się, by państwa członkowskie dostosowywały oszczędności energii w celu uwzględnienia różnic klimatycznych między regionami. Przepis ten obejmuje dwie opcje: dostosowanie oszczędności energii do wartości standardowej lub </w:t>
      </w:r>
      <w:r w:rsidRPr="00870C36">
        <w:lastRenderedPageBreak/>
        <w:t xml:space="preserve">przypisanie różnych oszczędności energii odpowiednio do różnic temperaturowych występujących między regionami. </w:t>
      </w:r>
    </w:p>
    <w:p w14:paraId="76CD1FC2" w14:textId="77777777" w:rsidR="00F34BD4" w:rsidRPr="00870C36" w:rsidRDefault="00F34BD4" w:rsidP="00373FD3">
      <w:r w:rsidRPr="00870C36">
        <w:t xml:space="preserve">Różnice klimatyczne między regionami są uwzględniane przy obliczaniu oszczędności energii wynikających z realizacji przedsięwzięć w zakresie przebudowy lub remontu budynków, w tym w szczególności przedsięwzięć termomodernizacyjnych. Przykładami przedsięwzięć termomodernizacyjnych są: ocieplenie ścian zewnętrznych, dachu lub stropodachu, modernizacja lub wymiana stolarki okiennej oraz modernizacja instalacji ciepłej wody użytkowej lub ogrzewania budynku. </w:t>
      </w:r>
    </w:p>
    <w:p w14:paraId="36484426" w14:textId="77777777" w:rsidR="00F34BD4" w:rsidRPr="00870C36" w:rsidRDefault="00F34BD4" w:rsidP="00373FD3">
      <w:r w:rsidRPr="00870C36">
        <w:t xml:space="preserve">Zgodnie z przepisami ustawy - Prawo budowlane, w Polsce zostały wprowadzone strefy klimatyczne o odwróconych obliczeniowych temperaturach zewnętrznych, wykorzystywanych do wyznaczenia bilansu ciepła, niezbędnego do ogrzewania pomieszczeń kubaturowych. W przypadku przedsięwzięć w zakresie przebudowy lub remontu budynku przy obliczaniu uzyskanych oszczędności energii stosowane mogą być współczynniki ostrości klimatu. Współczynniki te określa się dla poszczególnych województw na podstawie danych ze stacji pomiarowych. Przykładowo dla województwa o łagodniejszym klimacie na zachodzie kraju współczynnik ten wynosi 0,975, a dla województwa o ostrzejszym klimacie na wschodzie kraju wynosi on 1,124. Zatem różnice temperaturowe występujące między regionami są uwzględniane poprzez przypisanie różnych oszczędności energii odpowiednio do tych różnic. </w:t>
      </w:r>
    </w:p>
    <w:p w14:paraId="0D6B2439" w14:textId="76FBD2A9" w:rsidR="00F34BD4" w:rsidRPr="00D10181" w:rsidRDefault="00EB53CB" w:rsidP="00F01951">
      <w:pPr>
        <w:pStyle w:val="Nagwek4"/>
        <w:numPr>
          <w:ilvl w:val="0"/>
          <w:numId w:val="0"/>
        </w:numPr>
        <w:ind w:left="851" w:hanging="567"/>
      </w:pPr>
      <w:r>
        <w:t>j)</w:t>
      </w:r>
      <w:r w:rsidR="00F01951">
        <w:tab/>
      </w:r>
      <w:r w:rsidR="00F34BD4" w:rsidRPr="00D10181">
        <w:t>Monitorowanie i weryfikacja</w:t>
      </w:r>
    </w:p>
    <w:p w14:paraId="62595DF2" w14:textId="77777777" w:rsidR="00F34BD4" w:rsidRPr="00B6782A" w:rsidRDefault="00F34BD4" w:rsidP="00373FD3">
      <w:r w:rsidRPr="00B6782A">
        <w:t>W ramach systemu zobowiązującego do efektywności energetycznej, ustanowionego w Polsce na podstawie ustawy o efektywności energetycznej, podmiot zgłaszający przedsięwzięcie służące poprawie efektywności energetycznej musi przedłożyć Prezesowi URE audyt efektywności energetycznej sporządzony dla tego przedsięwzięcia.</w:t>
      </w:r>
    </w:p>
    <w:p w14:paraId="1975F272" w14:textId="77777777" w:rsidR="00F34BD4" w:rsidRPr="00B6782A" w:rsidRDefault="00F34BD4" w:rsidP="00373FD3">
      <w:r w:rsidRPr="00B6782A">
        <w:t>Zgodnie z obowiązującymi przepisami, Prezes URE dokonuje albo zleca dokonanie innym podmiotom, wyłonionym na zasadach i w trybie określonym w przepisach o zamówieniach publicznych, wyrywkowej weryfikacji audytu efektywności energetycznej oraz zgodności oszczędności energii uzyskanej w wyniku realizacji przedsięwzięcia służącego poprawie efektywności energetycznej z ilością oszczędności energii zadeklarowanej przez podmiot, któremu przyznane świadectwo efektywności energetycznej.</w:t>
      </w:r>
    </w:p>
    <w:p w14:paraId="5CE2B79C" w14:textId="77777777" w:rsidR="00F34BD4" w:rsidRPr="00B6782A" w:rsidRDefault="00F34BD4" w:rsidP="00373FD3">
      <w:r w:rsidRPr="00B6782A">
        <w:t>Wyrywkowej weryfikacji audytu efektywności energetycznej dokonują określone podmioty, które są niezależne od stron zobowiązanych. Weryfikatorami audytów mogą być pracownicy organu nadzorującego system tj. Urzędu Regulacji Energetyki (URE) albo podmioty zewnętrzne wyłonione przez Prezesa URE w procedurze zamówień publicznych.</w:t>
      </w:r>
    </w:p>
    <w:p w14:paraId="00AABE5B" w14:textId="77777777" w:rsidR="00F34BD4" w:rsidRPr="00B6782A" w:rsidRDefault="00F34BD4" w:rsidP="00373FD3">
      <w:r w:rsidRPr="00B6782A">
        <w:t xml:space="preserve">Ponadto zgodnie z obowiązującymi przepisami ustawowymi audyty efektywności energetycznej potwierdzające uzyskaną oszczędność energii oraz oświadczenia podmiotów, którym wydano świadectwa efektywności energetycznej, podlegają procedurze weryfikacji dokonywanej przez Prezesa URE. W przepisach ustawy przewidziano kary pieniężne za nie przedstawienie do umorzenia Prezesowi URE świadectwa efektywności energetycznej o wartości odpowiadającej brakującej oszczędności energii końcowej, jeżeli w wyniku weryfikacji zostało stwierdzone, że uzyskana oszczędność energii była niższa niż określona we wniosku o wydanie świadectwa. </w:t>
      </w:r>
    </w:p>
    <w:p w14:paraId="31556501" w14:textId="4DB9B556" w:rsidR="00F34BD4" w:rsidRPr="00B6782A" w:rsidRDefault="00F34BD4" w:rsidP="00373FD3">
      <w:r w:rsidRPr="00B6782A">
        <w:t>Zgodnie z wytycznymi zawartymi w Zaleceniu Komisji</w:t>
      </w:r>
      <w:r w:rsidR="00723E25">
        <w:t xml:space="preserve"> </w:t>
      </w:r>
      <w:r w:rsidR="006C41F6">
        <w:t xml:space="preserve">Europejskiej </w:t>
      </w:r>
      <w:r w:rsidR="00723E25" w:rsidRPr="00723E25">
        <w:t>2019/1658</w:t>
      </w:r>
      <w:r w:rsidRPr="00B6782A">
        <w:t xml:space="preserve">: wybranie statystycznie istotnej i reprezentatywnej próby środków mających na celu poprawę efektywności energetycznej obejmuje ustanowienie podzbioru populacji statystycznej działań służących oszczędności energii w ramach każdego ze środków, który to podzbiór dokładnie odzwierciedlałby całą populację wszystkich działań służących oszczędności energii, a tym samym umożliwiał wyciągnięcie uzasadnionych wniosków dotyczących zaufania do całości środków. </w:t>
      </w:r>
    </w:p>
    <w:p w14:paraId="341096D4" w14:textId="77777777" w:rsidR="00F34BD4" w:rsidRPr="00B6782A" w:rsidRDefault="00F34BD4" w:rsidP="00373FD3">
      <w:r w:rsidRPr="00B6782A">
        <w:t xml:space="preserve">W przepisach dotyczących funkcjonowania systemu zobowiązującego do efektywności energetycznej stosowane są pojęcia weryfikacji oraz kontroli, choć nie występują one zamiennie, lecz każde z nich dotyczy innego podmiotu oraz odrębnie zostały określone ich zasady. Zgodnie z tymi przepisami Prezes URE dokonuje weryfikacji formalnej wszystkich przedłożonych audytów efektywności energetycznej oraz </w:t>
      </w:r>
      <w:r w:rsidRPr="00B6782A">
        <w:lastRenderedPageBreak/>
        <w:t>weryfikacji wyrywkowej zgodności oszczędności energii końcowej osiągniętej z przedsięwzięcia lub przedsięwzięć tego samego rodzaju, służących poprawie efektywności energetycznej, których realizację zakończono, z ilością energii finalnej określonej we wniosku o wydanie świadectwa efektywności energetycznej. Z kolei inne przepisy ustawowe przewidują możliwości przeprowadzenia kontroli zgodności ze stanem faktycznym oświadczenia, dołączanego do wniosku o wydanie świadectwa efektywności energetycznej.</w:t>
      </w:r>
    </w:p>
    <w:p w14:paraId="7B772295" w14:textId="77777777" w:rsidR="00F34BD4" w:rsidRPr="00B6782A" w:rsidRDefault="00F34BD4" w:rsidP="00373FD3">
      <w:r w:rsidRPr="00B6782A">
        <w:t>Należy podkreślić, że zgodnie z przepisami ustawy wszystkie przedsięwzięcia, w związku z którymi wnioskowano o przyznanie świadectwa za osiągnięcie średniorocznej oszczędności energii końcowej w ilości powyżej 100 toe muszą być zweryfikowane po zrealizowaniu przedsięwzięcia poprzez sporządzenie audytu przez podmiot, który otrzymał to świadectwo. Jest to tzw. audyt powykonawczy potwierdzający uzyskaną oszczędność energii końcowej. Podmiot, który otrzymał świadectwo, załącza oświadczenie potwierdzające zgodność oszczędności energii uzyskanej po zrealizowaniu przedsięwzięcia z wielkością oszczędności energii określoną w świadectwie. Natomiast w przypadku przedsięwzięć, w związku z którymi przyznano świadectwa za osiągnięcie średniorocznej oszczędności energii końcowej w ilości poniżej 100 toe, nie musi być sporządzany audyt powykonawczy, ale przeprowadzana jest dla tych przedsięwzięć przez Prezesa URE weryfikacja wyrywkowa.</w:t>
      </w:r>
    </w:p>
    <w:p w14:paraId="2476B557" w14:textId="77777777" w:rsidR="00F34BD4" w:rsidRPr="00B6782A" w:rsidRDefault="00F34BD4" w:rsidP="00373FD3">
      <w:r w:rsidRPr="00B6782A">
        <w:t xml:space="preserve">Weryfikacja wolumenu przedsięwzięć za które przyznano świadectwa dotyczy przypadku tzw. średniej liczby środków. Zatem w tym przypadku stosowna może być próbka obejmująca odsetek około 10% populacji, a liczba weryfikowanych audytów efektywności energetycznej powinna przekraczać 20, co jest w praktyce odpowiednie i reprezentatywne w odniesieniu do ogólnej liczby zgłaszanych środków. </w:t>
      </w:r>
    </w:p>
    <w:p w14:paraId="79178891" w14:textId="1A45C136" w:rsidR="00F34BD4" w:rsidRPr="00B6782A" w:rsidRDefault="00F34BD4" w:rsidP="00373FD3">
      <w:r w:rsidRPr="00B6782A">
        <w:t xml:space="preserve">Zgodnie z przepisami ustawy o efektywności energetycznej Prezes URE każdego </w:t>
      </w:r>
      <w:r w:rsidR="0011179A">
        <w:t>roku</w:t>
      </w:r>
      <w:r w:rsidRPr="00B6782A">
        <w:t xml:space="preserve"> publikuje informacje o wydanych świadectwach efektywności energetycznej wraz z kartami audytu efektywności energetycznej, oraz o osiągniętej łącznej oszczędności energii wynikającej z realizacji obowiązku przez podmioty zobowiązane, co zapewnia spełnienie wymogu </w:t>
      </w:r>
      <w:r w:rsidRPr="0009690A">
        <w:t>art. 9 ust. 12</w:t>
      </w:r>
      <w:r>
        <w:t xml:space="preserve">, </w:t>
      </w:r>
      <w:r w:rsidRPr="00B6782A">
        <w:t xml:space="preserve">o podawaniu do publicznej wiadomości informacji o oszczędności energii osiągniętej w ramach systemu. </w:t>
      </w:r>
    </w:p>
    <w:p w14:paraId="09BBA596" w14:textId="2ABBA9C6" w:rsidR="00F34BD4" w:rsidRDefault="00F34BD4" w:rsidP="00373FD3">
      <w:r w:rsidRPr="00B6782A">
        <w:t xml:space="preserve">W ramach systemu zobowiązującego do efektywności energetycznej za niedopełnienie obowiązku przewidziane są sankcje w postaci kar pieniężnych. Kary te są wymierzane zgodnie z zasadami, o których mowa w </w:t>
      </w:r>
      <w:r w:rsidRPr="00D94B5E">
        <w:t>art. 32 dyrektywy,</w:t>
      </w:r>
      <w:r w:rsidRPr="006A7930">
        <w:t xml:space="preserve"> tj.</w:t>
      </w:r>
      <w:r w:rsidRPr="00B6782A">
        <w:t xml:space="preserve"> powinny one być: „skuteczne, proporcjonalne i odstraszające”, toteż wysokość kary nie jest wyższa niż 10% przychodu ukaranego przedsiębiorstwa. Ustalając wysokość kar Prezes URE uwzględnia zakres naruszeń, powtarzalność naruszeń lub korzyści finansowe możliwe do uzyskania z tytułu naruszenia. Prezes URE może odstąpić od wymierzenia kary, jeżeli uzna zakres naruszeń za znikomy. </w:t>
      </w:r>
      <w:r w:rsidR="00D45FC7">
        <w:br w:type="page"/>
      </w:r>
    </w:p>
    <w:p w14:paraId="5E7E51C0" w14:textId="7354CCE0" w:rsidR="00F34BD4" w:rsidRPr="00373FD3" w:rsidRDefault="00F34BD4" w:rsidP="00A907A1">
      <w:pPr>
        <w:pStyle w:val="Nagwek2"/>
      </w:pPr>
      <w:bookmarkStart w:id="14" w:name="_Toc202967814"/>
      <w:r w:rsidRPr="00373FD3">
        <w:lastRenderedPageBreak/>
        <w:t xml:space="preserve">Alternatywne środki </w:t>
      </w:r>
      <w:r w:rsidR="00C204DC">
        <w:t xml:space="preserve">z dziedziny polityki dotyczące </w:t>
      </w:r>
      <w:r w:rsidR="0075057F">
        <w:t>oszczędności energii</w:t>
      </w:r>
      <w:r w:rsidRPr="00373FD3">
        <w:t xml:space="preserve"> </w:t>
      </w:r>
      <w:r w:rsidR="0075057F">
        <w:t>(</w:t>
      </w:r>
      <w:r w:rsidRPr="00373FD3">
        <w:t>o których mowa w</w:t>
      </w:r>
      <w:r w:rsidR="00D22D61">
        <w:t> </w:t>
      </w:r>
      <w:r w:rsidRPr="00373FD3">
        <w:t xml:space="preserve">art. 10 dyrektywy </w:t>
      </w:r>
      <w:r w:rsidR="00C204DC">
        <w:t>2023/1791</w:t>
      </w:r>
      <w:r w:rsidR="0075057F">
        <w:t>)</w:t>
      </w:r>
      <w:bookmarkEnd w:id="14"/>
    </w:p>
    <w:p w14:paraId="72FC8589" w14:textId="58D2036E" w:rsidR="0075057F" w:rsidRPr="00A1701E" w:rsidRDefault="00F34BD4" w:rsidP="00373FD3">
      <w:r w:rsidRPr="00A1701E">
        <w:t xml:space="preserve">Po przeprowadzeniu analizy funkcjonujących w Polsce instrumentów i środków poprawy efektywności energetycznej </w:t>
      </w:r>
      <w:r w:rsidRPr="00E438CA">
        <w:rPr>
          <w:b/>
          <w:bCs/>
        </w:rPr>
        <w:t xml:space="preserve">dokonano wyboru </w:t>
      </w:r>
      <w:r w:rsidR="00E438CA" w:rsidRPr="00E438CA">
        <w:rPr>
          <w:b/>
          <w:bCs/>
        </w:rPr>
        <w:t xml:space="preserve">dodatkowych, alternatywnych </w:t>
      </w:r>
      <w:r w:rsidRPr="00E438CA">
        <w:rPr>
          <w:b/>
          <w:bCs/>
        </w:rPr>
        <w:t>środków</w:t>
      </w:r>
      <w:r w:rsidRPr="00A1701E">
        <w:t xml:space="preserve">, </w:t>
      </w:r>
      <w:r w:rsidRPr="00A1701E" w:rsidDel="00943B12">
        <w:t xml:space="preserve">które zapewnią osiągnięcie wymaganych w art. </w:t>
      </w:r>
      <w:r w:rsidDel="00943B12">
        <w:t>8</w:t>
      </w:r>
      <w:r w:rsidRPr="00A1701E" w:rsidDel="00943B12">
        <w:t xml:space="preserve"> ust. 1</w:t>
      </w:r>
      <w:r w:rsidDel="00943B12">
        <w:t xml:space="preserve"> </w:t>
      </w:r>
      <w:r>
        <w:t>w</w:t>
      </w:r>
      <w:r w:rsidR="00EB53CB">
        <w:t> </w:t>
      </w:r>
      <w:r>
        <w:t>sprawie efektywności energetycznej</w:t>
      </w:r>
      <w:r w:rsidRPr="00A1701E" w:rsidDel="00943B12">
        <w:t xml:space="preserve"> oszczędności energii końcowej na 2030</w:t>
      </w:r>
      <w:r w:rsidR="00E438CA">
        <w:t> </w:t>
      </w:r>
      <w:r w:rsidRPr="00A1701E" w:rsidDel="00943B12">
        <w:t xml:space="preserve">r. </w:t>
      </w:r>
      <w:r w:rsidR="00E438CA">
        <w:t xml:space="preserve">– zgodnie z </w:t>
      </w:r>
      <w:r w:rsidR="0075057F" w:rsidRPr="0075057F">
        <w:t xml:space="preserve">art. 10 dyrektywy </w:t>
      </w:r>
      <w:r w:rsidR="00C204DC">
        <w:t>2023/1791</w:t>
      </w:r>
    </w:p>
    <w:p w14:paraId="0DA5172E" w14:textId="75F8923D" w:rsidR="00F34BD4" w:rsidRPr="003547BB" w:rsidRDefault="00F34BD4" w:rsidP="00373FD3">
      <w:r w:rsidRPr="003547BB">
        <w:t>W związku z powyższym przewiduje się realizację następujących alternatywnych środków</w:t>
      </w:r>
      <w:r w:rsidR="00F11A8E">
        <w:t xml:space="preserve"> o łącznym poziomie </w:t>
      </w:r>
      <w:r w:rsidR="00F11A8E" w:rsidRPr="00ED1D45">
        <w:rPr>
          <w:b/>
          <w:bCs/>
        </w:rPr>
        <w:t xml:space="preserve">skumulowanych oszczędności energii finalnej </w:t>
      </w:r>
      <w:r w:rsidR="00ED1D45" w:rsidRPr="00ED1D45">
        <w:rPr>
          <w:b/>
          <w:bCs/>
        </w:rPr>
        <w:t>27</w:t>
      </w:r>
      <w:r w:rsidR="00ED1D45">
        <w:rPr>
          <w:b/>
          <w:bCs/>
        </w:rPr>
        <w:t> </w:t>
      </w:r>
      <w:r w:rsidR="00ED1D45" w:rsidRPr="00ED1D45">
        <w:rPr>
          <w:b/>
          <w:bCs/>
        </w:rPr>
        <w:t>567</w:t>
      </w:r>
      <w:r w:rsidR="00F11A8E" w:rsidRPr="00ED1D45">
        <w:rPr>
          <w:b/>
          <w:bCs/>
        </w:rPr>
        <w:t xml:space="preserve"> ktoe do 2030 r.</w:t>
      </w:r>
      <w:r w:rsidR="00F11A8E">
        <w:t>, w podziale jak poniżej</w:t>
      </w:r>
      <w:r w:rsidRPr="003547BB">
        <w:t xml:space="preserve">: </w:t>
      </w:r>
    </w:p>
    <w:p w14:paraId="1176F3A4" w14:textId="3958E4E8" w:rsidR="00F34BD4" w:rsidRPr="004A2365" w:rsidRDefault="00F34BD4" w:rsidP="00373FD3">
      <w:r w:rsidRPr="00373FD3">
        <w:t>w okresie 2021–2030</w:t>
      </w:r>
      <w:r w:rsidRPr="004A2365">
        <w:t>:</w:t>
      </w:r>
    </w:p>
    <w:p w14:paraId="1B6D8956" w14:textId="78CBADBD" w:rsidR="00F34BD4" w:rsidRPr="00805E07" w:rsidRDefault="00F34BD4" w:rsidP="00767FC5">
      <w:pPr>
        <w:pStyle w:val="Akapitzlist"/>
        <w:numPr>
          <w:ilvl w:val="0"/>
          <w:numId w:val="29"/>
        </w:numPr>
        <w:rPr>
          <w:b/>
          <w:bCs/>
        </w:rPr>
      </w:pPr>
      <w:r w:rsidRPr="00805E07">
        <w:rPr>
          <w:b/>
          <w:bCs/>
        </w:rPr>
        <w:t>Fundusz Termomodernizacji i Remontów (Program TERMO)</w:t>
      </w:r>
      <w:r w:rsidR="00F11A8E">
        <w:rPr>
          <w:b/>
          <w:bCs/>
        </w:rPr>
        <w:t xml:space="preserve"> </w:t>
      </w:r>
      <w:r w:rsidR="00F11A8E" w:rsidRPr="00ED1D45">
        <w:t>– 1 175 ktoe oszczędności</w:t>
      </w:r>
      <w:r w:rsidRPr="00805E07">
        <w:rPr>
          <w:b/>
          <w:bCs/>
        </w:rPr>
        <w:t>;</w:t>
      </w:r>
    </w:p>
    <w:p w14:paraId="543A68E8" w14:textId="02E4BA81" w:rsidR="00F34BD4" w:rsidRPr="00805E07" w:rsidRDefault="00F34BD4" w:rsidP="00767FC5">
      <w:pPr>
        <w:pStyle w:val="Akapitzlist"/>
        <w:numPr>
          <w:ilvl w:val="0"/>
          <w:numId w:val="29"/>
        </w:numPr>
        <w:rPr>
          <w:b/>
          <w:bCs/>
        </w:rPr>
      </w:pPr>
      <w:r w:rsidRPr="00805E07">
        <w:rPr>
          <w:b/>
          <w:bCs/>
        </w:rPr>
        <w:t xml:space="preserve">Ulga podatkowa dotycząca wydatków poniesionych na termomodernizację jednorodzinnych budynków </w:t>
      </w:r>
      <w:r w:rsidRPr="00B82502">
        <w:rPr>
          <w:b/>
          <w:bCs/>
          <w:color w:val="000000" w:themeColor="text1"/>
        </w:rPr>
        <w:t>mieszkalnych</w:t>
      </w:r>
      <w:r w:rsidR="00F11A8E" w:rsidRPr="00B82502">
        <w:rPr>
          <w:b/>
          <w:bCs/>
          <w:color w:val="000000" w:themeColor="text1"/>
        </w:rPr>
        <w:t xml:space="preserve"> </w:t>
      </w:r>
      <w:r w:rsidR="00F11A8E" w:rsidRPr="00B82502">
        <w:rPr>
          <w:color w:val="000000" w:themeColor="text1"/>
        </w:rPr>
        <w:t xml:space="preserve">– </w:t>
      </w:r>
      <w:r w:rsidR="00F11A8E" w:rsidRPr="00B82502">
        <w:rPr>
          <w:rFonts w:cs="Calibri"/>
          <w:color w:val="000000" w:themeColor="text1"/>
          <w:szCs w:val="20"/>
        </w:rPr>
        <w:t xml:space="preserve">15 720 </w:t>
      </w:r>
      <w:r w:rsidR="00F11A8E" w:rsidRPr="00B82502">
        <w:rPr>
          <w:color w:val="000000" w:themeColor="text1"/>
        </w:rPr>
        <w:t xml:space="preserve">ktoe </w:t>
      </w:r>
      <w:r w:rsidR="00F11A8E" w:rsidRPr="00ED1D45">
        <w:t>oszczędności</w:t>
      </w:r>
      <w:r w:rsidRPr="00805E07">
        <w:rPr>
          <w:b/>
          <w:bCs/>
        </w:rPr>
        <w:t>;</w:t>
      </w:r>
    </w:p>
    <w:p w14:paraId="5FD75CC1" w14:textId="328B7064" w:rsidR="00F34BD4" w:rsidRPr="00805E07" w:rsidRDefault="00805E07" w:rsidP="00767FC5">
      <w:pPr>
        <w:pStyle w:val="Akapitzlist"/>
        <w:numPr>
          <w:ilvl w:val="0"/>
          <w:numId w:val="29"/>
        </w:numPr>
        <w:rPr>
          <w:b/>
          <w:bCs/>
        </w:rPr>
      </w:pPr>
      <w:r w:rsidRPr="00805E07">
        <w:rPr>
          <w:b/>
          <w:bCs/>
        </w:rPr>
        <w:t>Rozwój publicznego transportu zbiorowego w miastach</w:t>
      </w:r>
      <w:r w:rsidR="00F11A8E" w:rsidRPr="00ED1D45">
        <w:t xml:space="preserve"> 6 622 </w:t>
      </w:r>
      <w:r w:rsidR="00ED1D45" w:rsidRPr="00ED1D45">
        <w:t>ktoe oszczędności</w:t>
      </w:r>
      <w:r w:rsidR="00F34BD4" w:rsidRPr="00805E07">
        <w:rPr>
          <w:b/>
          <w:bCs/>
        </w:rPr>
        <w:t>;</w:t>
      </w:r>
    </w:p>
    <w:p w14:paraId="640E3519" w14:textId="10DC1D44" w:rsidR="00F34BD4" w:rsidRPr="00373FD3" w:rsidRDefault="00F34BD4" w:rsidP="00373FD3">
      <w:r w:rsidRPr="00373FD3">
        <w:t>w okresie 2022–2030</w:t>
      </w:r>
      <w:r w:rsidRPr="00D94B5E">
        <w:t>:</w:t>
      </w:r>
    </w:p>
    <w:p w14:paraId="1017E9E2" w14:textId="20DBA3BB" w:rsidR="00F34BD4" w:rsidRPr="00805E07" w:rsidRDefault="00805E07" w:rsidP="00767FC5">
      <w:pPr>
        <w:pStyle w:val="Akapitzlist"/>
        <w:numPr>
          <w:ilvl w:val="0"/>
          <w:numId w:val="29"/>
        </w:numPr>
        <w:rPr>
          <w:b/>
          <w:bCs/>
        </w:rPr>
      </w:pPr>
      <w:r w:rsidRPr="00805E07">
        <w:rPr>
          <w:b/>
          <w:bCs/>
        </w:rPr>
        <w:t>Poprawa efektywności energetycznej budynków mieszkalnych</w:t>
      </w:r>
      <w:r w:rsidR="00F11A8E">
        <w:rPr>
          <w:b/>
          <w:bCs/>
        </w:rPr>
        <w:t xml:space="preserve"> </w:t>
      </w:r>
      <w:r w:rsidR="00F11A8E" w:rsidRPr="00ED1D45">
        <w:t xml:space="preserve">– </w:t>
      </w:r>
      <w:r w:rsidR="00ED1D45" w:rsidRPr="00ED1D45">
        <w:t>3780</w:t>
      </w:r>
      <w:r w:rsidR="00ED1D45">
        <w:t xml:space="preserve"> </w:t>
      </w:r>
      <w:r w:rsidR="00F11A8E" w:rsidRPr="00ED1D45">
        <w:t>ktoe oszczędności</w:t>
      </w:r>
      <w:r w:rsidRPr="00805E07">
        <w:rPr>
          <w:b/>
          <w:bCs/>
        </w:rPr>
        <w:t>;</w:t>
      </w:r>
    </w:p>
    <w:p w14:paraId="007448DD" w14:textId="4AAF5759" w:rsidR="00F34BD4" w:rsidRPr="00805E07" w:rsidRDefault="00805E07" w:rsidP="00767FC5">
      <w:pPr>
        <w:pStyle w:val="Akapitzlist"/>
        <w:numPr>
          <w:ilvl w:val="0"/>
          <w:numId w:val="29"/>
        </w:numPr>
        <w:rPr>
          <w:b/>
          <w:bCs/>
        </w:rPr>
      </w:pPr>
      <w:r w:rsidRPr="00805E07">
        <w:rPr>
          <w:b/>
          <w:bCs/>
        </w:rPr>
        <w:t>Efektywny energetycznie sektor publiczny</w:t>
      </w:r>
      <w:r w:rsidR="00F11A8E" w:rsidRPr="00ED1D45">
        <w:t>–</w:t>
      </w:r>
      <w:r w:rsidR="00ED1D45">
        <w:t xml:space="preserve"> 270</w:t>
      </w:r>
      <w:r w:rsidR="00F11A8E" w:rsidRPr="00ED1D45">
        <w:t xml:space="preserve"> ktoe oszczędności</w:t>
      </w:r>
      <w:r w:rsidR="00E438CA">
        <w:rPr>
          <w:b/>
          <w:bCs/>
        </w:rPr>
        <w:t>.</w:t>
      </w:r>
    </w:p>
    <w:p w14:paraId="34E79867" w14:textId="77777777" w:rsidR="00F34BD4" w:rsidRPr="00D94B5E" w:rsidRDefault="00F34BD4" w:rsidP="00F34BD4">
      <w:pPr>
        <w:spacing w:after="0" w:line="360" w:lineRule="auto"/>
        <w:ind w:left="1077"/>
        <w:rPr>
          <w:noProof/>
        </w:rPr>
      </w:pPr>
    </w:p>
    <w:p w14:paraId="10B0EBB6" w14:textId="4E895866" w:rsidR="00F34BD4" w:rsidRDefault="00E438CA" w:rsidP="00373FD3">
      <w:r>
        <w:t xml:space="preserve">Od 2022 r. </w:t>
      </w:r>
      <w:r w:rsidR="00F34BD4">
        <w:t xml:space="preserve">Polska wprowadziła dodatkowe nowe środki alternatywne (4-5), które mają zapewnić Polsce osiągnięcie zwiększonego wymaganego celu całkowitych skumulowanych oszczędności końcowego zużycia energii do 2030 </w:t>
      </w:r>
      <w:r w:rsidR="0011179A">
        <w:t>r.</w:t>
      </w:r>
      <w:r>
        <w:t xml:space="preserve"> Przy czym</w:t>
      </w:r>
      <w:r w:rsidR="00F34BD4">
        <w:t xml:space="preserve"> ww. środki alternatywne będą funkcjonować w Polsce także po</w:t>
      </w:r>
      <w:r w:rsidR="00A907A1">
        <w:t> </w:t>
      </w:r>
      <w:r w:rsidR="00F34BD4">
        <w:t>2030</w:t>
      </w:r>
      <w:r>
        <w:t> </w:t>
      </w:r>
      <w:r w:rsidR="0011179A">
        <w:t>r.</w:t>
      </w:r>
      <w:r w:rsidR="00F34BD4">
        <w:t xml:space="preserve"> </w:t>
      </w:r>
    </w:p>
    <w:p w14:paraId="42B24809" w14:textId="63351EB3" w:rsidR="00F34BD4" w:rsidRPr="00BC7E57" w:rsidRDefault="00F34BD4" w:rsidP="00291640">
      <w:pPr>
        <w:pStyle w:val="Nagwek3"/>
      </w:pPr>
      <w:bookmarkStart w:id="15" w:name="_Toc202967815"/>
      <w:r>
        <w:t>Fundusz Termomodernizacji i Remontów</w:t>
      </w:r>
      <w:r w:rsidRPr="00BC7E57">
        <w:t xml:space="preserve"> </w:t>
      </w:r>
      <w:r>
        <w:t>(Program</w:t>
      </w:r>
      <w:r w:rsidR="0097073E">
        <w:t> </w:t>
      </w:r>
      <w:r>
        <w:t>TERMO)</w:t>
      </w:r>
      <w:bookmarkEnd w:id="15"/>
    </w:p>
    <w:p w14:paraId="4C826C31" w14:textId="77777777" w:rsidR="00F34BD4" w:rsidRPr="004A2365" w:rsidRDefault="00F34BD4" w:rsidP="00FD4F7A">
      <w:pPr>
        <w:pStyle w:val="Nagwek4"/>
      </w:pPr>
      <w:r w:rsidRPr="00386B26">
        <w:t>Skrócony</w:t>
      </w:r>
      <w:r w:rsidRPr="004A2365">
        <w:t xml:space="preserve"> opis </w:t>
      </w:r>
      <w:r>
        <w:t>środka alternatywnego</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44"/>
        <w:gridCol w:w="7085"/>
      </w:tblGrid>
      <w:tr w:rsidR="00F34BD4" w:rsidRPr="004A2365" w14:paraId="03F25162" w14:textId="77777777" w:rsidTr="0011179A">
        <w:tc>
          <w:tcPr>
            <w:tcW w:w="1644" w:type="dxa"/>
            <w:vAlign w:val="center"/>
          </w:tcPr>
          <w:p w14:paraId="427D755C"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 alternatywnego</w:t>
            </w:r>
          </w:p>
        </w:tc>
        <w:tc>
          <w:tcPr>
            <w:tcW w:w="7085" w:type="dxa"/>
            <w:vAlign w:val="center"/>
          </w:tcPr>
          <w:p w14:paraId="620C10ED" w14:textId="77777777" w:rsidR="00F34BD4" w:rsidRPr="002B0945" w:rsidRDefault="00F34BD4" w:rsidP="00FF3BC7">
            <w:pPr>
              <w:spacing w:line="276" w:lineRule="auto"/>
              <w:rPr>
                <w:b/>
                <w:bCs/>
              </w:rPr>
            </w:pPr>
            <w:r>
              <w:rPr>
                <w:b/>
                <w:bCs/>
              </w:rPr>
              <w:t>Fundusz Termomodernizacji i Remontów (Program TERMO)</w:t>
            </w:r>
          </w:p>
        </w:tc>
      </w:tr>
      <w:tr w:rsidR="00F34BD4" w:rsidRPr="004A2365" w14:paraId="529BD133" w14:textId="77777777" w:rsidTr="0011179A">
        <w:tc>
          <w:tcPr>
            <w:tcW w:w="1644" w:type="dxa"/>
            <w:vAlign w:val="center"/>
          </w:tcPr>
          <w:p w14:paraId="0228C4B1"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710E7498" w14:textId="77777777" w:rsidR="00F34BD4" w:rsidRPr="004A2365" w:rsidRDefault="00F34BD4" w:rsidP="00FF3BC7">
            <w:pPr>
              <w:spacing w:line="276" w:lineRule="auto"/>
              <w:rPr>
                <w:rFonts w:cs="Times New Roman"/>
              </w:rPr>
            </w:pPr>
            <w:r w:rsidRPr="004A2365">
              <w:rPr>
                <w:rFonts w:cs="Times New Roman"/>
              </w:rPr>
              <w:t>Mechanizm finansowy</w:t>
            </w:r>
          </w:p>
        </w:tc>
      </w:tr>
      <w:tr w:rsidR="00F34BD4" w:rsidRPr="004A2365" w14:paraId="19448A2D" w14:textId="77777777" w:rsidTr="0011179A">
        <w:tc>
          <w:tcPr>
            <w:tcW w:w="1644" w:type="dxa"/>
            <w:vAlign w:val="center"/>
          </w:tcPr>
          <w:p w14:paraId="3EB5642C"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Cel </w:t>
            </w:r>
          </w:p>
        </w:tc>
        <w:tc>
          <w:tcPr>
            <w:tcW w:w="7085" w:type="dxa"/>
            <w:vAlign w:val="center"/>
          </w:tcPr>
          <w:p w14:paraId="4FD0D33C" w14:textId="77777777" w:rsidR="00F34BD4" w:rsidRPr="004A2365" w:rsidRDefault="00F34BD4" w:rsidP="00FF3BC7">
            <w:pPr>
              <w:spacing w:line="276" w:lineRule="auto"/>
            </w:pPr>
            <w:r w:rsidRPr="004B0585">
              <w:rPr>
                <w:rFonts w:cs="Times New Roman"/>
              </w:rPr>
              <w:t>Podstawowym celem Funduszu jest pomoc finansowa dla inwestorów realizujących przedsięwzięcia termomodernizacyjne i remontowe.</w:t>
            </w:r>
          </w:p>
        </w:tc>
      </w:tr>
      <w:tr w:rsidR="00F34BD4" w:rsidRPr="004A2365" w14:paraId="2A31BB4F" w14:textId="77777777" w:rsidTr="0011179A">
        <w:tc>
          <w:tcPr>
            <w:tcW w:w="1644" w:type="dxa"/>
            <w:vAlign w:val="center"/>
          </w:tcPr>
          <w:p w14:paraId="7575B0F8"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Działania </w:t>
            </w:r>
          </w:p>
        </w:tc>
        <w:tc>
          <w:tcPr>
            <w:tcW w:w="7085" w:type="dxa"/>
            <w:shd w:val="clear" w:color="auto" w:fill="auto"/>
            <w:vAlign w:val="center"/>
          </w:tcPr>
          <w:p w14:paraId="3F130504" w14:textId="55C200F9" w:rsidR="00F34BD4" w:rsidRPr="004B0D54" w:rsidRDefault="00F34BD4" w:rsidP="00FF3BC7">
            <w:pPr>
              <w:spacing w:line="276" w:lineRule="auto"/>
              <w:rPr>
                <w:rFonts w:eastAsia="Times New Roman" w:cs="Times New Roman"/>
              </w:rPr>
            </w:pPr>
            <w:r w:rsidRPr="004B0D54">
              <w:rPr>
                <w:rFonts w:eastAsia="Times New Roman" w:cs="Times New Roman"/>
              </w:rPr>
              <w:t xml:space="preserve">Szczegółowy sposób dofinansowania w ramach każdej z premii </w:t>
            </w:r>
            <w:r>
              <w:rPr>
                <w:rFonts w:eastAsia="Times New Roman" w:cs="Times New Roman"/>
              </w:rPr>
              <w:t xml:space="preserve">i grantu </w:t>
            </w:r>
            <w:r w:rsidRPr="004B0D54">
              <w:rPr>
                <w:rFonts w:eastAsia="Times New Roman" w:cs="Times New Roman"/>
              </w:rPr>
              <w:t xml:space="preserve">określa ustawa z dnia 21 listopada 2008 r. </w:t>
            </w:r>
            <w:r w:rsidRPr="00D62DB9">
              <w:rPr>
                <w:rFonts w:eastAsia="Times New Roman" w:cs="Times New Roman"/>
                <w:i/>
              </w:rPr>
              <w:t>o wspieraniu termomodernizacji i remontów</w:t>
            </w:r>
            <w:r>
              <w:rPr>
                <w:rFonts w:eastAsia="Times New Roman" w:cs="Times New Roman"/>
                <w:i/>
                <w:iCs/>
              </w:rPr>
              <w:t xml:space="preserve"> </w:t>
            </w:r>
            <w:r w:rsidRPr="004564F7">
              <w:rPr>
                <w:i/>
              </w:rPr>
              <w:t>oraz o centralnej ewidencji emisyjności budynków</w:t>
            </w:r>
            <w:r>
              <w:rPr>
                <w:rFonts w:eastAsia="Times New Roman" w:cs="Times New Roman"/>
                <w:i/>
                <w:iCs/>
              </w:rPr>
              <w:t xml:space="preserve"> </w:t>
            </w:r>
            <w:r w:rsidRPr="00D62DB9">
              <w:rPr>
                <w:rFonts w:eastAsia="Times New Roman" w:cs="Times New Roman"/>
              </w:rPr>
              <w:t>(</w:t>
            </w:r>
            <w:r w:rsidR="00C46A69" w:rsidRPr="00C46A69">
              <w:rPr>
                <w:rFonts w:eastAsia="Times New Roman" w:cs="Times New Roman"/>
              </w:rPr>
              <w:t>Dz. U. z 2024 r. poz. 1446 z późn. zm.</w:t>
            </w:r>
            <w:r w:rsidRPr="00D62DB9">
              <w:rPr>
                <w:rFonts w:eastAsia="Times New Roman" w:cs="Times New Roman"/>
              </w:rPr>
              <w:t>)</w:t>
            </w:r>
            <w:r w:rsidRPr="005025CD">
              <w:rPr>
                <w:rFonts w:eastAsia="Times New Roman" w:cs="Times New Roman"/>
              </w:rPr>
              <w:t>.</w:t>
            </w:r>
            <w:r w:rsidRPr="004B0D54">
              <w:rPr>
                <w:rFonts w:eastAsia="Times New Roman" w:cs="Times New Roman"/>
              </w:rPr>
              <w:t xml:space="preserve"> Premia </w:t>
            </w:r>
            <w:r>
              <w:rPr>
                <w:rFonts w:eastAsia="Times New Roman" w:cs="Times New Roman"/>
              </w:rPr>
              <w:t>i grant</w:t>
            </w:r>
            <w:r w:rsidRPr="004B0D54" w:rsidDel="00B75BB5">
              <w:rPr>
                <w:rFonts w:eastAsia="Times New Roman" w:cs="Times New Roman"/>
              </w:rPr>
              <w:t xml:space="preserve"> </w:t>
            </w:r>
            <w:r w:rsidRPr="004B0D54">
              <w:rPr>
                <w:rFonts w:eastAsia="Times New Roman" w:cs="Times New Roman"/>
              </w:rPr>
              <w:t>przysługuje w przypadku realizacji przedsięwzięć, których celem jest:</w:t>
            </w:r>
          </w:p>
          <w:p w14:paraId="57B44C15" w14:textId="77777777" w:rsidR="00F34BD4" w:rsidRPr="004B0D54" w:rsidRDefault="00F34BD4" w:rsidP="00767FC5">
            <w:pPr>
              <w:numPr>
                <w:ilvl w:val="0"/>
                <w:numId w:val="5"/>
              </w:numPr>
              <w:spacing w:line="276" w:lineRule="auto"/>
              <w:jc w:val="left"/>
              <w:rPr>
                <w:rFonts w:eastAsia="Times New Roman" w:cs="Times New Roman"/>
              </w:rPr>
            </w:pPr>
            <w:r w:rsidRPr="004B0D54">
              <w:rPr>
                <w:rFonts w:eastAsia="Times New Roman" w:cs="Times New Roman"/>
              </w:rPr>
              <w:t>zmniejszenie zużycia energii na potrzeby ogrzewania i podgrzewania wody użytkowej</w:t>
            </w:r>
            <w:r>
              <w:rPr>
                <w:rFonts w:eastAsia="Times New Roman" w:cs="Times New Roman"/>
              </w:rPr>
              <w:t>,</w:t>
            </w:r>
          </w:p>
          <w:p w14:paraId="3AD7B578" w14:textId="77777777" w:rsidR="00F34BD4" w:rsidRPr="004B0D54" w:rsidRDefault="00F34BD4" w:rsidP="00767FC5">
            <w:pPr>
              <w:numPr>
                <w:ilvl w:val="0"/>
                <w:numId w:val="5"/>
              </w:numPr>
              <w:spacing w:line="276" w:lineRule="auto"/>
              <w:jc w:val="left"/>
              <w:rPr>
                <w:rFonts w:eastAsia="Times New Roman" w:cs="Times New Roman"/>
              </w:rPr>
            </w:pPr>
            <w:r w:rsidRPr="004B0D54">
              <w:rPr>
                <w:rFonts w:eastAsia="Times New Roman" w:cs="Times New Roman"/>
              </w:rPr>
              <w:t>zmniejszenie kosztów pozyskania ciepła dostarczanego do ww. budynków</w:t>
            </w:r>
            <w:r>
              <w:rPr>
                <w:rFonts w:eastAsia="Times New Roman" w:cs="Times New Roman"/>
              </w:rPr>
              <w:t>,</w:t>
            </w:r>
          </w:p>
          <w:p w14:paraId="00598F65" w14:textId="77777777" w:rsidR="00F34BD4" w:rsidRDefault="00F34BD4" w:rsidP="00767FC5">
            <w:pPr>
              <w:numPr>
                <w:ilvl w:val="0"/>
                <w:numId w:val="5"/>
              </w:numPr>
              <w:spacing w:line="276" w:lineRule="auto"/>
              <w:jc w:val="left"/>
              <w:rPr>
                <w:rFonts w:eastAsia="Times New Roman" w:cs="Times New Roman"/>
              </w:rPr>
            </w:pPr>
            <w:r w:rsidRPr="004B0D54">
              <w:rPr>
                <w:rFonts w:eastAsia="Times New Roman" w:cs="Times New Roman"/>
              </w:rPr>
              <w:lastRenderedPageBreak/>
              <w:t>zmniejszenie strat energii pierwotnej w lokalnych sieciach ciepłowniczych oraz zasilających je lokalnych źródłach ciepła,</w:t>
            </w:r>
          </w:p>
          <w:p w14:paraId="06DEBE28" w14:textId="77777777" w:rsidR="00F34BD4" w:rsidRPr="001304B7" w:rsidRDefault="00F34BD4" w:rsidP="00767FC5">
            <w:pPr>
              <w:numPr>
                <w:ilvl w:val="0"/>
                <w:numId w:val="5"/>
              </w:numPr>
              <w:spacing w:line="276" w:lineRule="auto"/>
              <w:jc w:val="left"/>
              <w:rPr>
                <w:rFonts w:cs="Times New Roman"/>
              </w:rPr>
            </w:pPr>
            <w:r w:rsidRPr="005D3E31">
              <w:rPr>
                <w:rFonts w:eastAsia="Times New Roman" w:cs="Times New Roman"/>
              </w:rPr>
              <w:t>całkowita lub częściowa zamiana źródeł energii na źródła odnawialne lub zastosowanie wysokosprawnej kogeneracji - z obo</w:t>
            </w:r>
            <w:r w:rsidRPr="001304B7">
              <w:rPr>
                <w:rFonts w:eastAsia="Times New Roman" w:cs="Times New Roman"/>
              </w:rPr>
              <w:t>wiązkiem uzyskania określonych w ustawie oszczędności w zużyciu energii.</w:t>
            </w:r>
          </w:p>
        </w:tc>
      </w:tr>
      <w:tr w:rsidR="00F34BD4" w:rsidRPr="004A2365" w14:paraId="48E931C0" w14:textId="77777777" w:rsidTr="0011179A">
        <w:tc>
          <w:tcPr>
            <w:tcW w:w="1644" w:type="dxa"/>
            <w:vAlign w:val="center"/>
          </w:tcPr>
          <w:p w14:paraId="50EB7F16"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lastRenderedPageBreak/>
              <w:t>Typ beneficjentów</w:t>
            </w:r>
          </w:p>
        </w:tc>
        <w:tc>
          <w:tcPr>
            <w:tcW w:w="7085" w:type="dxa"/>
            <w:vAlign w:val="center"/>
          </w:tcPr>
          <w:p w14:paraId="75773ED3" w14:textId="77777777" w:rsidR="00F34BD4" w:rsidRDefault="00F34BD4" w:rsidP="00FF3BC7">
            <w:pPr>
              <w:spacing w:line="276" w:lineRule="auto"/>
              <w:rPr>
                <w:rFonts w:eastAsia="Times New Roman" w:cs="Times New Roman"/>
              </w:rPr>
            </w:pPr>
            <w:r>
              <w:rPr>
                <w:rFonts w:eastAsia="Times New Roman" w:cs="Times New Roman"/>
              </w:rPr>
              <w:t>O premię i grant z programu TERMO mogą ubiegać się właściciele lub zarządcy:</w:t>
            </w:r>
          </w:p>
          <w:p w14:paraId="7AB22646" w14:textId="4AEBB569" w:rsidR="00F34BD4" w:rsidRPr="00D62DB9" w:rsidRDefault="00F34BD4" w:rsidP="00767FC5">
            <w:pPr>
              <w:pStyle w:val="Akapitzlist"/>
              <w:numPr>
                <w:ilvl w:val="0"/>
                <w:numId w:val="7"/>
              </w:numPr>
              <w:spacing w:line="276" w:lineRule="auto"/>
              <w:rPr>
                <w:rFonts w:eastAsia="Times New Roman" w:cs="Times New Roman"/>
              </w:rPr>
            </w:pPr>
            <w:r w:rsidRPr="00D62DB9">
              <w:rPr>
                <w:rFonts w:eastAsia="Times New Roman" w:cs="Times New Roman"/>
              </w:rPr>
              <w:t>budynków mieszkalnych</w:t>
            </w:r>
            <w:r>
              <w:rPr>
                <w:rFonts w:eastAsia="Times New Roman" w:cs="Times New Roman"/>
              </w:rPr>
              <w:t>, w tym budynków</w:t>
            </w:r>
            <w:r w:rsidR="00E438CA">
              <w:rPr>
                <w:rFonts w:eastAsia="Times New Roman" w:cs="Times New Roman"/>
              </w:rPr>
              <w:t>,</w:t>
            </w:r>
            <w:r>
              <w:rPr>
                <w:rFonts w:eastAsia="Times New Roman" w:cs="Times New Roman"/>
              </w:rPr>
              <w:t xml:space="preserve"> w których wszystkie lokale mieszkalne wchodzą w skład mieszkaniowego zasobu gminy oraz znajdują się na obszarze obowiązującej tzw. uchwały antysmogowej</w:t>
            </w:r>
            <w:r w:rsidRPr="00D62DB9">
              <w:rPr>
                <w:rFonts w:eastAsia="Times New Roman" w:cs="Times New Roman"/>
              </w:rPr>
              <w:t>;</w:t>
            </w:r>
          </w:p>
          <w:p w14:paraId="1F7354ED" w14:textId="77777777" w:rsidR="00F34BD4" w:rsidRPr="00D62DB9" w:rsidRDefault="00F34BD4" w:rsidP="00767FC5">
            <w:pPr>
              <w:pStyle w:val="Akapitzlist"/>
              <w:numPr>
                <w:ilvl w:val="0"/>
                <w:numId w:val="7"/>
              </w:numPr>
              <w:spacing w:line="276" w:lineRule="auto"/>
              <w:rPr>
                <w:rFonts w:eastAsia="Times New Roman" w:cs="Times New Roman"/>
              </w:rPr>
            </w:pPr>
            <w:r w:rsidRPr="00D62DB9">
              <w:rPr>
                <w:rFonts w:eastAsia="Times New Roman" w:cs="Times New Roman"/>
              </w:rPr>
              <w:t>budynków zamieszkania zbiorowego;</w:t>
            </w:r>
          </w:p>
          <w:p w14:paraId="268DC790" w14:textId="77777777" w:rsidR="00F34BD4" w:rsidRPr="00D62DB9" w:rsidRDefault="00F34BD4" w:rsidP="00767FC5">
            <w:pPr>
              <w:pStyle w:val="Akapitzlist"/>
              <w:numPr>
                <w:ilvl w:val="0"/>
                <w:numId w:val="7"/>
              </w:numPr>
              <w:spacing w:line="276" w:lineRule="auto"/>
              <w:rPr>
                <w:rFonts w:eastAsia="Times New Roman" w:cs="Times New Roman"/>
              </w:rPr>
            </w:pPr>
            <w:r w:rsidRPr="00D62DB9">
              <w:rPr>
                <w:rFonts w:eastAsia="Times New Roman" w:cs="Times New Roman"/>
              </w:rPr>
              <w:t>budynków użyteczności publicznej stanowiących własność jednostek samorządu terytorialnego i wykorzystywanych przez nie do wykonywania zadań publicznych;</w:t>
            </w:r>
          </w:p>
          <w:p w14:paraId="282DB362" w14:textId="77777777" w:rsidR="00F34BD4" w:rsidRPr="00D62DB9" w:rsidRDefault="00F34BD4" w:rsidP="00767FC5">
            <w:pPr>
              <w:pStyle w:val="Akapitzlist"/>
              <w:numPr>
                <w:ilvl w:val="0"/>
                <w:numId w:val="7"/>
              </w:numPr>
              <w:spacing w:line="276" w:lineRule="auto"/>
              <w:rPr>
                <w:rFonts w:eastAsia="Times New Roman" w:cs="Times New Roman"/>
              </w:rPr>
            </w:pPr>
            <w:r w:rsidRPr="00D62DB9">
              <w:rPr>
                <w:rFonts w:eastAsia="Times New Roman" w:cs="Times New Roman"/>
              </w:rPr>
              <w:t>lokalnej sieci ciepłowniczej;</w:t>
            </w:r>
          </w:p>
          <w:p w14:paraId="7C4788CB" w14:textId="77777777" w:rsidR="00F34BD4" w:rsidRPr="00D62DB9" w:rsidRDefault="00F34BD4" w:rsidP="00767FC5">
            <w:pPr>
              <w:pStyle w:val="Akapitzlist"/>
              <w:numPr>
                <w:ilvl w:val="0"/>
                <w:numId w:val="7"/>
              </w:numPr>
              <w:spacing w:line="276" w:lineRule="auto"/>
              <w:rPr>
                <w:rFonts w:eastAsia="Times New Roman" w:cs="Times New Roman"/>
              </w:rPr>
            </w:pPr>
            <w:r w:rsidRPr="00D62DB9">
              <w:rPr>
                <w:rFonts w:eastAsia="Times New Roman" w:cs="Times New Roman"/>
              </w:rPr>
              <w:t>lokalnego źródła ciepła.</w:t>
            </w:r>
          </w:p>
          <w:p w14:paraId="5F57DDEA" w14:textId="77777777" w:rsidR="00F34BD4" w:rsidRPr="00D62DB9" w:rsidRDefault="00F34BD4" w:rsidP="00FF3BC7">
            <w:pPr>
              <w:spacing w:line="276" w:lineRule="auto"/>
              <w:rPr>
                <w:rFonts w:eastAsia="Times New Roman" w:cs="Times New Roman"/>
              </w:rPr>
            </w:pPr>
            <w:r w:rsidRPr="00D62DB9">
              <w:rPr>
                <w:rFonts w:eastAsia="Times New Roman" w:cs="Times New Roman"/>
              </w:rPr>
              <w:t xml:space="preserve">Z premii </w:t>
            </w:r>
            <w:r>
              <w:rPr>
                <w:rFonts w:eastAsia="Times New Roman" w:cs="Times New Roman"/>
              </w:rPr>
              <w:t xml:space="preserve">i grantu </w:t>
            </w:r>
            <w:r w:rsidRPr="00D62DB9">
              <w:rPr>
                <w:rFonts w:eastAsia="Times New Roman" w:cs="Times New Roman"/>
              </w:rPr>
              <w:t>mogą korzystać inwestorzy, bez względu na status prawny, a więc np.: osoby prawne (np. spółdzielnie mieszkaniowe i spółki prawa handlowego), jednostki samorządu terytorialnego, wspólnoty mieszkaniowe, osoby fizyczne, w tym właściciele domów jednorodzinnych. Premia nie przysługuje jednostkom budżetowym i zakładom budżetowym.</w:t>
            </w:r>
          </w:p>
        </w:tc>
      </w:tr>
      <w:tr w:rsidR="00F34BD4" w:rsidRPr="004A2365" w14:paraId="7EBF0128" w14:textId="77777777" w:rsidTr="0011179A">
        <w:tc>
          <w:tcPr>
            <w:tcW w:w="1644" w:type="dxa"/>
            <w:vAlign w:val="center"/>
          </w:tcPr>
          <w:p w14:paraId="35266120"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wdrażająca</w:t>
            </w:r>
          </w:p>
        </w:tc>
        <w:tc>
          <w:tcPr>
            <w:tcW w:w="7085" w:type="dxa"/>
            <w:vAlign w:val="center"/>
          </w:tcPr>
          <w:p w14:paraId="1C68E251" w14:textId="77777777" w:rsidR="00F34BD4" w:rsidRPr="004A2365" w:rsidRDefault="00F34BD4" w:rsidP="00FF3BC7">
            <w:pPr>
              <w:spacing w:line="276" w:lineRule="auto"/>
              <w:rPr>
                <w:rFonts w:cs="Times New Roman"/>
              </w:rPr>
            </w:pPr>
            <w:r>
              <w:rPr>
                <w:rFonts w:cs="Times New Roman"/>
              </w:rPr>
              <w:t>Bank Gospodarstwa Krajowego (BGK), Ministerstwo Rozwoju i Technologii (MRiT)</w:t>
            </w:r>
          </w:p>
        </w:tc>
      </w:tr>
      <w:tr w:rsidR="00F34BD4" w:rsidRPr="004A2365" w14:paraId="2A3443FC" w14:textId="77777777" w:rsidTr="0011179A">
        <w:tc>
          <w:tcPr>
            <w:tcW w:w="1644" w:type="dxa"/>
            <w:vAlign w:val="center"/>
          </w:tcPr>
          <w:p w14:paraId="009C6388"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nadzorująca</w:t>
            </w:r>
          </w:p>
        </w:tc>
        <w:tc>
          <w:tcPr>
            <w:tcW w:w="7085" w:type="dxa"/>
            <w:vAlign w:val="center"/>
          </w:tcPr>
          <w:p w14:paraId="0AA2FF99" w14:textId="77777777" w:rsidR="00F34BD4" w:rsidRPr="004A2365" w:rsidRDefault="00F34BD4" w:rsidP="00FF3BC7">
            <w:pPr>
              <w:spacing w:line="276" w:lineRule="auto"/>
              <w:rPr>
                <w:rFonts w:cs="Times New Roman"/>
              </w:rPr>
            </w:pPr>
            <w:r>
              <w:rPr>
                <w:rFonts w:cs="Times New Roman"/>
              </w:rPr>
              <w:t>MRiT</w:t>
            </w:r>
          </w:p>
        </w:tc>
      </w:tr>
    </w:tbl>
    <w:p w14:paraId="3220F0C1" w14:textId="77777777" w:rsidR="00F34BD4" w:rsidRPr="004A2365" w:rsidRDefault="00F34BD4" w:rsidP="00FD4F7A">
      <w:pPr>
        <w:pStyle w:val="Nagwek4"/>
      </w:pPr>
      <w:r>
        <w:t>Opis środka alternatywnego</w:t>
      </w:r>
    </w:p>
    <w:p w14:paraId="34C0E1E9" w14:textId="29024E5C" w:rsidR="00F34BD4" w:rsidRPr="00373FD3" w:rsidRDefault="00F34BD4" w:rsidP="00373FD3">
      <w:r w:rsidRPr="00373FD3">
        <w:t xml:space="preserve">Fundusz Termomodernizacji i Remontów utworzono w Banku Gospodarstwa Krajowego </w:t>
      </w:r>
      <w:r w:rsidRPr="00373FD3">
        <w:br/>
        <w:t xml:space="preserve">w miejsce Funduszu Termomodernizacji (funkcjonującego od 1999 </w:t>
      </w:r>
      <w:r w:rsidR="0011179A">
        <w:t>r.</w:t>
      </w:r>
      <w:r w:rsidRPr="00373FD3">
        <w:t>). Podstawą prawną Funduszu jest ustawa z dnia 21 listopada 2008 r. o wspieraniu termomodernizacji i remontów oraz o centralnej ewidencji emisyjności budynków. Celem Funduszu jest pomoc finansowa dla inwestorów realizujących przedsięwzięcia termomodernizacyjne i remontowe oraz wypłata rekompensat dla właścicieli budynków mieszkalnych, w których były lokale kwaterunkowe. W ramach obsługi Funduszu Termomodernizacji i Remontów Bank Gospodarstwa Krajowego podejmuje decyzje o przyznaniu premii oraz po spełnieniu warunków do jej wypłaty, dokonuje przekazania inwestorom premii.</w:t>
      </w:r>
    </w:p>
    <w:p w14:paraId="66A775E8" w14:textId="254F5123" w:rsidR="00F34BD4" w:rsidRPr="004564F7" w:rsidRDefault="00F34BD4" w:rsidP="00373FD3">
      <w:r w:rsidRPr="004564F7">
        <w:t>O dofinansowanie projektu w ramach premii</w:t>
      </w:r>
      <w:r w:rsidRPr="004564F7" w:rsidDel="00B018B1">
        <w:t xml:space="preserve"> </w:t>
      </w:r>
      <w:r>
        <w:t>i grantu</w:t>
      </w:r>
      <w:r w:rsidRPr="004564F7">
        <w:t xml:space="preserve"> mogą się ubiegać właściciele lub zarządcy:</w:t>
      </w:r>
    </w:p>
    <w:p w14:paraId="416327B3" w14:textId="77777777" w:rsidR="00F34BD4" w:rsidRPr="004564F7" w:rsidRDefault="00F34BD4" w:rsidP="00767FC5">
      <w:pPr>
        <w:pStyle w:val="Akapitzlist"/>
        <w:numPr>
          <w:ilvl w:val="0"/>
          <w:numId w:val="15"/>
        </w:numPr>
      </w:pPr>
      <w:r w:rsidRPr="004564F7">
        <w:t>budynków mieszkalnych,</w:t>
      </w:r>
    </w:p>
    <w:p w14:paraId="13F6DB17" w14:textId="77777777" w:rsidR="00F34BD4" w:rsidRPr="004564F7" w:rsidRDefault="00F34BD4" w:rsidP="00767FC5">
      <w:pPr>
        <w:pStyle w:val="Akapitzlist"/>
        <w:numPr>
          <w:ilvl w:val="0"/>
          <w:numId w:val="15"/>
        </w:numPr>
      </w:pPr>
      <w:r w:rsidRPr="004564F7">
        <w:t>budynków zbiorowego zamieszkania,</w:t>
      </w:r>
    </w:p>
    <w:p w14:paraId="003FCBC3" w14:textId="77777777" w:rsidR="00F34BD4" w:rsidRPr="004564F7" w:rsidRDefault="00F34BD4" w:rsidP="00767FC5">
      <w:pPr>
        <w:pStyle w:val="Akapitzlist"/>
        <w:numPr>
          <w:ilvl w:val="0"/>
          <w:numId w:val="15"/>
        </w:numPr>
      </w:pPr>
      <w:r w:rsidRPr="004564F7">
        <w:t>budynków użyteczności publicznej stanowiących własność jednostek samorządu terytorialnego służących do wykonywania przez nie zadań publicznych,</w:t>
      </w:r>
    </w:p>
    <w:p w14:paraId="2A78B97B" w14:textId="77777777" w:rsidR="00F34BD4" w:rsidRPr="004564F7" w:rsidRDefault="00F34BD4" w:rsidP="00767FC5">
      <w:pPr>
        <w:pStyle w:val="Akapitzlist"/>
        <w:numPr>
          <w:ilvl w:val="0"/>
          <w:numId w:val="15"/>
        </w:numPr>
      </w:pPr>
      <w:r w:rsidRPr="004564F7">
        <w:t>lokalnych sieci ciepłowniczych,</w:t>
      </w:r>
    </w:p>
    <w:p w14:paraId="74705BA7" w14:textId="77777777" w:rsidR="00F34BD4" w:rsidRPr="004564F7" w:rsidRDefault="00F34BD4" w:rsidP="00767FC5">
      <w:pPr>
        <w:pStyle w:val="Akapitzlist"/>
        <w:numPr>
          <w:ilvl w:val="0"/>
          <w:numId w:val="15"/>
        </w:numPr>
      </w:pPr>
      <w:r w:rsidRPr="004564F7">
        <w:t>lokalnych źródeł ciepła.</w:t>
      </w:r>
    </w:p>
    <w:p w14:paraId="15791832" w14:textId="77777777" w:rsidR="00F34BD4" w:rsidRPr="004564F7" w:rsidRDefault="00F34BD4" w:rsidP="00373FD3">
      <w:r w:rsidRPr="004564F7">
        <w:t>Z premii</w:t>
      </w:r>
      <w:r>
        <w:t xml:space="preserve"> i grantów</w:t>
      </w:r>
      <w:r w:rsidRPr="004564F7">
        <w:t xml:space="preserve"> mogą korzystać inwestorzy bez względu na status prawny z wyłączeniem jednostek budżetowych i samorządowych zakładów budżetowych, a więc </w:t>
      </w:r>
      <w:r>
        <w:t>m.in</w:t>
      </w:r>
      <w:r w:rsidRPr="004564F7" w:rsidDel="00DF00DB">
        <w:t>.</w:t>
      </w:r>
      <w:r w:rsidRPr="004564F7">
        <w:t>:</w:t>
      </w:r>
    </w:p>
    <w:p w14:paraId="61A1F9D3" w14:textId="77777777" w:rsidR="00F34BD4" w:rsidRPr="00373FD3" w:rsidRDefault="00F34BD4" w:rsidP="00E438CA">
      <w:pPr>
        <w:pStyle w:val="Akapitzlist"/>
        <w:numPr>
          <w:ilvl w:val="0"/>
          <w:numId w:val="33"/>
        </w:numPr>
        <w:ind w:left="709"/>
      </w:pPr>
      <w:r w:rsidRPr="00373FD3">
        <w:t>osoby prawne (m.in. spółdzielnie mieszkaniowe i spółki prawa handlowego),</w:t>
      </w:r>
    </w:p>
    <w:p w14:paraId="1DF9EE51" w14:textId="77777777" w:rsidR="00F34BD4" w:rsidRPr="00373FD3" w:rsidRDefault="00F34BD4" w:rsidP="00E438CA">
      <w:pPr>
        <w:pStyle w:val="Akapitzlist"/>
        <w:numPr>
          <w:ilvl w:val="0"/>
          <w:numId w:val="33"/>
        </w:numPr>
        <w:ind w:left="709"/>
      </w:pPr>
      <w:r w:rsidRPr="00373FD3">
        <w:t>jednostki samorządu terytorialnego,</w:t>
      </w:r>
    </w:p>
    <w:p w14:paraId="18386B07" w14:textId="77777777" w:rsidR="00F34BD4" w:rsidRPr="00373FD3" w:rsidRDefault="00F34BD4" w:rsidP="00E438CA">
      <w:pPr>
        <w:pStyle w:val="Akapitzlist"/>
        <w:numPr>
          <w:ilvl w:val="0"/>
          <w:numId w:val="33"/>
        </w:numPr>
        <w:ind w:left="709"/>
      </w:pPr>
      <w:r w:rsidRPr="00373FD3">
        <w:t>wspólnoty mieszkaniowe,</w:t>
      </w:r>
    </w:p>
    <w:p w14:paraId="476E979A" w14:textId="77777777" w:rsidR="00F34BD4" w:rsidRPr="00373FD3" w:rsidRDefault="00F34BD4" w:rsidP="00E438CA">
      <w:pPr>
        <w:pStyle w:val="Akapitzlist"/>
        <w:numPr>
          <w:ilvl w:val="0"/>
          <w:numId w:val="33"/>
        </w:numPr>
        <w:ind w:left="709"/>
      </w:pPr>
      <w:r w:rsidRPr="00373FD3">
        <w:t>towarzystwa budownictwa społecznego,</w:t>
      </w:r>
    </w:p>
    <w:p w14:paraId="78BAC14A" w14:textId="77777777" w:rsidR="00F34BD4" w:rsidRPr="00373FD3" w:rsidRDefault="00F34BD4" w:rsidP="00E438CA">
      <w:pPr>
        <w:pStyle w:val="Akapitzlist"/>
        <w:numPr>
          <w:ilvl w:val="0"/>
          <w:numId w:val="33"/>
        </w:numPr>
        <w:ind w:left="709"/>
      </w:pPr>
      <w:r w:rsidRPr="00373FD3">
        <w:t>osoby fizyczne (w tym właściciele domów jednorodzinnych),</w:t>
      </w:r>
    </w:p>
    <w:p w14:paraId="2F9625A0" w14:textId="77777777" w:rsidR="00F34BD4" w:rsidRPr="00373FD3" w:rsidRDefault="00F34BD4" w:rsidP="00E438CA">
      <w:pPr>
        <w:pStyle w:val="Akapitzlist"/>
        <w:numPr>
          <w:ilvl w:val="0"/>
          <w:numId w:val="33"/>
        </w:numPr>
        <w:ind w:left="709"/>
      </w:pPr>
      <w:r w:rsidRPr="00373FD3">
        <w:lastRenderedPageBreak/>
        <w:t>społeczne inicjatywy mieszkaniowe,</w:t>
      </w:r>
    </w:p>
    <w:p w14:paraId="2E2E3AC6" w14:textId="77777777" w:rsidR="00F34BD4" w:rsidRPr="00373FD3" w:rsidRDefault="00F34BD4" w:rsidP="00E438CA">
      <w:pPr>
        <w:pStyle w:val="Akapitzlist"/>
        <w:numPr>
          <w:ilvl w:val="0"/>
          <w:numId w:val="33"/>
        </w:numPr>
        <w:ind w:left="709"/>
      </w:pPr>
      <w:r w:rsidRPr="00373FD3">
        <w:t>gminy lub spółki z ograniczoną odpowiedzialnością lub spółka akcyjna, w której gmina dysponuje ponad 50% głosów na zgromadzeniu wspólników.</w:t>
      </w:r>
    </w:p>
    <w:p w14:paraId="3E919AFE" w14:textId="4EF3D346" w:rsidR="00F34BD4" w:rsidRPr="004564F7" w:rsidRDefault="00F34BD4" w:rsidP="00373FD3">
      <w:r w:rsidRPr="004564F7">
        <w:t>Premia</w:t>
      </w:r>
      <w:r w:rsidRPr="004564F7" w:rsidDel="006F5176">
        <w:t xml:space="preserve"> </w:t>
      </w:r>
      <w:r w:rsidRPr="004564F7">
        <w:t>przysługuje inwestorowi z tytułu realizacji przedsięwzięcia termomodernizacyjnego</w:t>
      </w:r>
      <w:r>
        <w:t xml:space="preserve"> i</w:t>
      </w:r>
      <w:r w:rsidR="00AC3E6C">
        <w:t> </w:t>
      </w:r>
      <w:r>
        <w:t>remontowego</w:t>
      </w:r>
      <w:r w:rsidRPr="004564F7">
        <w:t xml:space="preserve"> </w:t>
      </w:r>
      <w:r>
        <w:t>oraz</w:t>
      </w:r>
      <w:r w:rsidRPr="004564F7">
        <w:t xml:space="preserve"> stanowi spłatę kredytu zaciągniętego przez inwestora. Premia przysługuje tylko inwestorom korzystającym z kredytu. Nie mogą z niej korzystać inwestorzy realizujący przedsięwzięcie termomodernizacyjne wyłącznie z własnych środków.</w:t>
      </w:r>
    </w:p>
    <w:p w14:paraId="72F3CCAD" w14:textId="77777777" w:rsidR="00F34BD4" w:rsidRPr="004564F7" w:rsidRDefault="00F34BD4" w:rsidP="00373FD3">
      <w:r w:rsidRPr="004564F7">
        <w:t xml:space="preserve">Wysokość premii wynosi </w:t>
      </w:r>
      <w:r>
        <w:t xml:space="preserve">od </w:t>
      </w:r>
      <w:r w:rsidRPr="004564F7">
        <w:t>16%</w:t>
      </w:r>
      <w:r>
        <w:t xml:space="preserve"> do 60%</w:t>
      </w:r>
      <w:r w:rsidRPr="004564F7">
        <w:t xml:space="preserve"> kosztów przedsięwzięcia termo-modernizacyjnego</w:t>
      </w:r>
      <w:r>
        <w:t xml:space="preserve"> lub remontowego, w zależności do rodzaju realizowanego przedsięwzięcia</w:t>
      </w:r>
      <w:r w:rsidRPr="004564F7" w:rsidDel="006F5176">
        <w:t>.</w:t>
      </w:r>
    </w:p>
    <w:p w14:paraId="0DFFF0DA" w14:textId="69ED08F7" w:rsidR="00F34BD4" w:rsidRPr="004564F7" w:rsidRDefault="00F34BD4" w:rsidP="00373FD3">
      <w:r w:rsidRPr="004564F7">
        <w:t>Podstawowym warunkiem otrzymania dofinansowania jest przedstawienie audytu energetycznego. Audyt powinien być dołączony do wniosku o przyznanie premii termomodernizacyjnej, składanego wraz z wnioskiem kredytowym w banku kredytującym. Kolejne warunki związane są z udzieleniem i spłatą kredytu</w:t>
      </w:r>
      <w:r w:rsidR="00F11A8E">
        <w:t xml:space="preserve"> i </w:t>
      </w:r>
      <w:r w:rsidRPr="004564F7">
        <w:t>są następujące:</w:t>
      </w:r>
    </w:p>
    <w:p w14:paraId="2EC7932B" w14:textId="77777777" w:rsidR="00F34BD4" w:rsidRPr="00F34BD4" w:rsidRDefault="00F34BD4" w:rsidP="00FA61EC">
      <w:pPr>
        <w:pStyle w:val="Akapitzlist"/>
        <w:numPr>
          <w:ilvl w:val="0"/>
          <w:numId w:val="35"/>
        </w:numPr>
      </w:pPr>
      <w:r w:rsidRPr="00F34BD4">
        <w:t xml:space="preserve">bank kredytujący podejmuje decyzję o udzieleniu kredytu zgodnie z własnymi procedurami, oceniając zdolność kredytową wnioskodawcy oraz ustanawiając wymagane zabezpieczenie spłaty kredytu, </w:t>
      </w:r>
    </w:p>
    <w:p w14:paraId="3965A666" w14:textId="77777777" w:rsidR="00F34BD4" w:rsidRPr="00F34BD4" w:rsidRDefault="00F34BD4" w:rsidP="00FA61EC">
      <w:pPr>
        <w:pStyle w:val="Akapitzlist"/>
        <w:numPr>
          <w:ilvl w:val="0"/>
          <w:numId w:val="35"/>
        </w:numPr>
      </w:pPr>
      <w:r w:rsidRPr="00F34BD4">
        <w:t>inwestor oświadcza we wniosku o przyznanie premii między innymi, że kredyt nie jest przeznaczony na sfinansowanie prac, na które uzyskano wsparcie ze środków publicznych,</w:t>
      </w:r>
    </w:p>
    <w:p w14:paraId="0BAD5F5D" w14:textId="77777777" w:rsidR="00F34BD4" w:rsidRPr="00F34BD4" w:rsidRDefault="00F34BD4" w:rsidP="00FA61EC">
      <w:pPr>
        <w:pStyle w:val="Akapitzlist"/>
        <w:numPr>
          <w:ilvl w:val="0"/>
          <w:numId w:val="35"/>
        </w:numPr>
      </w:pPr>
      <w:r w:rsidRPr="00F34BD4">
        <w:t>kredyt jest uruchamiany pod warunkiem przyznania premii termomodernizacyjnej.</w:t>
      </w:r>
    </w:p>
    <w:p w14:paraId="15303121" w14:textId="77777777" w:rsidR="00F34BD4" w:rsidRPr="009742F4" w:rsidRDefault="00F34BD4" w:rsidP="00FD4F7A">
      <w:pPr>
        <w:pStyle w:val="Nagwek4"/>
      </w:pPr>
      <w:r w:rsidRPr="009742F4">
        <w:t>Zastosowane metody obliczeniowe, o których mowa w pkt 1 Załącznika V do dyrektywy 2023//UE oraz uwzględnienie różnic klimatycznych</w:t>
      </w:r>
    </w:p>
    <w:p w14:paraId="74D97742" w14:textId="77777777" w:rsidR="00F34BD4" w:rsidRPr="000F751D" w:rsidRDefault="00F34BD4" w:rsidP="00373FD3">
      <w:r w:rsidRPr="000F751D">
        <w:t xml:space="preserve">Oszczędności energii końcowej każdego przedsięwzięcia termomodernizacyjnego określane są metodą </w:t>
      </w:r>
      <w:r w:rsidRPr="00F11A8E">
        <w:rPr>
          <w:i/>
          <w:iCs/>
        </w:rPr>
        <w:t>ex ante</w:t>
      </w:r>
      <w:r>
        <w:t xml:space="preserve"> (szacowana oszczędność)</w:t>
      </w:r>
      <w:r w:rsidRPr="000F751D">
        <w:t>, obliczane i przedstawiane w obowiązkowym audycie energetycznym.</w:t>
      </w:r>
    </w:p>
    <w:p w14:paraId="55C108A0" w14:textId="77777777" w:rsidR="00F34BD4" w:rsidRPr="000F751D" w:rsidRDefault="00F34BD4" w:rsidP="00373FD3">
      <w:r w:rsidRPr="000F751D">
        <w:t xml:space="preserve">Audyt energetyczny stanowi opracowanie określające zakres oraz parametry techniczne </w:t>
      </w:r>
      <w:r w:rsidRPr="000F751D">
        <w:br/>
        <w:t xml:space="preserve">i ekonomiczne przedsięwzięcia termomodernizacyjnego, ze wskazaniem rozwiązania optymalnego, w szczególności z punktu widzenia kosztów realizacji tego przedsięwzięcia oraz oszczędności energii. Audyt jest podstawą do uzyskania prawa do premii termomodernizacyjnej, stanowi także założenia do projektu budowlanego dotyczącego realizowanego przedsięwzięcia. </w:t>
      </w:r>
    </w:p>
    <w:p w14:paraId="6974C075" w14:textId="07B4C553" w:rsidR="00F34BD4" w:rsidRPr="000F751D" w:rsidRDefault="00F34BD4" w:rsidP="00373FD3">
      <w:r w:rsidRPr="000F751D">
        <w:t xml:space="preserve">Szczegółowa metodologia wykonania audytu energetycznego ujęta jest w rozporządzeniu Ministra Infrastruktury z dnia 17 marca 2009 r. </w:t>
      </w:r>
      <w:r w:rsidRPr="00373FD3">
        <w:t>w sprawie szczegółowego zakresu i form audytu energetycznego oraz części audytu remontowego, wzorów kart audytów, a także algorytmu oceny opłacalności przedsięwzięcia termomodernizacyjnego</w:t>
      </w:r>
      <w:r w:rsidRPr="000F751D">
        <w:t xml:space="preserve"> (Dz.U. z 202</w:t>
      </w:r>
      <w:r>
        <w:t>2</w:t>
      </w:r>
      <w:r w:rsidRPr="000F751D">
        <w:t xml:space="preserve"> r. poz. </w:t>
      </w:r>
      <w:r>
        <w:t>2816</w:t>
      </w:r>
      <w:r w:rsidRPr="000F751D">
        <w:t>). Audyt energetyczny budynku uwzględnia czynniki zewnętrzne wpływające na zużycie energii. Czynniki te dotyczą, m.in. lokalizacji (strefa klimatyczna Polski) i usytuowania budynku, warunków eksploatacyjnych. W ramach audytu energetycznego uwzględniane są straty energii (przenikanie i wentylacja), zapotrzebowanie na energię do ogrzewania, chłodzenia, oświetlenia oraz przygotowania ciepłej wody użytkowej oraz zyski słoneczne i</w:t>
      </w:r>
      <w:r w:rsidR="00F11A8E">
        <w:t> </w:t>
      </w:r>
      <w:r w:rsidRPr="000F751D">
        <w:t>bytowe. Audyt energetyczny określa efekt techniczny (oszczędności energii) i ekonomiczny przedsięwzięć termomodernizacyjnych. Audyt energetyczny sporządzany jest na podstawie właściwych europejskich standardów, dokumentacji technicznej budynku, wizji lokalnej, dostępnych pomiarów zużycia energii i mediów, a proponowane usprawnienia wynikają z wiedzy i praktyki audytora energetycznego uwzględniającego najlepsze dostępne technologie oraz koszty materiałów i usług.</w:t>
      </w:r>
    </w:p>
    <w:p w14:paraId="3F083CA5" w14:textId="77777777" w:rsidR="00F34BD4" w:rsidRPr="00DB3E40" w:rsidRDefault="00F34BD4" w:rsidP="00FD4F7A">
      <w:pPr>
        <w:pStyle w:val="Nagwek4"/>
      </w:pPr>
      <w:r w:rsidRPr="00DB3E40">
        <w:lastRenderedPageBreak/>
        <w:t>Metoda wyrażania wielkości oszczędności energii (oszczędność energii pierwotnej lub finalnej)</w:t>
      </w:r>
    </w:p>
    <w:p w14:paraId="3A0B4E3F" w14:textId="5B1FBAEC" w:rsidR="00F34BD4" w:rsidRDefault="00F34BD4" w:rsidP="00373FD3">
      <w:r w:rsidRPr="00DB3E40">
        <w:t>Wielkość zużycia energii określa się na podstawie audytu energetycznego budynku</w:t>
      </w:r>
      <w:r>
        <w:t>, w którym</w:t>
      </w:r>
      <w:r w:rsidR="00767FC5">
        <w:t xml:space="preserve"> </w:t>
      </w:r>
      <w:r w:rsidRPr="00DB3E40">
        <w:t>określane są podstawowe parametry przedsięwzięcia służącego poprawie efektywności energetycznej, w tym średnioroczna oszczędność energii finalnej</w:t>
      </w:r>
      <w:r>
        <w:t xml:space="preserve"> wyrażona w toe na rok.</w:t>
      </w:r>
    </w:p>
    <w:p w14:paraId="5EC5AB97" w14:textId="2F7586BD" w:rsidR="00F34BD4" w:rsidRPr="00DB3E40" w:rsidRDefault="00F34BD4" w:rsidP="00FD4F7A">
      <w:pPr>
        <w:pStyle w:val="Nagwek4"/>
      </w:pPr>
      <w:r w:rsidRPr="00DB3E40">
        <w:t>Okres obowiązywania środków i tempo zmniejszania się oszczędności w</w:t>
      </w:r>
      <w:r w:rsidR="00FD4F7A">
        <w:t> </w:t>
      </w:r>
      <w:r w:rsidRPr="00DB3E40">
        <w:t>tym okresie</w:t>
      </w:r>
    </w:p>
    <w:p w14:paraId="60549E7D" w14:textId="771F7CD4" w:rsidR="00F34BD4" w:rsidRPr="00DB3E40" w:rsidRDefault="00F34BD4" w:rsidP="00373FD3">
      <w:r w:rsidRPr="00DB3E40">
        <w:t>Zgodnie z Dodatkiem VIII</w:t>
      </w:r>
      <w:r w:rsidR="00933722">
        <w:t>.</w:t>
      </w:r>
      <w:r w:rsidRPr="00DB3E40">
        <w:t xml:space="preserve"> </w:t>
      </w:r>
      <w:r w:rsidRPr="00933722">
        <w:rPr>
          <w:i/>
          <w:iCs/>
        </w:rPr>
        <w:t>Okres obowiązywania środków i tempo zmniejszania się oszczędności w tym okresie</w:t>
      </w:r>
      <w:r w:rsidRPr="00373FD3">
        <w:t xml:space="preserve"> </w:t>
      </w:r>
      <w:r w:rsidRPr="00DB3E40">
        <w:t>do Zalece</w:t>
      </w:r>
      <w:r w:rsidR="00723E25">
        <w:t>nia</w:t>
      </w:r>
      <w:r w:rsidRPr="00DB3E40">
        <w:t xml:space="preserve"> Komisji</w:t>
      </w:r>
      <w:r w:rsidR="00723E25">
        <w:t xml:space="preserve"> </w:t>
      </w:r>
      <w:r w:rsidR="006C41F6">
        <w:t>Europejskiej</w:t>
      </w:r>
      <w:r w:rsidR="006C41F6" w:rsidRPr="00723E25">
        <w:t xml:space="preserve"> 2019/1658</w:t>
      </w:r>
      <w:r w:rsidRPr="00373FD3">
        <w:t xml:space="preserve"> </w:t>
      </w:r>
      <w:r w:rsidRPr="00DB3E40">
        <w:t xml:space="preserve">określono orientacyjne czasy trwania środka. W ramach realizacji programu wykonywane są następujące zadania: </w:t>
      </w:r>
    </w:p>
    <w:p w14:paraId="29510B10" w14:textId="2A5FC71A" w:rsidR="00F34BD4" w:rsidRDefault="00F34BD4" w:rsidP="00767FC5">
      <w:pPr>
        <w:numPr>
          <w:ilvl w:val="0"/>
          <w:numId w:val="18"/>
        </w:numPr>
      </w:pPr>
      <w:r>
        <w:t xml:space="preserve">przedsięwzięcie niskoemisyjne zgodnie z art. 2 ust. 1b) ustawy z dnia 21 listopada 2008 </w:t>
      </w:r>
      <w:r w:rsidR="0011179A">
        <w:t>r.</w:t>
      </w:r>
      <w:r>
        <w:t xml:space="preserve"> </w:t>
      </w:r>
      <w:r w:rsidRPr="00373FD3">
        <w:t>o</w:t>
      </w:r>
      <w:r w:rsidR="00F11A8E">
        <w:t> </w:t>
      </w:r>
      <w:r w:rsidRPr="00373FD3">
        <w:t>wspieraniu termomodernizacji i remontów oraz o centralnej ewidencji emisyjności budynków</w:t>
      </w:r>
      <w:r>
        <w:t>,</w:t>
      </w:r>
    </w:p>
    <w:p w14:paraId="25221CA3" w14:textId="0C4A921B" w:rsidR="00F34BD4" w:rsidRPr="00DB3E40" w:rsidRDefault="00F34BD4" w:rsidP="00767FC5">
      <w:pPr>
        <w:numPr>
          <w:ilvl w:val="0"/>
          <w:numId w:val="18"/>
        </w:numPr>
      </w:pPr>
      <w:r w:rsidRPr="00DB3E40">
        <w:t xml:space="preserve">przedsięwzięcie termomodernizacyjne w rozumieniu </w:t>
      </w:r>
      <w:hyperlink r:id="rId15" w:history="1">
        <w:r w:rsidRPr="00DB3E40">
          <w:t>art. 2 pkt 2</w:t>
        </w:r>
      </w:hyperlink>
      <w:r w:rsidRPr="00DB3E40">
        <w:t xml:space="preserve"> ustawy z dnia 21 listopada 2008</w:t>
      </w:r>
      <w:r w:rsidR="00F11A8E">
        <w:t> </w:t>
      </w:r>
      <w:r w:rsidRPr="00DB3E40">
        <w:t xml:space="preserve">r. </w:t>
      </w:r>
      <w:r w:rsidRPr="00373FD3">
        <w:t>o wspieraniu termomodernizacji i remontów oraz o centralnej ewidencji emisyjności budynków</w:t>
      </w:r>
      <w:r w:rsidRPr="00DB3E40">
        <w:t xml:space="preserve">, </w:t>
      </w:r>
    </w:p>
    <w:p w14:paraId="28B1590E" w14:textId="0D98F5CF" w:rsidR="00F34BD4" w:rsidRPr="00DB3E40" w:rsidRDefault="00F34BD4" w:rsidP="00767FC5">
      <w:pPr>
        <w:numPr>
          <w:ilvl w:val="0"/>
          <w:numId w:val="18"/>
        </w:numPr>
      </w:pPr>
      <w:r w:rsidRPr="00DB3E40">
        <w:t xml:space="preserve">przedsięwzięcie remontowe w rozumieniu </w:t>
      </w:r>
      <w:hyperlink r:id="rId16" w:history="1">
        <w:r w:rsidRPr="00DB3E40">
          <w:t>art. 2 pkt 3</w:t>
        </w:r>
      </w:hyperlink>
      <w:r w:rsidRPr="00DB3E40">
        <w:t xml:space="preserve"> ustawy z dnia 21 listopada 2008 r. </w:t>
      </w:r>
      <w:r w:rsidRPr="00373FD3">
        <w:t>o</w:t>
      </w:r>
      <w:r w:rsidR="00F11A8E">
        <w:t> </w:t>
      </w:r>
      <w:r w:rsidRPr="00373FD3">
        <w:t>wspieraniu termomodernizacji i remontów oraz o centralnej ewidencji emisyjności budynków</w:t>
      </w:r>
      <w:r w:rsidRPr="00DB3E40">
        <w:t xml:space="preserve">, </w:t>
      </w:r>
    </w:p>
    <w:p w14:paraId="36B23EA2" w14:textId="5D0CCB1D" w:rsidR="00F34BD4" w:rsidRPr="00DB3E40" w:rsidRDefault="00F34BD4" w:rsidP="00767FC5">
      <w:pPr>
        <w:numPr>
          <w:ilvl w:val="0"/>
          <w:numId w:val="18"/>
        </w:numPr>
      </w:pPr>
      <w:r w:rsidRPr="00DB3E40">
        <w:t xml:space="preserve">przedsięwzięcie termomodernizacyjne finansowane ze środków, o których mowa w </w:t>
      </w:r>
      <w:hyperlink r:id="rId17" w:history="1">
        <w:r w:rsidRPr="00DB3E40">
          <w:t>art. 18 ust. 3 pkt 2-6</w:t>
        </w:r>
      </w:hyperlink>
      <w:r w:rsidRPr="00DB3E40">
        <w:t xml:space="preserve"> ustawy</w:t>
      </w:r>
      <w:r w:rsidRPr="00DB3E40" w:rsidDel="00514111">
        <w:t xml:space="preserve"> </w:t>
      </w:r>
      <w:r w:rsidRPr="00373FD3">
        <w:t>o efektywności energetycznej</w:t>
      </w:r>
      <w:r w:rsidRPr="00DB3E40">
        <w:t>.</w:t>
      </w:r>
    </w:p>
    <w:p w14:paraId="6F19B0CE" w14:textId="77777777" w:rsidR="00F34BD4" w:rsidRDefault="00F34BD4" w:rsidP="00373FD3">
      <w:r w:rsidRPr="00DB3E40">
        <w:t xml:space="preserve">Biorąc pod uwagę rodzaj przedsięwzięć realizowanych w ramach programu czas obowiązywania środków będzie nie dłuższy </w:t>
      </w:r>
      <w:r w:rsidRPr="00373FD3">
        <w:t>niż 25 lat</w:t>
      </w:r>
      <w:r w:rsidRPr="00DB3E40">
        <w:t xml:space="preserve">. </w:t>
      </w:r>
    </w:p>
    <w:p w14:paraId="7B39F228" w14:textId="77777777" w:rsidR="00F34BD4" w:rsidRDefault="00F34BD4" w:rsidP="00FD4F7A">
      <w:pPr>
        <w:pStyle w:val="Nagwek4"/>
      </w:pPr>
      <w:r w:rsidRPr="001644C2">
        <w:t xml:space="preserve">Krótki opis metody obliczania oszczędności energii, w tym sposobów zapewniania dodatkowości i istotności oraz metod i poziomów referencyjnych stosowanych do oszczędności </w:t>
      </w:r>
      <w:r>
        <w:t>szacowanej</w:t>
      </w:r>
      <w:r w:rsidRPr="001644C2">
        <w:t xml:space="preserve"> i skalowanych</w:t>
      </w:r>
    </w:p>
    <w:p w14:paraId="790BF04C" w14:textId="77777777" w:rsidR="00F34BD4" w:rsidRPr="00D62DB9" w:rsidRDefault="00F34BD4" w:rsidP="00373FD3">
      <w:pPr>
        <w:spacing w:after="0" w:line="360" w:lineRule="auto"/>
      </w:pPr>
      <w:r w:rsidRPr="00D62DB9">
        <w:t xml:space="preserve">Oszczędności energii </w:t>
      </w:r>
      <w:r>
        <w:t xml:space="preserve">wynikające z programu TERMO obliczane są na podstawie poniższej formuły: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34BD4" w14:paraId="5EEC567D" w14:textId="77777777">
        <w:tc>
          <w:tcPr>
            <w:tcW w:w="3020" w:type="dxa"/>
          </w:tcPr>
          <w:p w14:paraId="5A0E98E8" w14:textId="77777777" w:rsidR="00F34BD4" w:rsidRDefault="00F34BD4">
            <w:pPr>
              <w:spacing w:line="360" w:lineRule="auto"/>
              <w:rPr>
                <w:highlight w:val="yellow"/>
                <w:u w:val="single"/>
              </w:rPr>
            </w:pPr>
          </w:p>
        </w:tc>
        <w:tc>
          <w:tcPr>
            <w:tcW w:w="3021" w:type="dxa"/>
            <w:vAlign w:val="center"/>
          </w:tcPr>
          <w:p w14:paraId="7D0CDB83" w14:textId="77777777" w:rsidR="00F34BD4" w:rsidRDefault="00E3653D">
            <w:pPr>
              <w:spacing w:line="360" w:lineRule="auto"/>
              <w:jc w:val="right"/>
              <w:rPr>
                <w:rFonts w:eastAsia="Calibri" w:cs="Arial"/>
                <w:b/>
                <w:bCs/>
                <w:sz w:val="32"/>
                <w:szCs w:val="32"/>
              </w:rPr>
            </w:pPr>
            <m:oMathPara>
              <m:oMath>
                <m:sSub>
                  <m:sSubPr>
                    <m:ctrlPr>
                      <w:rPr>
                        <w:rFonts w:ascii="Cambria Math" w:hAnsi="Cambria Math"/>
                        <w:b/>
                        <w:bCs/>
                        <w:i/>
                        <w:sz w:val="32"/>
                        <w:szCs w:val="32"/>
                      </w:rPr>
                    </m:ctrlPr>
                  </m:sSubPr>
                  <m:e>
                    <m:r>
                      <m:rPr>
                        <m:sty m:val="bi"/>
                      </m:rPr>
                      <w:rPr>
                        <w:rFonts w:ascii="Cambria Math" w:hAnsi="Cambria Math"/>
                        <w:sz w:val="32"/>
                        <w:szCs w:val="32"/>
                      </w:rPr>
                      <m:t>O</m:t>
                    </m:r>
                  </m:e>
                  <m:sub>
                    <m:r>
                      <m:rPr>
                        <m:sty m:val="bi"/>
                      </m:rPr>
                      <w:rPr>
                        <w:rFonts w:ascii="Cambria Math" w:hAnsi="Cambria Math"/>
                        <w:sz w:val="32"/>
                        <w:szCs w:val="32"/>
                      </w:rPr>
                      <m:t>FTiR</m:t>
                    </m:r>
                  </m:sub>
                </m:sSub>
                <m:r>
                  <m:rPr>
                    <m:sty m:val="bi"/>
                  </m:rPr>
                  <w:rPr>
                    <w:rFonts w:ascii="Cambria Math" w:hAnsi="Cambria Math"/>
                    <w:sz w:val="32"/>
                    <w:szCs w:val="32"/>
                  </w:rPr>
                  <m:t>=</m:t>
                </m:r>
                <m:nary>
                  <m:naryPr>
                    <m:chr m:val="∑"/>
                    <m:limLoc m:val="undOvr"/>
                    <m:ctrlPr>
                      <w:rPr>
                        <w:rFonts w:ascii="Cambria Math" w:hAnsi="Cambria Math"/>
                        <w:b/>
                        <w:bCs/>
                        <w:i/>
                        <w:sz w:val="32"/>
                        <w:szCs w:val="32"/>
                      </w:rPr>
                    </m:ctrlPr>
                  </m:naryPr>
                  <m:sub>
                    <m:r>
                      <m:rPr>
                        <m:sty m:val="bi"/>
                      </m:rPr>
                      <w:rPr>
                        <w:rFonts w:ascii="Cambria Math" w:hAnsi="Cambria Math"/>
                        <w:sz w:val="32"/>
                        <w:szCs w:val="32"/>
                      </w:rPr>
                      <m:t>i=1</m:t>
                    </m:r>
                  </m:sub>
                  <m:sup>
                    <m:r>
                      <m:rPr>
                        <m:sty m:val="bi"/>
                      </m:rPr>
                      <w:rPr>
                        <w:rFonts w:ascii="Cambria Math" w:hAnsi="Cambria Math"/>
                        <w:sz w:val="32"/>
                        <w:szCs w:val="32"/>
                      </w:rPr>
                      <m:t>N</m:t>
                    </m:r>
                  </m:sup>
                  <m:e>
                    <m:sSub>
                      <m:sSubPr>
                        <m:ctrlPr>
                          <w:rPr>
                            <w:rFonts w:ascii="Cambria Math" w:hAnsi="Cambria Math"/>
                            <w:b/>
                            <w:bCs/>
                            <w:i/>
                            <w:sz w:val="32"/>
                            <w:szCs w:val="32"/>
                          </w:rPr>
                        </m:ctrlPr>
                      </m:sSubPr>
                      <m:e>
                        <m:r>
                          <m:rPr>
                            <m:sty m:val="bi"/>
                          </m:rPr>
                          <w:rPr>
                            <w:rFonts w:ascii="Cambria Math" w:hAnsi="Cambria Math"/>
                            <w:sz w:val="32"/>
                            <w:szCs w:val="32"/>
                          </w:rPr>
                          <m:t>o</m:t>
                        </m:r>
                      </m:e>
                      <m:sub>
                        <m:r>
                          <m:rPr>
                            <m:sty m:val="bi"/>
                          </m:rPr>
                          <w:rPr>
                            <w:rFonts w:ascii="Cambria Math" w:hAnsi="Cambria Math"/>
                            <w:sz w:val="32"/>
                            <w:szCs w:val="32"/>
                          </w:rPr>
                          <m:t>i</m:t>
                        </m:r>
                      </m:sub>
                    </m:sSub>
                  </m:e>
                </m:nary>
              </m:oMath>
            </m:oMathPara>
          </w:p>
        </w:tc>
        <w:tc>
          <w:tcPr>
            <w:tcW w:w="3021" w:type="dxa"/>
            <w:vAlign w:val="center"/>
          </w:tcPr>
          <w:p w14:paraId="714E2B9F" w14:textId="77777777" w:rsidR="00F34BD4" w:rsidRDefault="00F34BD4">
            <w:pPr>
              <w:spacing w:line="360" w:lineRule="auto"/>
              <w:jc w:val="right"/>
            </w:pPr>
            <w:r>
              <w:t>(1)</w:t>
            </w:r>
          </w:p>
        </w:tc>
      </w:tr>
    </w:tbl>
    <w:p w14:paraId="2BBEF09F" w14:textId="77777777" w:rsidR="00F34BD4" w:rsidRPr="00E3177A" w:rsidRDefault="00F34BD4" w:rsidP="00F34BD4">
      <w:pPr>
        <w:spacing w:after="0" w:line="360" w:lineRule="auto"/>
      </w:pPr>
      <w:r w:rsidRPr="00E3177A">
        <w:t>gdzie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25"/>
        <w:gridCol w:w="7791"/>
      </w:tblGrid>
      <w:tr w:rsidR="00F34BD4" w:rsidRPr="00BC0051" w14:paraId="4C674E98" w14:textId="77777777">
        <w:tc>
          <w:tcPr>
            <w:tcW w:w="846" w:type="dxa"/>
          </w:tcPr>
          <w:p w14:paraId="5721DD3A" w14:textId="77777777" w:rsidR="00F34BD4" w:rsidRPr="00BC0051" w:rsidRDefault="00E3653D">
            <w:pPr>
              <w:spacing w:line="360" w:lineRule="auto"/>
            </w:pPr>
            <m:oMathPara>
              <m:oMath>
                <m:sSub>
                  <m:sSubPr>
                    <m:ctrlPr>
                      <w:rPr>
                        <w:rFonts w:ascii="Cambria Math" w:hAnsi="Cambria Math"/>
                        <w:i/>
                      </w:rPr>
                    </m:ctrlPr>
                  </m:sSubPr>
                  <m:e>
                    <m:r>
                      <w:rPr>
                        <w:rFonts w:ascii="Cambria Math" w:hAnsi="Cambria Math"/>
                      </w:rPr>
                      <m:t>O</m:t>
                    </m:r>
                  </m:e>
                  <m:sub>
                    <m:r>
                      <w:rPr>
                        <w:rFonts w:ascii="Cambria Math" w:hAnsi="Cambria Math"/>
                      </w:rPr>
                      <m:t>FTiR</m:t>
                    </m:r>
                  </m:sub>
                </m:sSub>
              </m:oMath>
            </m:oMathPara>
          </w:p>
        </w:tc>
        <w:tc>
          <w:tcPr>
            <w:tcW w:w="425" w:type="dxa"/>
          </w:tcPr>
          <w:p w14:paraId="4930CF43" w14:textId="2531C9C3" w:rsidR="00F34BD4" w:rsidRPr="00BC0051" w:rsidRDefault="00291573">
            <w:pPr>
              <w:spacing w:line="360" w:lineRule="auto"/>
            </w:pPr>
            <w:r>
              <w:t>–</w:t>
            </w:r>
          </w:p>
        </w:tc>
        <w:tc>
          <w:tcPr>
            <w:tcW w:w="7791" w:type="dxa"/>
          </w:tcPr>
          <w:p w14:paraId="708C2B55" w14:textId="0E04CF59" w:rsidR="00F34BD4" w:rsidRPr="00BC0051" w:rsidRDefault="00F34BD4" w:rsidP="002B484E">
            <w:r>
              <w:t>średnioroczne oszczędności energii końcowej [ktoe/rok]</w:t>
            </w:r>
          </w:p>
        </w:tc>
      </w:tr>
      <w:tr w:rsidR="00F34BD4" w:rsidRPr="00BC0051" w14:paraId="7617D09F" w14:textId="77777777" w:rsidTr="002B484E">
        <w:trPr>
          <w:trHeight w:val="585"/>
        </w:trPr>
        <w:tc>
          <w:tcPr>
            <w:tcW w:w="846" w:type="dxa"/>
          </w:tcPr>
          <w:p w14:paraId="323EFAA8" w14:textId="77777777" w:rsidR="00F34BD4" w:rsidRPr="00BC0051" w:rsidRDefault="00E3653D">
            <w:pPr>
              <w:spacing w:line="360" w:lineRule="auto"/>
            </w:pPr>
            <m:oMathPara>
              <m:oMath>
                <m:sSub>
                  <m:sSubPr>
                    <m:ctrlPr>
                      <w:rPr>
                        <w:rFonts w:ascii="Cambria Math" w:hAnsi="Cambria Math"/>
                        <w:i/>
                      </w:rPr>
                    </m:ctrlPr>
                  </m:sSubPr>
                  <m:e>
                    <m:r>
                      <w:rPr>
                        <w:rFonts w:ascii="Cambria Math" w:hAnsi="Cambria Math"/>
                      </w:rPr>
                      <m:t>o</m:t>
                    </m:r>
                  </m:e>
                  <m:sub>
                    <m:r>
                      <w:rPr>
                        <w:rFonts w:ascii="Cambria Math" w:hAnsi="Cambria Math"/>
                      </w:rPr>
                      <m:t>i</m:t>
                    </m:r>
                  </m:sub>
                </m:sSub>
              </m:oMath>
            </m:oMathPara>
          </w:p>
        </w:tc>
        <w:tc>
          <w:tcPr>
            <w:tcW w:w="425" w:type="dxa"/>
          </w:tcPr>
          <w:p w14:paraId="3522C5EA" w14:textId="3F2F2CB7" w:rsidR="00F34BD4" w:rsidRPr="00BC0051" w:rsidRDefault="00291573">
            <w:pPr>
              <w:spacing w:line="360" w:lineRule="auto"/>
            </w:pPr>
            <w:r>
              <w:t>–</w:t>
            </w:r>
          </w:p>
        </w:tc>
        <w:tc>
          <w:tcPr>
            <w:tcW w:w="7791" w:type="dxa"/>
          </w:tcPr>
          <w:p w14:paraId="120F7568" w14:textId="69934665" w:rsidR="00F34BD4" w:rsidRPr="00BC0051" w:rsidRDefault="00F34BD4" w:rsidP="002B484E">
            <w:r>
              <w:t>oszczędność energii wynikająca z audytu energetycznego dla każdego przeprowadzonego przedsięwzięcia termomodernizacyjnego [toe/rok]</w:t>
            </w:r>
          </w:p>
        </w:tc>
      </w:tr>
      <w:tr w:rsidR="00F34BD4" w:rsidRPr="00BC0051" w14:paraId="570EE8FC" w14:textId="77777777">
        <w:tc>
          <w:tcPr>
            <w:tcW w:w="846" w:type="dxa"/>
          </w:tcPr>
          <w:p w14:paraId="0AAB6CA9" w14:textId="77777777" w:rsidR="00F34BD4" w:rsidRPr="00BC0051" w:rsidRDefault="00F34BD4">
            <w:pPr>
              <w:spacing w:line="360" w:lineRule="auto"/>
            </w:pPr>
            <m:oMathPara>
              <m:oMath>
                <m:r>
                  <w:rPr>
                    <w:rFonts w:ascii="Cambria Math" w:hAnsi="Cambria Math"/>
                  </w:rPr>
                  <m:t>N</m:t>
                </m:r>
              </m:oMath>
            </m:oMathPara>
          </w:p>
        </w:tc>
        <w:tc>
          <w:tcPr>
            <w:tcW w:w="425" w:type="dxa"/>
          </w:tcPr>
          <w:p w14:paraId="6D743D79" w14:textId="769ECC1A" w:rsidR="00F34BD4" w:rsidRPr="00BC0051" w:rsidRDefault="00291573">
            <w:pPr>
              <w:spacing w:line="360" w:lineRule="auto"/>
            </w:pPr>
            <w:r>
              <w:t>–</w:t>
            </w:r>
          </w:p>
        </w:tc>
        <w:tc>
          <w:tcPr>
            <w:tcW w:w="7791" w:type="dxa"/>
          </w:tcPr>
          <w:p w14:paraId="1F673FFF" w14:textId="7AFA1067" w:rsidR="00F34BD4" w:rsidRPr="00BC0051" w:rsidRDefault="00291573" w:rsidP="002B484E">
            <w:r>
              <w:t xml:space="preserve">liczba </w:t>
            </w:r>
            <w:r w:rsidR="00F34BD4">
              <w:t>inwestycji</w:t>
            </w:r>
          </w:p>
        </w:tc>
      </w:tr>
    </w:tbl>
    <w:p w14:paraId="75D6E0F8" w14:textId="77777777" w:rsidR="00F34BD4" w:rsidRPr="008A2E4D" w:rsidRDefault="00F34BD4" w:rsidP="002B484E">
      <w:pPr>
        <w:pStyle w:val="zasada"/>
      </w:pPr>
      <w:r w:rsidRPr="008A2E4D">
        <w:t>Zasada istotności</w:t>
      </w:r>
    </w:p>
    <w:p w14:paraId="4F8170AC" w14:textId="27F69FC1" w:rsidR="00F34BD4" w:rsidRPr="00E3177A" w:rsidRDefault="00F34BD4" w:rsidP="00373FD3">
      <w:r w:rsidRPr="00E3177A">
        <w:t>Możliwość uzyskania premia termomodernizacyjnej motywuje inwestora do podjęcia decyzji o realizacji przedsięwzięcia skutkującego oszczędnością energii, uzyskaną przy jak najmniejszym nakładzie inwestycyjnym. Warunek minimalnej wartości SPBT (</w:t>
      </w:r>
      <w:r w:rsidR="001D4A88">
        <w:t xml:space="preserve">ang. </w:t>
      </w:r>
      <w:r w:rsidRPr="001D4A88">
        <w:rPr>
          <w:i/>
          <w:iCs/>
        </w:rPr>
        <w:t>Simply Pay Back Time</w:t>
      </w:r>
      <w:r w:rsidRPr="00E3177A">
        <w:t>) dla usprawnienia termomodernizacyjnego jest wpisany w metodykę wykonania audytu energetycznego.</w:t>
      </w:r>
    </w:p>
    <w:p w14:paraId="33CC4396" w14:textId="6A894AD0" w:rsidR="00F34BD4" w:rsidRPr="00373FD3" w:rsidRDefault="00F34BD4" w:rsidP="00373FD3">
      <w:r w:rsidRPr="00373FD3">
        <w:lastRenderedPageBreak/>
        <w:t>Oszczędności energii finalnej uzyskane w ramach tego środka alternatywnego są istotne dla osiągnięcia krajowego celu w zakresie oszczędności energii, określonego w art. 8 dyrektywy. Szczególne znaczenie należy przypisać efektowi skali. W ramach tego środka alternatywnego uzyskuje się istotne oszczędności energii finalnej podczas realizacji wielu przedsięwzięć służących poprawie efektywności energetycznej przynoszących stosunkowo niewielką ilość oszczędności energii.</w:t>
      </w:r>
    </w:p>
    <w:p w14:paraId="3E49A7CF" w14:textId="77777777" w:rsidR="00F34BD4" w:rsidRPr="008A2E4D" w:rsidRDefault="00F34BD4" w:rsidP="002B484E">
      <w:pPr>
        <w:pStyle w:val="zasada"/>
      </w:pPr>
      <w:r w:rsidRPr="008A2E4D">
        <w:t xml:space="preserve">Zasada </w:t>
      </w:r>
      <w:r w:rsidRPr="002B484E">
        <w:t>dodatkowości</w:t>
      </w:r>
    </w:p>
    <w:p w14:paraId="2AB793A1" w14:textId="221B7400" w:rsidR="00F34BD4" w:rsidRDefault="00F34BD4" w:rsidP="00373FD3">
      <w:r w:rsidRPr="008D7F37">
        <w:t xml:space="preserve">Zgodnie z pkt. 2 lit </w:t>
      </w:r>
      <w:r>
        <w:t>c</w:t>
      </w:r>
      <w:r w:rsidRPr="008D7F37">
        <w:t xml:space="preserve"> Załącznika V oszczędności związane z renowacją istniejących budynków mogą być zaliczone jako oszczędność energii na użytek art. </w:t>
      </w:r>
      <w:r>
        <w:t>8</w:t>
      </w:r>
      <w:r w:rsidRPr="008D7F37">
        <w:t xml:space="preserve"> ust. 1 pod warunkiem spełnienia kryterium istotności</w:t>
      </w:r>
      <w:r>
        <w:t xml:space="preserve">. </w:t>
      </w:r>
      <w:r w:rsidRPr="008D7F37">
        <w:t>Co więcej, audyt energetyczny wskazuje przede wszystkim na celowość podejmowania w pierwszej kolejności racjonalnych działań poprawy charakterystyki energetycznej budynku w celu zmniejszenia zapotrzebowania na energię do ogrzewania budynku i przygotowania ciepłej wody użytkowej. Cel ten jest osiągany poprzez dodatkową izolację cieplną przegród zewnętrznych budynku, likwidację mostków cieplnych, ograniczenie strat na wentylację, uszczelnianie powłok oddzielających budynek od otoczenia zewnętrznego, częściową lub całkowitą wymianę stolarki okiennej lub drzwiowej. Inwestor, stymulowany możliwością uzyskania dofinasowanie ze środków programu, realizuje te zadania w pierwszej kolejności.</w:t>
      </w:r>
      <w:r w:rsidR="00767FC5">
        <w:t xml:space="preserve"> </w:t>
      </w:r>
      <w:r>
        <w:t>W</w:t>
      </w:r>
      <w:r w:rsidRPr="00E3177A">
        <w:t xml:space="preserve"> wyniku realizacji przedsięwzięcia termomodernizacyjnego, w jego zakresie, muszą być spełnione minimalne aktualne standardy dla nowego budynku o niemal zerowym zużyciu energii, zdefiniowane i</w:t>
      </w:r>
      <w:r w:rsidR="00F11A8E">
        <w:t> </w:t>
      </w:r>
      <w:r w:rsidRPr="00E3177A">
        <w:t xml:space="preserve">określone w rozporządzeniu Ministra Infrastruktury z dnia 12 kwietnia 2002 r. </w:t>
      </w:r>
      <w:r w:rsidRPr="00373FD3">
        <w:t>w sprawie warunków technicznych, jakim powinny odpowiadać budynki i ich usytuowanie</w:t>
      </w:r>
      <w:r w:rsidRPr="00E3177A">
        <w:t xml:space="preserve">. </w:t>
      </w:r>
    </w:p>
    <w:p w14:paraId="5FA762C0" w14:textId="77777777" w:rsidR="00F34BD4" w:rsidRPr="00AB73D9" w:rsidRDefault="00F34BD4" w:rsidP="00FD4F7A">
      <w:pPr>
        <w:pStyle w:val="Nagwek4"/>
      </w:pPr>
      <w:r w:rsidRPr="00AB73D9">
        <w:t>Informacja o sposobie postępowania z ewentualnym dublowaniem się środków i indywidualnych działań w celu unikania podwójnego zliczania oszczędności energii</w:t>
      </w:r>
    </w:p>
    <w:p w14:paraId="338442BB" w14:textId="77777777" w:rsidR="00F34BD4" w:rsidRDefault="00F34BD4" w:rsidP="00373FD3">
      <w:r w:rsidRPr="00DE2274">
        <w:t>Z tytułu realizacji przedsięwzięcia termomodernizacyjnego inwestorowi przysługuje premia na spłatę części kredytu zaciągniętego na przedsięwzięcie termomodernizacyjne, jeżeli z audytu energetycznego wynika, że w wyniku przedsięwzięcia termomodernizacyjnego nastąpi zmniejszenie rocznych strat energii</w:t>
      </w:r>
      <w:r>
        <w:t>,</w:t>
      </w:r>
      <w:r w:rsidRPr="00DE2274">
        <w:t xml:space="preserve"> co najmniej o 25%. Kredyt nie mógł i nie może być przeznaczony na sfinansowanie prac, na które uzyskano wsparcie z innych środków publicznych.</w:t>
      </w:r>
    </w:p>
    <w:p w14:paraId="7400D7BF" w14:textId="179A25E5" w:rsidR="00F34BD4" w:rsidRDefault="00F34BD4" w:rsidP="00373FD3">
      <w:r>
        <w:t>C</w:t>
      </w:r>
      <w:r w:rsidRPr="00AB73D9">
        <w:t xml:space="preserve">elem zliczania </w:t>
      </w:r>
      <w:r>
        <w:t xml:space="preserve">oszczędności wynikających z tzw. </w:t>
      </w:r>
      <w:r w:rsidRPr="00AB73D9">
        <w:t>środków alternatywnych, powołany został Centralny Rejestr Oszczędności Energii Finalnej</w:t>
      </w:r>
      <w:bookmarkStart w:id="16" w:name="_Ref135216444"/>
      <w:r w:rsidRPr="004A5C88">
        <w:rPr>
          <w:vertAlign w:val="superscript"/>
        </w:rPr>
        <w:footnoteReference w:id="8"/>
      </w:r>
      <w:bookmarkEnd w:id="16"/>
      <w:r w:rsidRPr="00AB73D9">
        <w:t xml:space="preserve">, w którym raportowane są wszystkie przedsięwzięcia realizowane w ramach </w:t>
      </w:r>
      <w:r>
        <w:t>programu TERMO</w:t>
      </w:r>
      <w:r w:rsidRPr="00AB73D9">
        <w:t xml:space="preserve">. </w:t>
      </w:r>
      <w:r>
        <w:t xml:space="preserve">BGK jako instytucja </w:t>
      </w:r>
      <w:r w:rsidRPr="00EF4FC0">
        <w:t>podpisując</w:t>
      </w:r>
      <w:r>
        <w:t>a</w:t>
      </w:r>
      <w:r w:rsidRPr="00EF4FC0">
        <w:t xml:space="preserve"> umow</w:t>
      </w:r>
      <w:r>
        <w:t>ę</w:t>
      </w:r>
      <w:r w:rsidRPr="00EF4FC0">
        <w:t xml:space="preserve"> o dofinansowanie z odbiorcą końcowym </w:t>
      </w:r>
      <w:r>
        <w:t>jest</w:t>
      </w:r>
      <w:r w:rsidRPr="00EF4FC0">
        <w:t xml:space="preserve"> zobowiązane do przekazania jednostkowych danych na temat przedsięwzięcia do 31</w:t>
      </w:r>
      <w:r w:rsidR="0011179A">
        <w:t> </w:t>
      </w:r>
      <w:r w:rsidRPr="00EF4FC0">
        <w:t xml:space="preserve">marca każdego </w:t>
      </w:r>
      <w:r w:rsidR="0011179A">
        <w:t>roku</w:t>
      </w:r>
      <w:r w:rsidRPr="00EF4FC0">
        <w:t xml:space="preserve"> po zakończonej inwestycji</w:t>
      </w:r>
      <w:r>
        <w:t xml:space="preserve">. </w:t>
      </w:r>
      <w:r w:rsidRPr="00EF4FC0">
        <w:t>System następnie weryfikuje czy nie występuje tzw. podwójne zliczania</w:t>
      </w:r>
      <w:r>
        <w:t xml:space="preserve"> dla danej lokalizacji przedsięwzięcia</w:t>
      </w:r>
      <w:r w:rsidRPr="00EF4FC0">
        <w:t xml:space="preserve">. </w:t>
      </w:r>
    </w:p>
    <w:p w14:paraId="5F61B617" w14:textId="7BC3F27B" w:rsidR="00F34BD4" w:rsidRPr="00684624" w:rsidRDefault="00F34BD4" w:rsidP="00FD4F7A">
      <w:pPr>
        <w:pStyle w:val="Nagwek4"/>
      </w:pPr>
      <w:r w:rsidRPr="00684624">
        <w:t>Oszczędność</w:t>
      </w:r>
      <w:r>
        <w:t xml:space="preserve"> końcowego zużycia</w:t>
      </w:r>
      <w:r w:rsidRPr="00684624">
        <w:t xml:space="preserve"> w okresie 2021</w:t>
      </w:r>
      <w:r w:rsidR="004B0F0A">
        <w:t>–20</w:t>
      </w:r>
      <w:r w:rsidRPr="00684624">
        <w:t>30</w:t>
      </w:r>
    </w:p>
    <w:p w14:paraId="42938C5D" w14:textId="301375D9" w:rsidR="00AC3E6C" w:rsidRDefault="004A5C88" w:rsidP="00373FD3">
      <w:r>
        <w:fldChar w:fldCharType="begin"/>
      </w:r>
      <w:r>
        <w:instrText xml:space="preserve"> REF _Ref173760168 \h </w:instrText>
      </w:r>
      <w:r>
        <w:fldChar w:fldCharType="separate"/>
      </w:r>
      <w:r w:rsidR="00CC735D">
        <w:t xml:space="preserve">Tabela </w:t>
      </w:r>
      <w:r w:rsidR="00CC735D">
        <w:rPr>
          <w:noProof/>
        </w:rPr>
        <w:t>2</w:t>
      </w:r>
      <w:r>
        <w:fldChar w:fldCharType="end"/>
      </w:r>
      <w:r>
        <w:t xml:space="preserve"> </w:t>
      </w:r>
      <w:r w:rsidR="00F34BD4" w:rsidRPr="00684624">
        <w:t>przedstawi</w:t>
      </w:r>
      <w:r>
        <w:t>a</w:t>
      </w:r>
      <w:r w:rsidR="00F34BD4" w:rsidRPr="00684624">
        <w:t xml:space="preserve"> </w:t>
      </w:r>
      <w:r w:rsidR="00F34BD4">
        <w:t xml:space="preserve">roczne i </w:t>
      </w:r>
      <w:r w:rsidR="00F34BD4" w:rsidRPr="00684624">
        <w:t>skumulowane oszczędności energii finalnej w okresie 2021</w:t>
      </w:r>
      <w:r w:rsidR="004B0F0A">
        <w:t>–</w:t>
      </w:r>
      <w:r w:rsidR="00F34BD4" w:rsidRPr="00684624">
        <w:t>2030</w:t>
      </w:r>
      <w:r w:rsidR="00F34BD4">
        <w:t xml:space="preserve">. Szacuje się, że program TERMO przyniesie 1 175 ktoe całkowitych skumulowanych oszczędności energii finalnej do 2030 </w:t>
      </w:r>
      <w:r w:rsidR="0011179A">
        <w:t>r.</w:t>
      </w:r>
    </w:p>
    <w:p w14:paraId="4E1A3424" w14:textId="1FD379CB" w:rsidR="00F34BD4" w:rsidRDefault="00AC3E6C" w:rsidP="00AC3E6C">
      <w:pPr>
        <w:jc w:val="left"/>
      </w:pPr>
      <w:r>
        <w:br w:type="page"/>
      </w:r>
    </w:p>
    <w:p w14:paraId="4C1F9597" w14:textId="5901E315" w:rsidR="004A5C88" w:rsidRDefault="004A5C88" w:rsidP="004A5C88">
      <w:pPr>
        <w:pStyle w:val="Legenda"/>
        <w:keepNext/>
      </w:pPr>
      <w:bookmarkStart w:id="17" w:name="_Ref173760168"/>
      <w:r>
        <w:lastRenderedPageBreak/>
        <w:t xml:space="preserve">Tabela </w:t>
      </w:r>
      <w:fldSimple w:instr=" SEQ Tabela \* ARABIC ">
        <w:r w:rsidR="00CC735D">
          <w:rPr>
            <w:noProof/>
          </w:rPr>
          <w:t>2</w:t>
        </w:r>
      </w:fldSimple>
      <w:bookmarkEnd w:id="17"/>
      <w:r>
        <w:t xml:space="preserve">. </w:t>
      </w:r>
      <w:r>
        <w:rPr>
          <w:rStyle w:val="rynqvb"/>
        </w:rPr>
        <w:t>Fundusz Termomodernizacji i Remontów: o</w:t>
      </w:r>
      <w:r w:rsidRPr="00E35197">
        <w:rPr>
          <w:rStyle w:val="rynqvb"/>
          <w:bCs/>
        </w:rPr>
        <w:t>szczędności</w:t>
      </w:r>
      <w:r>
        <w:rPr>
          <w:rStyle w:val="rynqvb"/>
          <w:bCs/>
        </w:rPr>
        <w:t xml:space="preserve"> końcowego zużycia</w:t>
      </w:r>
      <w:r w:rsidRPr="00E35197">
        <w:rPr>
          <w:rStyle w:val="rynqvb"/>
          <w:bCs/>
        </w:rPr>
        <w:t xml:space="preserve"> energii osiągnię</w:t>
      </w:r>
      <w:r>
        <w:rPr>
          <w:rStyle w:val="rynqvb"/>
          <w:bCs/>
        </w:rPr>
        <w:t>te w 2021 r. oraz szacunkowe oszczędności</w:t>
      </w:r>
      <w:r w:rsidRPr="00E35197">
        <w:rPr>
          <w:rStyle w:val="rynqvb"/>
          <w:bCs/>
        </w:rPr>
        <w:t xml:space="preserve"> </w:t>
      </w:r>
      <w:r>
        <w:rPr>
          <w:rStyle w:val="rynqvb"/>
          <w:bCs/>
        </w:rPr>
        <w:t xml:space="preserve">do osiągnięcia w </w:t>
      </w:r>
      <w:r w:rsidRPr="00E35197">
        <w:rPr>
          <w:rStyle w:val="rynqvb"/>
          <w:bCs/>
        </w:rPr>
        <w:t>latach 202</w:t>
      </w:r>
      <w:r>
        <w:rPr>
          <w:rStyle w:val="rynqvb"/>
          <w:bCs/>
        </w:rPr>
        <w:t>2</w:t>
      </w:r>
      <w:r w:rsidR="004B0F0A">
        <w:rPr>
          <w:rStyle w:val="rynqvb"/>
          <w:bCs/>
        </w:rPr>
        <w:t>–</w:t>
      </w:r>
      <w:r w:rsidRPr="00E35197">
        <w:rPr>
          <w:rStyle w:val="rynqvb"/>
          <w:bCs/>
        </w:rPr>
        <w:t>2030– roczne i skumulowane</w:t>
      </w:r>
      <w:r>
        <w:rPr>
          <w:rStyle w:val="rynqvb"/>
          <w:bCs/>
        </w:rPr>
        <w:t>.</w:t>
      </w:r>
    </w:p>
    <w:tbl>
      <w:tblPr>
        <w:tblpPr w:leftFromText="141" w:rightFromText="141" w:vertAnchor="text" w:horzAnchor="margin" w:tblpY="196"/>
        <w:tblW w:w="5031" w:type="pct"/>
        <w:tblCellMar>
          <w:left w:w="70" w:type="dxa"/>
          <w:right w:w="70" w:type="dxa"/>
        </w:tblCellMar>
        <w:tblLook w:val="04A0" w:firstRow="1" w:lastRow="0" w:firstColumn="1" w:lastColumn="0" w:noHBand="0" w:noVBand="1"/>
      </w:tblPr>
      <w:tblGrid>
        <w:gridCol w:w="1382"/>
        <w:gridCol w:w="620"/>
        <w:gridCol w:w="618"/>
        <w:gridCol w:w="618"/>
        <w:gridCol w:w="618"/>
        <w:gridCol w:w="618"/>
        <w:gridCol w:w="618"/>
        <w:gridCol w:w="617"/>
        <w:gridCol w:w="618"/>
        <w:gridCol w:w="618"/>
        <w:gridCol w:w="618"/>
        <w:gridCol w:w="1555"/>
      </w:tblGrid>
      <w:tr w:rsidR="00F34BD4" w:rsidRPr="008F173A" w14:paraId="5F1F5AF4" w14:textId="77777777" w:rsidTr="004A5C88">
        <w:trPr>
          <w:trHeight w:val="299"/>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47647" w14:textId="77777777" w:rsidR="00F34BD4" w:rsidRPr="00D94B5E" w:rsidRDefault="00F34BD4">
            <w:pPr>
              <w:spacing w:after="0"/>
              <w:jc w:val="center"/>
              <w:rPr>
                <w:color w:val="000000"/>
                <w:szCs w:val="20"/>
                <w:lang w:eastAsia="pl-PL"/>
              </w:rPr>
            </w:pPr>
            <w:r w:rsidRPr="00D94B5E">
              <w:rPr>
                <w:color w:val="000000"/>
                <w:szCs w:val="20"/>
                <w:lang w:eastAsia="pl-PL"/>
              </w:rPr>
              <w:t>Rok</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D2A3B0B" w14:textId="77777777" w:rsidR="00F34BD4" w:rsidRPr="00D94B5E" w:rsidRDefault="00F34BD4">
            <w:pPr>
              <w:spacing w:after="0"/>
              <w:jc w:val="center"/>
              <w:rPr>
                <w:color w:val="000000"/>
                <w:szCs w:val="20"/>
                <w:lang w:eastAsia="pl-PL"/>
              </w:rPr>
            </w:pPr>
            <w:r w:rsidRPr="00D94B5E">
              <w:rPr>
                <w:color w:val="000000"/>
                <w:szCs w:val="20"/>
                <w:lang w:eastAsia="pl-PL"/>
              </w:rPr>
              <w:t>2021</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2827BFC8" w14:textId="77777777" w:rsidR="00F34BD4" w:rsidRPr="00D94B5E" w:rsidRDefault="00F34BD4">
            <w:pPr>
              <w:spacing w:after="0"/>
              <w:jc w:val="center"/>
              <w:rPr>
                <w:color w:val="000000"/>
                <w:szCs w:val="20"/>
                <w:lang w:eastAsia="pl-PL"/>
              </w:rPr>
            </w:pPr>
            <w:r w:rsidRPr="00D94B5E">
              <w:rPr>
                <w:color w:val="000000"/>
                <w:szCs w:val="20"/>
                <w:lang w:eastAsia="pl-PL"/>
              </w:rPr>
              <w:t>2022</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17F52AA2" w14:textId="77777777" w:rsidR="00F34BD4" w:rsidRPr="00D94B5E" w:rsidRDefault="00F34BD4">
            <w:pPr>
              <w:spacing w:after="0"/>
              <w:jc w:val="center"/>
              <w:rPr>
                <w:color w:val="000000"/>
                <w:szCs w:val="20"/>
                <w:lang w:eastAsia="pl-PL"/>
              </w:rPr>
            </w:pPr>
            <w:r w:rsidRPr="00D94B5E">
              <w:rPr>
                <w:color w:val="000000"/>
                <w:szCs w:val="20"/>
                <w:lang w:eastAsia="pl-PL"/>
              </w:rPr>
              <w:t>2023</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33714D90" w14:textId="77777777" w:rsidR="00F34BD4" w:rsidRPr="00D94B5E" w:rsidRDefault="00F34BD4">
            <w:pPr>
              <w:spacing w:after="0"/>
              <w:jc w:val="center"/>
              <w:rPr>
                <w:color w:val="000000"/>
                <w:szCs w:val="20"/>
                <w:lang w:eastAsia="pl-PL"/>
              </w:rPr>
            </w:pPr>
            <w:r w:rsidRPr="00D94B5E">
              <w:rPr>
                <w:color w:val="000000"/>
                <w:szCs w:val="20"/>
                <w:lang w:eastAsia="pl-PL"/>
              </w:rPr>
              <w:t>2024</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1CB95672" w14:textId="77777777" w:rsidR="00F34BD4" w:rsidRPr="00D94B5E" w:rsidRDefault="00F34BD4">
            <w:pPr>
              <w:spacing w:after="0"/>
              <w:jc w:val="center"/>
              <w:rPr>
                <w:color w:val="000000"/>
                <w:szCs w:val="20"/>
                <w:lang w:eastAsia="pl-PL"/>
              </w:rPr>
            </w:pPr>
            <w:r w:rsidRPr="00D94B5E">
              <w:rPr>
                <w:color w:val="000000"/>
                <w:szCs w:val="20"/>
                <w:lang w:eastAsia="pl-PL"/>
              </w:rPr>
              <w:t>2025</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0D3611AF" w14:textId="77777777" w:rsidR="00F34BD4" w:rsidRPr="00D94B5E" w:rsidRDefault="00F34BD4">
            <w:pPr>
              <w:spacing w:after="0"/>
              <w:jc w:val="center"/>
              <w:rPr>
                <w:color w:val="000000"/>
                <w:szCs w:val="20"/>
                <w:lang w:eastAsia="pl-PL"/>
              </w:rPr>
            </w:pPr>
            <w:r w:rsidRPr="00D94B5E">
              <w:rPr>
                <w:color w:val="000000"/>
                <w:szCs w:val="20"/>
                <w:lang w:eastAsia="pl-PL"/>
              </w:rPr>
              <w:t>2026</w:t>
            </w:r>
          </w:p>
        </w:tc>
        <w:tc>
          <w:tcPr>
            <w:tcW w:w="617" w:type="dxa"/>
            <w:tcBorders>
              <w:top w:val="single" w:sz="4" w:space="0" w:color="auto"/>
              <w:left w:val="single" w:sz="4" w:space="0" w:color="auto"/>
              <w:bottom w:val="single" w:sz="4" w:space="0" w:color="auto"/>
              <w:right w:val="single" w:sz="4" w:space="0" w:color="auto"/>
            </w:tcBorders>
            <w:vAlign w:val="center"/>
          </w:tcPr>
          <w:p w14:paraId="6E5117E0" w14:textId="77777777" w:rsidR="00F34BD4" w:rsidRPr="00D94B5E" w:rsidRDefault="00F34BD4">
            <w:pPr>
              <w:spacing w:after="0"/>
              <w:jc w:val="center"/>
              <w:rPr>
                <w:color w:val="000000"/>
                <w:szCs w:val="20"/>
                <w:lang w:eastAsia="pl-PL"/>
              </w:rPr>
            </w:pPr>
            <w:r w:rsidRPr="00D94B5E">
              <w:rPr>
                <w:color w:val="000000"/>
                <w:szCs w:val="20"/>
                <w:lang w:eastAsia="pl-PL"/>
              </w:rPr>
              <w:t>2027</w:t>
            </w:r>
          </w:p>
        </w:tc>
        <w:tc>
          <w:tcPr>
            <w:tcW w:w="618" w:type="dxa"/>
            <w:tcBorders>
              <w:top w:val="single" w:sz="4" w:space="0" w:color="auto"/>
              <w:left w:val="single" w:sz="4" w:space="0" w:color="auto"/>
              <w:bottom w:val="single" w:sz="4" w:space="0" w:color="auto"/>
              <w:right w:val="single" w:sz="4" w:space="0" w:color="auto"/>
            </w:tcBorders>
            <w:vAlign w:val="center"/>
          </w:tcPr>
          <w:p w14:paraId="380DDA25" w14:textId="77777777" w:rsidR="00F34BD4" w:rsidRPr="00D94B5E" w:rsidRDefault="00F34BD4">
            <w:pPr>
              <w:spacing w:after="0"/>
              <w:jc w:val="center"/>
              <w:rPr>
                <w:color w:val="000000"/>
                <w:szCs w:val="20"/>
                <w:lang w:eastAsia="pl-PL"/>
              </w:rPr>
            </w:pPr>
            <w:r w:rsidRPr="00D94B5E">
              <w:rPr>
                <w:color w:val="000000"/>
                <w:szCs w:val="20"/>
                <w:lang w:eastAsia="pl-PL"/>
              </w:rPr>
              <w:t>2028</w:t>
            </w:r>
          </w:p>
        </w:tc>
        <w:tc>
          <w:tcPr>
            <w:tcW w:w="618" w:type="dxa"/>
            <w:tcBorders>
              <w:top w:val="single" w:sz="4" w:space="0" w:color="auto"/>
              <w:left w:val="single" w:sz="4" w:space="0" w:color="auto"/>
              <w:bottom w:val="single" w:sz="4" w:space="0" w:color="auto"/>
              <w:right w:val="single" w:sz="4" w:space="0" w:color="auto"/>
            </w:tcBorders>
            <w:vAlign w:val="center"/>
          </w:tcPr>
          <w:p w14:paraId="06769B55" w14:textId="77777777" w:rsidR="00F34BD4" w:rsidRPr="00D94B5E" w:rsidRDefault="00F34BD4">
            <w:pPr>
              <w:spacing w:after="0"/>
              <w:jc w:val="center"/>
              <w:rPr>
                <w:color w:val="000000"/>
                <w:szCs w:val="20"/>
                <w:lang w:eastAsia="pl-PL"/>
              </w:rPr>
            </w:pPr>
            <w:r w:rsidRPr="00D94B5E">
              <w:rPr>
                <w:color w:val="000000"/>
                <w:szCs w:val="20"/>
                <w:lang w:eastAsia="pl-PL"/>
              </w:rPr>
              <w:t>2029</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1AFD9" w14:textId="77777777" w:rsidR="00F34BD4" w:rsidRPr="00D94B5E" w:rsidRDefault="00F34BD4">
            <w:pPr>
              <w:spacing w:after="0"/>
              <w:jc w:val="center"/>
              <w:rPr>
                <w:color w:val="000000"/>
                <w:szCs w:val="20"/>
                <w:lang w:eastAsia="pl-PL"/>
              </w:rPr>
            </w:pPr>
            <w:r w:rsidRPr="00D94B5E">
              <w:rPr>
                <w:color w:val="000000"/>
                <w:szCs w:val="20"/>
                <w:lang w:eastAsia="pl-PL"/>
              </w:rPr>
              <w:t>2030</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3D281" w14:textId="77777777" w:rsidR="00F34BD4" w:rsidRPr="00D94B5E" w:rsidRDefault="00F34BD4">
            <w:pPr>
              <w:spacing w:after="0"/>
              <w:jc w:val="center"/>
              <w:rPr>
                <w:color w:val="000000"/>
                <w:szCs w:val="20"/>
                <w:lang w:eastAsia="pl-PL"/>
              </w:rPr>
            </w:pPr>
          </w:p>
        </w:tc>
      </w:tr>
      <w:tr w:rsidR="00F34BD4" w:rsidRPr="008F173A" w14:paraId="1EAE2DA9" w14:textId="77777777" w:rsidTr="004A5C88">
        <w:trPr>
          <w:trHeight w:val="299"/>
        </w:trPr>
        <w:tc>
          <w:tcPr>
            <w:tcW w:w="1382" w:type="dxa"/>
            <w:vMerge w:val="restart"/>
            <w:tcBorders>
              <w:top w:val="nil"/>
              <w:left w:val="single" w:sz="4" w:space="0" w:color="auto"/>
              <w:right w:val="single" w:sz="4" w:space="0" w:color="auto"/>
            </w:tcBorders>
            <w:shd w:val="clear" w:color="auto" w:fill="auto"/>
            <w:vAlign w:val="center"/>
            <w:hideMark/>
          </w:tcPr>
          <w:p w14:paraId="50F13668" w14:textId="77777777" w:rsidR="00F34BD4" w:rsidRPr="00D94B5E" w:rsidRDefault="00F34BD4">
            <w:pPr>
              <w:spacing w:after="0"/>
              <w:jc w:val="center"/>
              <w:rPr>
                <w:color w:val="000000"/>
                <w:szCs w:val="20"/>
                <w:lang w:eastAsia="pl-PL"/>
              </w:rPr>
            </w:pPr>
            <w:r w:rsidRPr="00D94B5E">
              <w:rPr>
                <w:color w:val="000000"/>
                <w:szCs w:val="20"/>
                <w:lang w:eastAsia="pl-PL"/>
              </w:rPr>
              <w:t>Oszczędności końcowego zużycia energii (ktoe)</w:t>
            </w:r>
            <w:r w:rsidRPr="00D94B5E" w:rsidDel="008E67E9">
              <w:rPr>
                <w:color w:val="000000"/>
                <w:szCs w:val="20"/>
                <w:lang w:eastAsia="pl-PL"/>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C10DFF"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1942BDCA"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3077B32B"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7B2148B7"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46EF9B5A"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7127A3BC"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7" w:type="dxa"/>
            <w:tcBorders>
              <w:top w:val="single" w:sz="4" w:space="0" w:color="auto"/>
              <w:left w:val="single" w:sz="4" w:space="0" w:color="auto"/>
              <w:bottom w:val="single" w:sz="4" w:space="0" w:color="auto"/>
              <w:right w:val="single" w:sz="4" w:space="0" w:color="auto"/>
            </w:tcBorders>
            <w:vAlign w:val="center"/>
          </w:tcPr>
          <w:p w14:paraId="18C14D8C"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4AC8BD37"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120FBA27"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5357A"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1555" w:type="dxa"/>
            <w:vMerge w:val="restart"/>
            <w:tcBorders>
              <w:top w:val="nil"/>
              <w:left w:val="single" w:sz="4" w:space="0" w:color="auto"/>
              <w:right w:val="single" w:sz="4" w:space="0" w:color="auto"/>
            </w:tcBorders>
            <w:shd w:val="clear" w:color="auto" w:fill="auto"/>
            <w:vAlign w:val="center"/>
            <w:hideMark/>
          </w:tcPr>
          <w:p w14:paraId="45C12B7D" w14:textId="77777777" w:rsidR="00F34BD4" w:rsidRPr="00D94B5E" w:rsidRDefault="00F34BD4">
            <w:pPr>
              <w:spacing w:after="0"/>
              <w:jc w:val="center"/>
              <w:rPr>
                <w:color w:val="000000"/>
                <w:szCs w:val="20"/>
                <w:lang w:eastAsia="pl-PL"/>
              </w:rPr>
            </w:pPr>
            <w:r>
              <w:rPr>
                <w:color w:val="000000"/>
                <w:szCs w:val="20"/>
                <w:lang w:eastAsia="pl-PL"/>
              </w:rPr>
              <w:t xml:space="preserve">Całkowite skumulowane </w:t>
            </w:r>
            <w:r w:rsidRPr="00D94B5E">
              <w:rPr>
                <w:color w:val="000000"/>
                <w:szCs w:val="20"/>
                <w:lang w:eastAsia="pl-PL"/>
              </w:rPr>
              <w:t>oszczędności końcowego zużycia energii (do 2030)</w:t>
            </w:r>
          </w:p>
        </w:tc>
      </w:tr>
      <w:tr w:rsidR="00F34BD4" w:rsidRPr="008F173A" w14:paraId="4E5D99E5" w14:textId="77777777" w:rsidTr="004A5C88">
        <w:trPr>
          <w:trHeight w:val="299"/>
        </w:trPr>
        <w:tc>
          <w:tcPr>
            <w:tcW w:w="1382" w:type="dxa"/>
            <w:vMerge/>
            <w:tcBorders>
              <w:left w:val="single" w:sz="4" w:space="0" w:color="auto"/>
              <w:right w:val="single" w:sz="4" w:space="0" w:color="auto"/>
            </w:tcBorders>
            <w:shd w:val="clear" w:color="auto" w:fill="auto"/>
            <w:vAlign w:val="center"/>
            <w:hideMark/>
          </w:tcPr>
          <w:p w14:paraId="1B1A66B1"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5EE253EA"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2BBA1A04"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1D84D569"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0BFBDB57"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81A42F0"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0286E315"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7" w:type="dxa"/>
            <w:tcBorders>
              <w:top w:val="single" w:sz="4" w:space="0" w:color="auto"/>
              <w:left w:val="single" w:sz="4" w:space="0" w:color="auto"/>
              <w:bottom w:val="single" w:sz="4" w:space="0" w:color="auto"/>
              <w:right w:val="single" w:sz="4" w:space="0" w:color="auto"/>
            </w:tcBorders>
            <w:vAlign w:val="center"/>
          </w:tcPr>
          <w:p w14:paraId="0BC253B4"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3911E747"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7EE252D1"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0A25"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shd w:val="clear" w:color="auto" w:fill="auto"/>
            <w:vAlign w:val="center"/>
            <w:hideMark/>
          </w:tcPr>
          <w:p w14:paraId="6FE20EC5" w14:textId="77777777" w:rsidR="00F34BD4" w:rsidRPr="00D94B5E" w:rsidRDefault="00F34BD4">
            <w:pPr>
              <w:spacing w:after="0"/>
              <w:jc w:val="center"/>
              <w:rPr>
                <w:color w:val="000000"/>
                <w:szCs w:val="20"/>
                <w:lang w:eastAsia="pl-PL"/>
              </w:rPr>
            </w:pPr>
          </w:p>
        </w:tc>
      </w:tr>
      <w:tr w:rsidR="00F34BD4" w:rsidRPr="008F173A" w14:paraId="706C99A5" w14:textId="77777777" w:rsidTr="004A5C88">
        <w:trPr>
          <w:trHeight w:val="299"/>
        </w:trPr>
        <w:tc>
          <w:tcPr>
            <w:tcW w:w="1382" w:type="dxa"/>
            <w:vMerge/>
            <w:tcBorders>
              <w:left w:val="single" w:sz="4" w:space="0" w:color="auto"/>
              <w:right w:val="single" w:sz="4" w:space="0" w:color="auto"/>
            </w:tcBorders>
            <w:shd w:val="clear" w:color="auto" w:fill="auto"/>
            <w:vAlign w:val="center"/>
            <w:hideMark/>
          </w:tcPr>
          <w:p w14:paraId="77E5C99E"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4574B406"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292B2D50"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8761573"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6521D03D"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D3EB0EA"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4915EB68"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7" w:type="dxa"/>
            <w:tcBorders>
              <w:top w:val="single" w:sz="4" w:space="0" w:color="auto"/>
              <w:left w:val="single" w:sz="4" w:space="0" w:color="auto"/>
              <w:bottom w:val="single" w:sz="4" w:space="0" w:color="auto"/>
              <w:right w:val="single" w:sz="4" w:space="0" w:color="auto"/>
            </w:tcBorders>
            <w:vAlign w:val="center"/>
          </w:tcPr>
          <w:p w14:paraId="68F4CBEC"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single" w:sz="4" w:space="0" w:color="auto"/>
              <w:left w:val="single" w:sz="4" w:space="0" w:color="auto"/>
              <w:bottom w:val="single" w:sz="4" w:space="0" w:color="auto"/>
              <w:right w:val="single" w:sz="4" w:space="0" w:color="auto"/>
            </w:tcBorders>
            <w:vAlign w:val="center"/>
          </w:tcPr>
          <w:p w14:paraId="12400018"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3C5046A6"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33567"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shd w:val="clear" w:color="auto" w:fill="auto"/>
            <w:vAlign w:val="center"/>
            <w:hideMark/>
          </w:tcPr>
          <w:p w14:paraId="6C14AE38" w14:textId="77777777" w:rsidR="00F34BD4" w:rsidRPr="00D94B5E" w:rsidRDefault="00F34BD4">
            <w:pPr>
              <w:spacing w:after="0"/>
              <w:jc w:val="center"/>
              <w:rPr>
                <w:color w:val="000000"/>
                <w:szCs w:val="20"/>
                <w:lang w:eastAsia="pl-PL"/>
              </w:rPr>
            </w:pPr>
          </w:p>
        </w:tc>
      </w:tr>
      <w:tr w:rsidR="00F34BD4" w:rsidRPr="008F173A" w14:paraId="4F9D2D1C" w14:textId="77777777" w:rsidTr="004A5C88">
        <w:trPr>
          <w:trHeight w:val="299"/>
        </w:trPr>
        <w:tc>
          <w:tcPr>
            <w:tcW w:w="1382" w:type="dxa"/>
            <w:vMerge/>
            <w:tcBorders>
              <w:left w:val="single" w:sz="4" w:space="0" w:color="auto"/>
              <w:right w:val="single" w:sz="4" w:space="0" w:color="auto"/>
            </w:tcBorders>
            <w:vAlign w:val="center"/>
            <w:hideMark/>
          </w:tcPr>
          <w:p w14:paraId="114F4029"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285D2A0E"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192327AA"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4B570A8"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6FAFDD4E"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48C9F857"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0748F6F4"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7" w:type="dxa"/>
            <w:tcBorders>
              <w:top w:val="single" w:sz="4" w:space="0" w:color="auto"/>
              <w:left w:val="single" w:sz="4" w:space="0" w:color="auto"/>
              <w:bottom w:val="single" w:sz="4" w:space="0" w:color="auto"/>
              <w:right w:val="single" w:sz="4" w:space="0" w:color="auto"/>
            </w:tcBorders>
            <w:vAlign w:val="center"/>
          </w:tcPr>
          <w:p w14:paraId="15369DD9"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6B5251F1"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501E68A9"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1FAA1"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shd w:val="clear" w:color="auto" w:fill="auto"/>
            <w:vAlign w:val="center"/>
            <w:hideMark/>
          </w:tcPr>
          <w:p w14:paraId="1618C729" w14:textId="77777777" w:rsidR="00F34BD4" w:rsidRPr="00D94B5E" w:rsidRDefault="00F34BD4">
            <w:pPr>
              <w:spacing w:after="0"/>
              <w:jc w:val="center"/>
              <w:rPr>
                <w:color w:val="000000"/>
                <w:szCs w:val="20"/>
                <w:lang w:eastAsia="pl-PL"/>
              </w:rPr>
            </w:pPr>
          </w:p>
        </w:tc>
      </w:tr>
      <w:tr w:rsidR="00F34BD4" w:rsidRPr="008F173A" w14:paraId="00EF061E" w14:textId="77777777" w:rsidTr="004A5C88">
        <w:trPr>
          <w:trHeight w:val="299"/>
        </w:trPr>
        <w:tc>
          <w:tcPr>
            <w:tcW w:w="1382" w:type="dxa"/>
            <w:vMerge/>
            <w:tcBorders>
              <w:left w:val="single" w:sz="4" w:space="0" w:color="auto"/>
              <w:right w:val="single" w:sz="4" w:space="0" w:color="auto"/>
            </w:tcBorders>
            <w:vAlign w:val="center"/>
            <w:hideMark/>
          </w:tcPr>
          <w:p w14:paraId="5BD8745F"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19F53B41"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6FEEDED0"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39E6C63A"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bottom"/>
          </w:tcPr>
          <w:p w14:paraId="654F71DD"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33D02079"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27A9F18"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7" w:type="dxa"/>
            <w:tcBorders>
              <w:top w:val="single" w:sz="4" w:space="0" w:color="auto"/>
              <w:left w:val="single" w:sz="4" w:space="0" w:color="auto"/>
              <w:bottom w:val="single" w:sz="4" w:space="0" w:color="auto"/>
              <w:right w:val="single" w:sz="4" w:space="0" w:color="auto"/>
            </w:tcBorders>
            <w:vAlign w:val="center"/>
          </w:tcPr>
          <w:p w14:paraId="45362D17"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4A6CAF3C"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468B6F82"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1987A"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vAlign w:val="center"/>
            <w:hideMark/>
          </w:tcPr>
          <w:p w14:paraId="658380BF" w14:textId="77777777" w:rsidR="00F34BD4" w:rsidRPr="00D94B5E" w:rsidRDefault="00F34BD4">
            <w:pPr>
              <w:spacing w:after="0"/>
              <w:jc w:val="center"/>
              <w:rPr>
                <w:color w:val="000000"/>
                <w:szCs w:val="20"/>
                <w:lang w:eastAsia="pl-PL"/>
              </w:rPr>
            </w:pPr>
          </w:p>
        </w:tc>
      </w:tr>
      <w:tr w:rsidR="00F34BD4" w:rsidRPr="008F173A" w14:paraId="4620D8B6" w14:textId="77777777" w:rsidTr="004A5C88">
        <w:trPr>
          <w:trHeight w:val="299"/>
        </w:trPr>
        <w:tc>
          <w:tcPr>
            <w:tcW w:w="1382" w:type="dxa"/>
            <w:vMerge/>
            <w:tcBorders>
              <w:left w:val="single" w:sz="4" w:space="0" w:color="auto"/>
              <w:right w:val="single" w:sz="4" w:space="0" w:color="auto"/>
            </w:tcBorders>
            <w:vAlign w:val="center"/>
            <w:hideMark/>
          </w:tcPr>
          <w:p w14:paraId="6CCA617F"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2B0B329C"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67A15838"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33C25C79"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426258A9"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1F028E7"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nil"/>
              <w:left w:val="nil"/>
              <w:bottom w:val="single" w:sz="4" w:space="0" w:color="auto"/>
              <w:right w:val="single" w:sz="4" w:space="0" w:color="auto"/>
            </w:tcBorders>
            <w:shd w:val="clear" w:color="auto" w:fill="auto"/>
            <w:noWrap/>
            <w:vAlign w:val="center"/>
          </w:tcPr>
          <w:p w14:paraId="055E1A23"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7" w:type="dxa"/>
            <w:tcBorders>
              <w:top w:val="single" w:sz="4" w:space="0" w:color="auto"/>
              <w:left w:val="single" w:sz="4" w:space="0" w:color="auto"/>
              <w:bottom w:val="single" w:sz="4" w:space="0" w:color="auto"/>
              <w:right w:val="single" w:sz="4" w:space="0" w:color="auto"/>
            </w:tcBorders>
            <w:vAlign w:val="center"/>
          </w:tcPr>
          <w:p w14:paraId="061D59A1"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2F042FB5"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4EA711C3"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14BF7"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shd w:val="clear" w:color="auto" w:fill="auto"/>
            <w:vAlign w:val="center"/>
            <w:hideMark/>
          </w:tcPr>
          <w:p w14:paraId="01AC32AD" w14:textId="77777777" w:rsidR="00F34BD4" w:rsidRPr="00D94B5E" w:rsidRDefault="00F34BD4">
            <w:pPr>
              <w:spacing w:after="0"/>
              <w:jc w:val="center"/>
              <w:rPr>
                <w:color w:val="000000"/>
                <w:szCs w:val="20"/>
                <w:lang w:eastAsia="pl-PL"/>
              </w:rPr>
            </w:pPr>
          </w:p>
        </w:tc>
      </w:tr>
      <w:tr w:rsidR="00F34BD4" w:rsidRPr="008F173A" w14:paraId="54CCDFC1" w14:textId="77777777" w:rsidTr="004A5C88">
        <w:trPr>
          <w:trHeight w:val="299"/>
        </w:trPr>
        <w:tc>
          <w:tcPr>
            <w:tcW w:w="1382" w:type="dxa"/>
            <w:vMerge/>
            <w:tcBorders>
              <w:left w:val="single" w:sz="4" w:space="0" w:color="auto"/>
              <w:right w:val="single" w:sz="4" w:space="0" w:color="auto"/>
            </w:tcBorders>
            <w:vAlign w:val="center"/>
            <w:hideMark/>
          </w:tcPr>
          <w:p w14:paraId="75268AFE"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62AF310D"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75F9A672"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057364BF" w14:textId="77777777" w:rsidR="00F34BD4" w:rsidRPr="00D94B5E" w:rsidRDefault="00F34BD4">
            <w:pPr>
              <w:spacing w:after="0"/>
              <w:jc w:val="center"/>
              <w:rPr>
                <w:color w:val="000000"/>
                <w:szCs w:val="20"/>
                <w:lang w:eastAsia="pl-PL"/>
              </w:rPr>
            </w:pPr>
            <w:r w:rsidRPr="00D94B5E" w:rsidDel="00447217">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36EC9448"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nil"/>
              <w:left w:val="nil"/>
              <w:bottom w:val="single" w:sz="4" w:space="0" w:color="auto"/>
              <w:right w:val="single" w:sz="4" w:space="0" w:color="auto"/>
            </w:tcBorders>
            <w:shd w:val="clear" w:color="auto" w:fill="auto"/>
            <w:noWrap/>
            <w:vAlign w:val="center"/>
          </w:tcPr>
          <w:p w14:paraId="2D015E08"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nil"/>
              <w:left w:val="nil"/>
              <w:bottom w:val="single" w:sz="4" w:space="0" w:color="auto"/>
              <w:right w:val="single" w:sz="4" w:space="0" w:color="auto"/>
            </w:tcBorders>
            <w:shd w:val="clear" w:color="auto" w:fill="auto"/>
            <w:noWrap/>
            <w:vAlign w:val="center"/>
          </w:tcPr>
          <w:p w14:paraId="28812483"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7" w:type="dxa"/>
            <w:tcBorders>
              <w:top w:val="single" w:sz="4" w:space="0" w:color="auto"/>
              <w:left w:val="single" w:sz="4" w:space="0" w:color="auto"/>
              <w:bottom w:val="single" w:sz="4" w:space="0" w:color="auto"/>
              <w:right w:val="single" w:sz="4" w:space="0" w:color="auto"/>
            </w:tcBorders>
            <w:vAlign w:val="center"/>
          </w:tcPr>
          <w:p w14:paraId="7D6273A1"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44FAD09D"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6521EAE1"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C9D64"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vAlign w:val="center"/>
            <w:hideMark/>
          </w:tcPr>
          <w:p w14:paraId="6D6EF57E" w14:textId="77777777" w:rsidR="00F34BD4" w:rsidRPr="00D94B5E" w:rsidRDefault="00F34BD4">
            <w:pPr>
              <w:spacing w:after="0"/>
              <w:jc w:val="center"/>
              <w:rPr>
                <w:color w:val="000000"/>
                <w:szCs w:val="20"/>
                <w:lang w:eastAsia="pl-PL"/>
              </w:rPr>
            </w:pPr>
          </w:p>
        </w:tc>
      </w:tr>
      <w:tr w:rsidR="00F34BD4" w:rsidRPr="008F173A" w14:paraId="444E01A6" w14:textId="77777777" w:rsidTr="004A5C88">
        <w:trPr>
          <w:trHeight w:val="299"/>
        </w:trPr>
        <w:tc>
          <w:tcPr>
            <w:tcW w:w="1382" w:type="dxa"/>
            <w:vMerge/>
            <w:tcBorders>
              <w:left w:val="single" w:sz="4" w:space="0" w:color="auto"/>
              <w:right w:val="single" w:sz="4" w:space="0" w:color="auto"/>
            </w:tcBorders>
            <w:vAlign w:val="center"/>
          </w:tcPr>
          <w:p w14:paraId="52B0C80D"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62F78BDD"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4DBD81C3"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A2805EE"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nil"/>
              <w:left w:val="nil"/>
              <w:bottom w:val="single" w:sz="4" w:space="0" w:color="auto"/>
              <w:right w:val="single" w:sz="4" w:space="0" w:color="auto"/>
            </w:tcBorders>
            <w:shd w:val="clear" w:color="auto" w:fill="auto"/>
            <w:noWrap/>
            <w:vAlign w:val="center"/>
          </w:tcPr>
          <w:p w14:paraId="6C787178"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nil"/>
              <w:left w:val="nil"/>
              <w:bottom w:val="single" w:sz="4" w:space="0" w:color="auto"/>
              <w:right w:val="single" w:sz="4" w:space="0" w:color="auto"/>
            </w:tcBorders>
            <w:shd w:val="clear" w:color="auto" w:fill="auto"/>
            <w:noWrap/>
            <w:vAlign w:val="center"/>
          </w:tcPr>
          <w:p w14:paraId="63A60C17"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nil"/>
              <w:left w:val="nil"/>
              <w:bottom w:val="single" w:sz="4" w:space="0" w:color="auto"/>
              <w:right w:val="single" w:sz="4" w:space="0" w:color="auto"/>
            </w:tcBorders>
            <w:shd w:val="clear" w:color="auto" w:fill="auto"/>
            <w:noWrap/>
            <w:vAlign w:val="center"/>
          </w:tcPr>
          <w:p w14:paraId="742AC62A"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7" w:type="dxa"/>
            <w:tcBorders>
              <w:top w:val="single" w:sz="4" w:space="0" w:color="auto"/>
              <w:left w:val="single" w:sz="4" w:space="0" w:color="auto"/>
              <w:bottom w:val="single" w:sz="4" w:space="0" w:color="auto"/>
              <w:right w:val="single" w:sz="4" w:space="0" w:color="auto"/>
            </w:tcBorders>
            <w:vAlign w:val="center"/>
          </w:tcPr>
          <w:p w14:paraId="2801241B"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4ED2FA8C"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vAlign w:val="center"/>
          </w:tcPr>
          <w:p w14:paraId="0EE2A56E"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114E6" w14:textId="77777777" w:rsidR="00F34BD4" w:rsidRPr="00D94B5E" w:rsidRDefault="00F34BD4">
            <w:pPr>
              <w:spacing w:after="0"/>
              <w:jc w:val="center"/>
              <w:rPr>
                <w:color w:val="000000"/>
                <w:szCs w:val="20"/>
                <w:lang w:eastAsia="pl-PL"/>
              </w:rPr>
            </w:pPr>
            <w:r w:rsidRPr="00D94B5E">
              <w:rPr>
                <w:rFonts w:cs="Calibri"/>
                <w:color w:val="000000"/>
                <w:szCs w:val="20"/>
              </w:rPr>
              <w:t>30</w:t>
            </w:r>
          </w:p>
        </w:tc>
        <w:tc>
          <w:tcPr>
            <w:tcW w:w="1555" w:type="dxa"/>
            <w:vMerge/>
            <w:tcBorders>
              <w:left w:val="single" w:sz="4" w:space="0" w:color="auto"/>
              <w:right w:val="single" w:sz="4" w:space="0" w:color="auto"/>
            </w:tcBorders>
            <w:vAlign w:val="center"/>
          </w:tcPr>
          <w:p w14:paraId="66BB8E46" w14:textId="77777777" w:rsidR="00F34BD4" w:rsidRPr="00D94B5E" w:rsidRDefault="00F34BD4">
            <w:pPr>
              <w:spacing w:after="0"/>
              <w:jc w:val="center"/>
              <w:rPr>
                <w:color w:val="000000"/>
                <w:szCs w:val="20"/>
                <w:lang w:eastAsia="pl-PL"/>
              </w:rPr>
            </w:pPr>
          </w:p>
        </w:tc>
      </w:tr>
      <w:tr w:rsidR="00F34BD4" w:rsidRPr="008F173A" w14:paraId="39E5FE9A" w14:textId="77777777" w:rsidTr="004A5C88">
        <w:trPr>
          <w:trHeight w:val="299"/>
        </w:trPr>
        <w:tc>
          <w:tcPr>
            <w:tcW w:w="1382" w:type="dxa"/>
            <w:vMerge/>
            <w:tcBorders>
              <w:left w:val="single" w:sz="4" w:space="0" w:color="auto"/>
              <w:right w:val="single" w:sz="4" w:space="0" w:color="auto"/>
            </w:tcBorders>
            <w:vAlign w:val="center"/>
          </w:tcPr>
          <w:p w14:paraId="7FA21E8F"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097B4B50"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A04FD2D" w14:textId="77777777" w:rsidR="00F34BD4" w:rsidRPr="00D94B5E" w:rsidRDefault="00F34BD4">
            <w:pPr>
              <w:spacing w:after="0"/>
              <w:jc w:val="center"/>
              <w:rPr>
                <w:rFonts w:cs="Calibri"/>
                <w:color w:val="000000"/>
                <w:szCs w:val="20"/>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0C717B45"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7892CA53"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3268BE33"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775581AA"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7" w:type="dxa"/>
            <w:tcBorders>
              <w:top w:val="single" w:sz="4" w:space="0" w:color="auto"/>
              <w:left w:val="single" w:sz="4" w:space="0" w:color="auto"/>
              <w:bottom w:val="single" w:sz="4" w:space="0" w:color="auto"/>
              <w:right w:val="single" w:sz="4" w:space="0" w:color="auto"/>
            </w:tcBorders>
          </w:tcPr>
          <w:p w14:paraId="265C607A"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tcPr>
          <w:p w14:paraId="40EDFCC4"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tcPr>
          <w:p w14:paraId="0506B9E2"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6E15BBEF"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1555" w:type="dxa"/>
            <w:vMerge/>
            <w:tcBorders>
              <w:left w:val="single" w:sz="4" w:space="0" w:color="auto"/>
              <w:right w:val="single" w:sz="4" w:space="0" w:color="auto"/>
            </w:tcBorders>
            <w:vAlign w:val="center"/>
          </w:tcPr>
          <w:p w14:paraId="52D7BFCD" w14:textId="77777777" w:rsidR="00F34BD4" w:rsidRPr="00D94B5E" w:rsidRDefault="00F34BD4">
            <w:pPr>
              <w:spacing w:after="0"/>
              <w:jc w:val="center"/>
              <w:rPr>
                <w:color w:val="000000"/>
                <w:szCs w:val="20"/>
                <w:lang w:eastAsia="pl-PL"/>
              </w:rPr>
            </w:pPr>
          </w:p>
        </w:tc>
      </w:tr>
      <w:tr w:rsidR="00F34BD4" w:rsidRPr="008F173A" w14:paraId="4AD723B0" w14:textId="77777777" w:rsidTr="004A5C88">
        <w:trPr>
          <w:trHeight w:val="299"/>
        </w:trPr>
        <w:tc>
          <w:tcPr>
            <w:tcW w:w="1382" w:type="dxa"/>
            <w:vMerge/>
            <w:tcBorders>
              <w:left w:val="single" w:sz="4" w:space="0" w:color="auto"/>
              <w:bottom w:val="single" w:sz="4" w:space="0" w:color="auto"/>
              <w:right w:val="single" w:sz="4" w:space="0" w:color="auto"/>
            </w:tcBorders>
            <w:vAlign w:val="center"/>
          </w:tcPr>
          <w:p w14:paraId="47653FB3"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12498322"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vAlign w:val="center"/>
          </w:tcPr>
          <w:p w14:paraId="29385F4F"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72AD16C3"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754F3876"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7B36105B"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nil"/>
              <w:left w:val="nil"/>
              <w:bottom w:val="single" w:sz="4" w:space="0" w:color="auto"/>
              <w:right w:val="single" w:sz="4" w:space="0" w:color="auto"/>
            </w:tcBorders>
            <w:shd w:val="clear" w:color="auto" w:fill="auto"/>
            <w:noWrap/>
          </w:tcPr>
          <w:p w14:paraId="641E7F3F"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7" w:type="dxa"/>
            <w:tcBorders>
              <w:top w:val="single" w:sz="4" w:space="0" w:color="auto"/>
              <w:left w:val="single" w:sz="4" w:space="0" w:color="auto"/>
              <w:bottom w:val="single" w:sz="4" w:space="0" w:color="auto"/>
              <w:right w:val="single" w:sz="4" w:space="0" w:color="auto"/>
            </w:tcBorders>
          </w:tcPr>
          <w:p w14:paraId="01048E66"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tcPr>
          <w:p w14:paraId="26D791DC"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tcPr>
          <w:p w14:paraId="37035E3E"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17435425" w14:textId="77777777" w:rsidR="00F34BD4" w:rsidRPr="00D94B5E" w:rsidRDefault="00F34BD4">
            <w:pPr>
              <w:spacing w:after="0"/>
              <w:jc w:val="center"/>
              <w:rPr>
                <w:color w:val="000000"/>
                <w:szCs w:val="20"/>
                <w:lang w:eastAsia="pl-PL"/>
              </w:rPr>
            </w:pPr>
            <w:r w:rsidRPr="00D94B5E">
              <w:rPr>
                <w:rFonts w:cs="Calibri"/>
                <w:color w:val="000000"/>
                <w:szCs w:val="20"/>
              </w:rPr>
              <w:t>5</w:t>
            </w:r>
          </w:p>
        </w:tc>
        <w:tc>
          <w:tcPr>
            <w:tcW w:w="1555" w:type="dxa"/>
            <w:vMerge/>
            <w:tcBorders>
              <w:left w:val="single" w:sz="4" w:space="0" w:color="auto"/>
              <w:bottom w:val="single" w:sz="4" w:space="0" w:color="auto"/>
              <w:right w:val="single" w:sz="4" w:space="0" w:color="auto"/>
            </w:tcBorders>
            <w:vAlign w:val="center"/>
          </w:tcPr>
          <w:p w14:paraId="0CFFC28C" w14:textId="77777777" w:rsidR="00F34BD4" w:rsidRPr="00D94B5E" w:rsidRDefault="00F34BD4">
            <w:pPr>
              <w:spacing w:after="0"/>
              <w:jc w:val="center"/>
              <w:rPr>
                <w:color w:val="000000"/>
                <w:szCs w:val="20"/>
                <w:lang w:eastAsia="pl-PL"/>
              </w:rPr>
            </w:pPr>
          </w:p>
        </w:tc>
      </w:tr>
      <w:tr w:rsidR="00F34BD4" w:rsidRPr="008F173A" w14:paraId="334A39A1" w14:textId="77777777" w:rsidTr="004A5C88">
        <w:trPr>
          <w:trHeight w:val="299"/>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3A8104EF" w14:textId="77777777" w:rsidR="00F34BD4" w:rsidRPr="00D94B5E" w:rsidRDefault="00F34BD4">
            <w:pPr>
              <w:spacing w:after="0"/>
              <w:jc w:val="center"/>
              <w:rPr>
                <w:color w:val="000000"/>
                <w:szCs w:val="20"/>
                <w:lang w:eastAsia="pl-PL"/>
              </w:rPr>
            </w:pPr>
            <w:r w:rsidRPr="00D94B5E">
              <w:rPr>
                <w:color w:val="000000"/>
                <w:szCs w:val="20"/>
                <w:lang w:eastAsia="pl-PL"/>
              </w:rPr>
              <w:t>Razem (ktoe)</w:t>
            </w:r>
          </w:p>
        </w:tc>
        <w:tc>
          <w:tcPr>
            <w:tcW w:w="620" w:type="dxa"/>
            <w:tcBorders>
              <w:top w:val="nil"/>
              <w:left w:val="nil"/>
              <w:bottom w:val="single" w:sz="4" w:space="0" w:color="auto"/>
              <w:right w:val="single" w:sz="4" w:space="0" w:color="auto"/>
            </w:tcBorders>
            <w:shd w:val="clear" w:color="auto" w:fill="auto"/>
            <w:noWrap/>
            <w:vAlign w:val="center"/>
          </w:tcPr>
          <w:p w14:paraId="02A7112E" w14:textId="77777777" w:rsidR="00F34BD4" w:rsidRPr="00D94B5E" w:rsidRDefault="00F34BD4">
            <w:pPr>
              <w:spacing w:after="0"/>
              <w:jc w:val="center"/>
              <w:rPr>
                <w:b/>
                <w:bCs/>
                <w:color w:val="000000"/>
                <w:szCs w:val="20"/>
                <w:lang w:eastAsia="pl-PL"/>
              </w:rPr>
            </w:pPr>
            <w:r w:rsidRPr="00D94B5E">
              <w:rPr>
                <w:rFonts w:cs="Calibri"/>
                <w:b/>
                <w:bCs/>
                <w:color w:val="000000"/>
                <w:szCs w:val="20"/>
              </w:rPr>
              <w:t>5</w:t>
            </w:r>
          </w:p>
        </w:tc>
        <w:tc>
          <w:tcPr>
            <w:tcW w:w="618" w:type="dxa"/>
            <w:tcBorders>
              <w:top w:val="nil"/>
              <w:left w:val="nil"/>
              <w:bottom w:val="single" w:sz="4" w:space="0" w:color="auto"/>
              <w:right w:val="single" w:sz="4" w:space="0" w:color="auto"/>
            </w:tcBorders>
            <w:shd w:val="clear" w:color="auto" w:fill="auto"/>
            <w:noWrap/>
            <w:vAlign w:val="center"/>
          </w:tcPr>
          <w:p w14:paraId="5E4AC8B5" w14:textId="77777777" w:rsidR="00F34BD4" w:rsidRPr="00D94B5E" w:rsidRDefault="00F34BD4">
            <w:pPr>
              <w:spacing w:after="0"/>
              <w:jc w:val="center"/>
              <w:rPr>
                <w:b/>
                <w:bCs/>
                <w:color w:val="000000"/>
                <w:szCs w:val="20"/>
                <w:lang w:eastAsia="pl-PL"/>
              </w:rPr>
            </w:pPr>
            <w:r w:rsidRPr="00D94B5E">
              <w:rPr>
                <w:rFonts w:cs="Calibri"/>
                <w:b/>
                <w:bCs/>
                <w:color w:val="000000"/>
                <w:szCs w:val="20"/>
              </w:rPr>
              <w:t>10</w:t>
            </w:r>
          </w:p>
        </w:tc>
        <w:tc>
          <w:tcPr>
            <w:tcW w:w="618" w:type="dxa"/>
            <w:tcBorders>
              <w:top w:val="nil"/>
              <w:left w:val="nil"/>
              <w:bottom w:val="single" w:sz="4" w:space="0" w:color="auto"/>
              <w:right w:val="single" w:sz="4" w:space="0" w:color="auto"/>
            </w:tcBorders>
            <w:shd w:val="clear" w:color="auto" w:fill="auto"/>
            <w:noWrap/>
            <w:vAlign w:val="center"/>
          </w:tcPr>
          <w:p w14:paraId="7602AE08" w14:textId="77777777" w:rsidR="00F34BD4" w:rsidRPr="00D94B5E" w:rsidRDefault="00F34BD4">
            <w:pPr>
              <w:spacing w:after="0"/>
              <w:jc w:val="center"/>
              <w:rPr>
                <w:b/>
                <w:bCs/>
                <w:color w:val="000000"/>
                <w:szCs w:val="20"/>
                <w:lang w:eastAsia="pl-PL"/>
              </w:rPr>
            </w:pPr>
            <w:r w:rsidRPr="00D94B5E">
              <w:rPr>
                <w:rFonts w:cs="Calibri"/>
                <w:b/>
                <w:bCs/>
                <w:color w:val="000000"/>
                <w:szCs w:val="20"/>
              </w:rPr>
              <w:t>40</w:t>
            </w:r>
          </w:p>
        </w:tc>
        <w:tc>
          <w:tcPr>
            <w:tcW w:w="618" w:type="dxa"/>
            <w:tcBorders>
              <w:top w:val="nil"/>
              <w:left w:val="nil"/>
              <w:bottom w:val="single" w:sz="4" w:space="0" w:color="auto"/>
              <w:right w:val="single" w:sz="4" w:space="0" w:color="auto"/>
            </w:tcBorders>
            <w:shd w:val="clear" w:color="auto" w:fill="auto"/>
            <w:noWrap/>
            <w:vAlign w:val="center"/>
          </w:tcPr>
          <w:p w14:paraId="5FDB576D" w14:textId="77777777" w:rsidR="00F34BD4" w:rsidRPr="00D94B5E" w:rsidRDefault="00F34BD4">
            <w:pPr>
              <w:spacing w:after="0"/>
              <w:jc w:val="center"/>
              <w:rPr>
                <w:b/>
                <w:bCs/>
                <w:color w:val="000000"/>
                <w:szCs w:val="20"/>
                <w:lang w:eastAsia="pl-PL"/>
              </w:rPr>
            </w:pPr>
            <w:r w:rsidRPr="00D94B5E">
              <w:rPr>
                <w:rFonts w:cs="Calibri"/>
                <w:b/>
                <w:bCs/>
                <w:color w:val="000000"/>
                <w:szCs w:val="20"/>
              </w:rPr>
              <w:t>70</w:t>
            </w:r>
          </w:p>
        </w:tc>
        <w:tc>
          <w:tcPr>
            <w:tcW w:w="618" w:type="dxa"/>
            <w:tcBorders>
              <w:top w:val="nil"/>
              <w:left w:val="nil"/>
              <w:bottom w:val="single" w:sz="4" w:space="0" w:color="auto"/>
              <w:right w:val="single" w:sz="4" w:space="0" w:color="auto"/>
            </w:tcBorders>
            <w:shd w:val="clear" w:color="auto" w:fill="auto"/>
            <w:noWrap/>
            <w:vAlign w:val="center"/>
          </w:tcPr>
          <w:p w14:paraId="7CB5C770" w14:textId="77777777" w:rsidR="00F34BD4" w:rsidRPr="00D94B5E" w:rsidRDefault="00F34BD4">
            <w:pPr>
              <w:spacing w:after="0"/>
              <w:jc w:val="center"/>
              <w:rPr>
                <w:b/>
                <w:bCs/>
                <w:color w:val="000000"/>
                <w:szCs w:val="20"/>
                <w:lang w:eastAsia="pl-PL"/>
              </w:rPr>
            </w:pPr>
            <w:r w:rsidRPr="00D94B5E">
              <w:rPr>
                <w:rFonts w:cs="Calibri"/>
                <w:b/>
                <w:bCs/>
                <w:color w:val="000000"/>
                <w:szCs w:val="20"/>
              </w:rPr>
              <w:t>100</w:t>
            </w:r>
          </w:p>
        </w:tc>
        <w:tc>
          <w:tcPr>
            <w:tcW w:w="618" w:type="dxa"/>
            <w:tcBorders>
              <w:top w:val="nil"/>
              <w:left w:val="nil"/>
              <w:bottom w:val="single" w:sz="4" w:space="0" w:color="auto"/>
              <w:right w:val="single" w:sz="4" w:space="0" w:color="auto"/>
            </w:tcBorders>
            <w:shd w:val="clear" w:color="auto" w:fill="auto"/>
            <w:noWrap/>
            <w:vAlign w:val="center"/>
          </w:tcPr>
          <w:p w14:paraId="64B10188" w14:textId="77777777" w:rsidR="00F34BD4" w:rsidRPr="00D94B5E" w:rsidRDefault="00F34BD4">
            <w:pPr>
              <w:spacing w:after="0"/>
              <w:jc w:val="center"/>
              <w:rPr>
                <w:b/>
                <w:bCs/>
                <w:color w:val="000000"/>
                <w:szCs w:val="20"/>
                <w:lang w:eastAsia="pl-PL"/>
              </w:rPr>
            </w:pPr>
            <w:r w:rsidRPr="00D94B5E">
              <w:rPr>
                <w:rFonts w:cs="Calibri"/>
                <w:b/>
                <w:bCs/>
                <w:color w:val="000000"/>
                <w:szCs w:val="20"/>
              </w:rPr>
              <w:t>130</w:t>
            </w:r>
          </w:p>
        </w:tc>
        <w:tc>
          <w:tcPr>
            <w:tcW w:w="617" w:type="dxa"/>
            <w:tcBorders>
              <w:top w:val="single" w:sz="4" w:space="0" w:color="auto"/>
              <w:left w:val="single" w:sz="4" w:space="0" w:color="auto"/>
              <w:bottom w:val="single" w:sz="4" w:space="0" w:color="auto"/>
              <w:right w:val="single" w:sz="4" w:space="0" w:color="auto"/>
            </w:tcBorders>
            <w:vAlign w:val="center"/>
          </w:tcPr>
          <w:p w14:paraId="7594A355" w14:textId="77777777" w:rsidR="00F34BD4" w:rsidRPr="00D94B5E" w:rsidRDefault="00F34BD4">
            <w:pPr>
              <w:spacing w:after="0"/>
              <w:jc w:val="center"/>
              <w:rPr>
                <w:b/>
                <w:bCs/>
                <w:color w:val="000000"/>
                <w:szCs w:val="20"/>
                <w:lang w:eastAsia="pl-PL"/>
              </w:rPr>
            </w:pPr>
            <w:r w:rsidRPr="00D94B5E">
              <w:rPr>
                <w:rFonts w:cs="Calibri"/>
                <w:b/>
                <w:bCs/>
                <w:color w:val="000000"/>
                <w:szCs w:val="20"/>
              </w:rPr>
              <w:t>160</w:t>
            </w:r>
          </w:p>
        </w:tc>
        <w:tc>
          <w:tcPr>
            <w:tcW w:w="618" w:type="dxa"/>
            <w:tcBorders>
              <w:top w:val="single" w:sz="4" w:space="0" w:color="auto"/>
              <w:left w:val="single" w:sz="4" w:space="0" w:color="auto"/>
              <w:bottom w:val="single" w:sz="4" w:space="0" w:color="auto"/>
              <w:right w:val="single" w:sz="4" w:space="0" w:color="auto"/>
            </w:tcBorders>
            <w:vAlign w:val="center"/>
          </w:tcPr>
          <w:p w14:paraId="624AE76B" w14:textId="77777777" w:rsidR="00F34BD4" w:rsidRPr="00D94B5E" w:rsidRDefault="00F34BD4">
            <w:pPr>
              <w:spacing w:after="0"/>
              <w:jc w:val="center"/>
              <w:rPr>
                <w:b/>
                <w:bCs/>
                <w:color w:val="000000"/>
                <w:szCs w:val="20"/>
                <w:lang w:eastAsia="pl-PL"/>
              </w:rPr>
            </w:pPr>
            <w:r w:rsidRPr="00D94B5E">
              <w:rPr>
                <w:rFonts w:cs="Calibri"/>
                <w:b/>
                <w:bCs/>
                <w:color w:val="000000"/>
                <w:szCs w:val="20"/>
              </w:rPr>
              <w:t>190</w:t>
            </w:r>
          </w:p>
        </w:tc>
        <w:tc>
          <w:tcPr>
            <w:tcW w:w="618" w:type="dxa"/>
            <w:tcBorders>
              <w:top w:val="single" w:sz="4" w:space="0" w:color="auto"/>
              <w:left w:val="single" w:sz="4" w:space="0" w:color="auto"/>
              <w:bottom w:val="single" w:sz="4" w:space="0" w:color="auto"/>
              <w:right w:val="single" w:sz="4" w:space="0" w:color="auto"/>
            </w:tcBorders>
            <w:vAlign w:val="center"/>
          </w:tcPr>
          <w:p w14:paraId="6E9CD14E" w14:textId="77777777" w:rsidR="00F34BD4" w:rsidRPr="00D94B5E" w:rsidRDefault="00F34BD4">
            <w:pPr>
              <w:spacing w:after="0"/>
              <w:jc w:val="center"/>
              <w:rPr>
                <w:b/>
                <w:bCs/>
                <w:color w:val="000000"/>
                <w:szCs w:val="20"/>
                <w:lang w:eastAsia="pl-PL"/>
              </w:rPr>
            </w:pPr>
            <w:r w:rsidRPr="00D94B5E">
              <w:rPr>
                <w:rFonts w:cs="Calibri"/>
                <w:b/>
                <w:bCs/>
                <w:color w:val="000000"/>
                <w:szCs w:val="20"/>
              </w:rPr>
              <w:t>220</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68A96" w14:textId="77777777" w:rsidR="00F34BD4" w:rsidRPr="00D94B5E" w:rsidRDefault="00F34BD4">
            <w:pPr>
              <w:spacing w:after="0"/>
              <w:jc w:val="center"/>
              <w:rPr>
                <w:b/>
                <w:bCs/>
                <w:color w:val="000000"/>
                <w:szCs w:val="20"/>
                <w:lang w:eastAsia="pl-PL"/>
              </w:rPr>
            </w:pPr>
            <w:r w:rsidRPr="00D94B5E">
              <w:rPr>
                <w:rFonts w:cs="Calibri"/>
                <w:b/>
                <w:bCs/>
                <w:color w:val="000000"/>
                <w:szCs w:val="20"/>
              </w:rPr>
              <w:t>250</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8CF49AD" w14:textId="77777777" w:rsidR="00F34BD4" w:rsidRPr="00D94B5E" w:rsidRDefault="00F34BD4">
            <w:pPr>
              <w:spacing w:after="0"/>
              <w:jc w:val="center"/>
              <w:rPr>
                <w:b/>
                <w:bCs/>
                <w:color w:val="000000"/>
                <w:szCs w:val="20"/>
                <w:lang w:eastAsia="pl-PL"/>
              </w:rPr>
            </w:pPr>
            <w:r w:rsidRPr="00D94B5E">
              <w:rPr>
                <w:rFonts w:cs="Calibri"/>
                <w:b/>
                <w:bCs/>
                <w:color w:val="2F5496" w:themeColor="accent1" w:themeShade="BF"/>
                <w:szCs w:val="20"/>
              </w:rPr>
              <w:t>1 17</w:t>
            </w:r>
            <w:r>
              <w:rPr>
                <w:rFonts w:cs="Calibri"/>
                <w:b/>
                <w:bCs/>
                <w:color w:val="2F5496" w:themeColor="accent1" w:themeShade="BF"/>
                <w:szCs w:val="20"/>
              </w:rPr>
              <w:t>5</w:t>
            </w:r>
          </w:p>
        </w:tc>
      </w:tr>
    </w:tbl>
    <w:p w14:paraId="4191AFC7" w14:textId="77777777" w:rsidR="00F34BD4" w:rsidRDefault="00F34BD4" w:rsidP="00F34BD4">
      <w:pPr>
        <w:spacing w:after="0" w:line="360" w:lineRule="auto"/>
        <w:ind w:firstLine="709"/>
      </w:pPr>
      <w:r>
        <w:t xml:space="preserve"> </w:t>
      </w:r>
    </w:p>
    <w:p w14:paraId="0D113A6A" w14:textId="67B1E8AC" w:rsidR="00F34BD4" w:rsidRDefault="00F34BD4" w:rsidP="00373FD3">
      <w:r>
        <w:t>Powyższa tabela zawiera wartości rzeczywistych oszczędności energii finalnej w</w:t>
      </w:r>
      <w:r w:rsidR="00767FC5">
        <w:t xml:space="preserve"> </w:t>
      </w:r>
      <w:r>
        <w:t xml:space="preserve">odniesieniu do 2021 </w:t>
      </w:r>
      <w:r w:rsidR="0011179A">
        <w:t xml:space="preserve">r. </w:t>
      </w:r>
      <w:r>
        <w:t>oraz szacowane wartości oszczędności w odniesieniu do lat 2022</w:t>
      </w:r>
      <w:r w:rsidR="004B0F0A">
        <w:t>–</w:t>
      </w:r>
      <w:r>
        <w:t>2030. Przewiduje się zwiększenie wartości uzyskanych oszczędności końcowego zużycia energii w latach 2023</w:t>
      </w:r>
      <w:r w:rsidR="004B0F0A">
        <w:t>–20</w:t>
      </w:r>
      <w:r>
        <w:t xml:space="preserve">30 ze względu na fakt, że od 2023 </w:t>
      </w:r>
      <w:r w:rsidR="0011179A">
        <w:t>r.</w:t>
      </w:r>
      <w:r>
        <w:t xml:space="preserve"> w programie występuje nowy komponent – system grantowy oraz rozszerzony został katalog beneficjentów, powyższe środki powinny zapewnić osiągnięcie zakładanych oszczędności. </w:t>
      </w:r>
    </w:p>
    <w:p w14:paraId="68FAB52B" w14:textId="77777777" w:rsidR="00F34BD4" w:rsidRDefault="00F34BD4" w:rsidP="00FD4F7A">
      <w:pPr>
        <w:pStyle w:val="Nagwek4"/>
      </w:pPr>
      <w:r w:rsidRPr="004A2365">
        <w:t>Monitorowanie i weryfikacja</w:t>
      </w:r>
    </w:p>
    <w:p w14:paraId="75052974" w14:textId="6C5D1E54" w:rsidR="00F34BD4" w:rsidRDefault="00F34BD4" w:rsidP="00373FD3">
      <w:r w:rsidRPr="00D2663B">
        <w:t>BGK zleca wykonanie weryfikacji każdego audytu energetycznego innym, niezależnym i wyłonionym w</w:t>
      </w:r>
      <w:r w:rsidR="0011179A">
        <w:t> </w:t>
      </w:r>
      <w:r w:rsidRPr="00D2663B">
        <w:t xml:space="preserve">postępowaniu przetargowym podmiotom. Ocena weryfikatora poprawności wykonania audytu, stanowi podstawę do podjęcia decyzji o przyznaniu bądź odmowie przyznania premii termomodernizacyjnej, a także ustalenia jej wysokości. Procedurę, zasady weryfikacji audytów energetycznych precyzuje rozporządzenie </w:t>
      </w:r>
      <w:r w:rsidRPr="005422F1">
        <w:t xml:space="preserve">Ministra Infrastruktury i Rozwoju z dnia 24 sierpnia 2015 r. </w:t>
      </w:r>
      <w:r w:rsidRPr="00373FD3">
        <w:t>zmieniające rozporządzenie w sprawie szczegółowego sposobu weryfikacji audytu energetycznego i</w:t>
      </w:r>
      <w:r w:rsidR="0011179A">
        <w:t> </w:t>
      </w:r>
      <w:r w:rsidRPr="00373FD3">
        <w:t>części audytu remontowego oraz szczegółowych warunków, jakie powinny spełniać podmioty</w:t>
      </w:r>
      <w:r w:rsidRPr="005422F1">
        <w:t xml:space="preserve">, </w:t>
      </w:r>
      <w:r w:rsidRPr="00373FD3">
        <w:t xml:space="preserve">którym Bank Gospodarstwa Krajowego może zlecać wykonanie weryfikacji audytów </w:t>
      </w:r>
      <w:r w:rsidRPr="005422F1">
        <w:t>(Dz.U. 2015 poz. 1405).</w:t>
      </w:r>
    </w:p>
    <w:p w14:paraId="62144A7D" w14:textId="66543D98" w:rsidR="00F34BD4" w:rsidRDefault="00F34BD4" w:rsidP="00373FD3">
      <w:r>
        <w:t xml:space="preserve">Dodatkowo jednostkowe informacje o wysokości oszczędności energii finalnej raportowane do </w:t>
      </w:r>
      <w:r w:rsidRPr="00EF4FC0">
        <w:t>Centralnego Rejestru Oszczędności Energii Finalnej</w:t>
      </w:r>
      <w:r>
        <w:t xml:space="preserve"> są wer</w:t>
      </w:r>
      <w:r w:rsidRPr="00EF4FC0">
        <w:t>yfik</w:t>
      </w:r>
      <w:r>
        <w:t>owane</w:t>
      </w:r>
      <w:r w:rsidRPr="00EF4FC0">
        <w:t xml:space="preserve"> przez administratorów systemu. Każde przedsięwzięcie dodane w CROEF musi zostać sprawdzone pod względem merytorycznym</w:t>
      </w:r>
      <w:r>
        <w:t xml:space="preserve"> (tj. rodzaj przedsięwzięcia, ilość średniorocznych oszczędności, okres uzyskiwania oszczędności oraz potwierdzenie uzyskiwanych oszczędności energii finalnej)</w:t>
      </w:r>
      <w:r w:rsidRPr="00EF4FC0">
        <w:t xml:space="preserve"> przez administratora </w:t>
      </w:r>
      <w:r w:rsidR="006A05FC">
        <w:t xml:space="preserve">w </w:t>
      </w:r>
      <w:r w:rsidRPr="00EF4FC0">
        <w:t>Ministerstw</w:t>
      </w:r>
      <w:r w:rsidR="006A05FC">
        <w:t>ie</w:t>
      </w:r>
      <w:r w:rsidRPr="00EF4FC0">
        <w:t xml:space="preserve"> Klimatu i Środowiska. </w:t>
      </w:r>
    </w:p>
    <w:p w14:paraId="5AA4C83F" w14:textId="77777777" w:rsidR="00F34BD4" w:rsidRPr="00BC7E57" w:rsidRDefault="00F34BD4" w:rsidP="00291640">
      <w:pPr>
        <w:pStyle w:val="Nagwek3"/>
      </w:pPr>
      <w:bookmarkStart w:id="18" w:name="_Toc202967816"/>
      <w:r>
        <w:lastRenderedPageBreak/>
        <w:t xml:space="preserve">Ulga </w:t>
      </w:r>
      <w:r w:rsidRPr="0030445A">
        <w:t>podatkowa dotycząca wydatków poniesionych na termomodernizację jednorodzinnych budynków mieszkalnych</w:t>
      </w:r>
      <w:bookmarkEnd w:id="18"/>
    </w:p>
    <w:p w14:paraId="7EA2F2B9" w14:textId="77777777" w:rsidR="00F34BD4" w:rsidRPr="004A2365" w:rsidRDefault="00F34BD4" w:rsidP="00FD4F7A">
      <w:pPr>
        <w:pStyle w:val="Nagwek4"/>
      </w:pPr>
      <w:r w:rsidRPr="00386B26">
        <w:t>Skrócony</w:t>
      </w:r>
      <w:r w:rsidRPr="004A2365">
        <w:t xml:space="preserve"> opis </w:t>
      </w:r>
      <w:r>
        <w:t>środka alternatywnego</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top w:w="28" w:type="dxa"/>
          <w:bottom w:w="28" w:type="dxa"/>
        </w:tblCellMar>
        <w:tblLook w:val="04A0" w:firstRow="1" w:lastRow="0" w:firstColumn="1" w:lastColumn="0" w:noHBand="0" w:noVBand="1"/>
      </w:tblPr>
      <w:tblGrid>
        <w:gridCol w:w="1644"/>
        <w:gridCol w:w="7085"/>
      </w:tblGrid>
      <w:tr w:rsidR="00F34BD4" w:rsidRPr="0030445A" w14:paraId="645108F9" w14:textId="77777777" w:rsidTr="00735F4A">
        <w:tc>
          <w:tcPr>
            <w:tcW w:w="1644" w:type="dxa"/>
            <w:vAlign w:val="center"/>
          </w:tcPr>
          <w:p w14:paraId="4C469B3E"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 alternatywnego</w:t>
            </w:r>
          </w:p>
        </w:tc>
        <w:tc>
          <w:tcPr>
            <w:tcW w:w="7085" w:type="dxa"/>
            <w:vAlign w:val="center"/>
          </w:tcPr>
          <w:p w14:paraId="4BBE7310" w14:textId="77777777" w:rsidR="00F34BD4" w:rsidRPr="002B0945" w:rsidRDefault="00F34BD4" w:rsidP="00FF3BC7">
            <w:pPr>
              <w:spacing w:line="276" w:lineRule="auto"/>
              <w:rPr>
                <w:b/>
                <w:bCs/>
              </w:rPr>
            </w:pPr>
            <w:r w:rsidRPr="0030445A">
              <w:rPr>
                <w:b/>
                <w:bCs/>
              </w:rPr>
              <w:t>Ulga podatkowa dotycząca wydatków poniesionych na termomodernizację jednorodzinnych budynków mieszkalnych</w:t>
            </w:r>
            <w:r>
              <w:rPr>
                <w:b/>
                <w:bCs/>
              </w:rPr>
              <w:t>, tzw. ulga termomodernizacyjna</w:t>
            </w:r>
          </w:p>
        </w:tc>
      </w:tr>
      <w:tr w:rsidR="00F34BD4" w:rsidRPr="004A2365" w14:paraId="4ED78B26" w14:textId="77777777" w:rsidTr="00735F4A">
        <w:tc>
          <w:tcPr>
            <w:tcW w:w="1644" w:type="dxa"/>
            <w:vAlign w:val="center"/>
          </w:tcPr>
          <w:p w14:paraId="13D22255"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7F7BE39A" w14:textId="77777777" w:rsidR="00F34BD4" w:rsidRPr="004A2365" w:rsidRDefault="00F34BD4" w:rsidP="00FF3BC7">
            <w:pPr>
              <w:spacing w:line="276" w:lineRule="auto"/>
              <w:rPr>
                <w:rFonts w:cs="Times New Roman"/>
              </w:rPr>
            </w:pPr>
            <w:r w:rsidRPr="004A2365">
              <w:rPr>
                <w:rFonts w:cs="Times New Roman"/>
              </w:rPr>
              <w:t>Mechanizm finansowy</w:t>
            </w:r>
          </w:p>
        </w:tc>
      </w:tr>
      <w:tr w:rsidR="00F34BD4" w:rsidRPr="004A2365" w14:paraId="2BB10D3C" w14:textId="77777777" w:rsidTr="00735F4A">
        <w:tc>
          <w:tcPr>
            <w:tcW w:w="1644" w:type="dxa"/>
            <w:vAlign w:val="center"/>
          </w:tcPr>
          <w:p w14:paraId="3E02028D"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Cel </w:t>
            </w:r>
          </w:p>
        </w:tc>
        <w:tc>
          <w:tcPr>
            <w:tcW w:w="7085" w:type="dxa"/>
            <w:vAlign w:val="center"/>
          </w:tcPr>
          <w:p w14:paraId="6E28BB94" w14:textId="77777777" w:rsidR="00F34BD4" w:rsidRPr="00434C6D" w:rsidRDefault="00F34BD4" w:rsidP="00FF3BC7">
            <w:pPr>
              <w:spacing w:line="276" w:lineRule="auto"/>
              <w:rPr>
                <w:rFonts w:cs="Times New Roman"/>
              </w:rPr>
            </w:pPr>
            <w:r>
              <w:rPr>
                <w:rFonts w:cs="Times New Roman"/>
              </w:rPr>
              <w:t>S</w:t>
            </w:r>
            <w:r w:rsidRPr="00434C6D">
              <w:rPr>
                <w:rFonts w:cs="Times New Roman"/>
              </w:rPr>
              <w:t>tworzenie w podatku dochodowym od osób fizycznych zachęty do termomodernizacji jednorodzinnych budynków mieszkalnych.</w:t>
            </w:r>
          </w:p>
        </w:tc>
      </w:tr>
      <w:tr w:rsidR="00F34BD4" w:rsidRPr="004A2365" w14:paraId="3038D1AA" w14:textId="77777777" w:rsidTr="00735F4A">
        <w:tc>
          <w:tcPr>
            <w:tcW w:w="1644" w:type="dxa"/>
            <w:vAlign w:val="center"/>
          </w:tcPr>
          <w:p w14:paraId="42558300"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Działania </w:t>
            </w:r>
          </w:p>
        </w:tc>
        <w:tc>
          <w:tcPr>
            <w:tcW w:w="7085" w:type="dxa"/>
            <w:vAlign w:val="center"/>
          </w:tcPr>
          <w:p w14:paraId="658F666C" w14:textId="61CB76F0" w:rsidR="00F34BD4" w:rsidRPr="00E91B9B" w:rsidRDefault="00F34BD4" w:rsidP="00FF3BC7">
            <w:pPr>
              <w:spacing w:line="276" w:lineRule="auto"/>
              <w:rPr>
                <w:rFonts w:cs="Times New Roman"/>
              </w:rPr>
            </w:pPr>
            <w:r w:rsidRPr="00E91B9B">
              <w:rPr>
                <w:rFonts w:cs="Times New Roman"/>
              </w:rPr>
              <w:t>Szczegółowy wykaz rodzajów materiałów budowlanych, urządzeń i usług związanych z realizacją przedsięwzięć termomodernizacyjnych objętych wsparciem określa rozporządzenie Ministra Inwestycji i Rozwoju z dnia 21</w:t>
            </w:r>
            <w:r w:rsidR="00735F4A">
              <w:rPr>
                <w:rFonts w:cs="Times New Roman"/>
              </w:rPr>
              <w:t> </w:t>
            </w:r>
            <w:r w:rsidRPr="00E91B9B">
              <w:rPr>
                <w:rFonts w:cs="Times New Roman"/>
              </w:rPr>
              <w:t>grudnia 2018 r.</w:t>
            </w:r>
            <w:r>
              <w:rPr>
                <w:rFonts w:cs="Times New Roman"/>
              </w:rPr>
              <w:t xml:space="preserve"> </w:t>
            </w:r>
            <w:r w:rsidRPr="00075176">
              <w:rPr>
                <w:rFonts w:cs="Times New Roman"/>
                <w:i/>
                <w:iCs/>
              </w:rPr>
              <w:t>w sprawie określenia wykazu rodzajów materiałów budowlanych, urządzeń i usług związanych z realizacją przedsięwzięć termomodernizacyjnych</w:t>
            </w:r>
            <w:r w:rsidR="00EC187E">
              <w:rPr>
                <w:rStyle w:val="Odwoanieprzypisudolnego"/>
                <w:rFonts w:cs="Times New Roman"/>
                <w:i/>
                <w:iCs/>
              </w:rPr>
              <w:footnoteReference w:id="9"/>
            </w:r>
            <w:r>
              <w:rPr>
                <w:rFonts w:cs="Times New Roman"/>
              </w:rPr>
              <w:t>.</w:t>
            </w:r>
            <w:r w:rsidRPr="00E91B9B">
              <w:rPr>
                <w:rFonts w:cs="Times New Roman"/>
              </w:rPr>
              <w:t xml:space="preserve"> Ulga termomodernizacyjna przysługuje w szczególności na następujące materiały budowlane, urządzenia i usługi:</w:t>
            </w:r>
          </w:p>
          <w:p w14:paraId="49592BC1" w14:textId="77777777" w:rsidR="00F34BD4" w:rsidRPr="00E91B9B" w:rsidRDefault="00F34BD4" w:rsidP="00767FC5">
            <w:pPr>
              <w:pStyle w:val="Akapitzlist"/>
              <w:numPr>
                <w:ilvl w:val="0"/>
                <w:numId w:val="8"/>
              </w:numPr>
              <w:spacing w:line="276" w:lineRule="auto"/>
              <w:rPr>
                <w:rFonts w:cs="Times New Roman"/>
              </w:rPr>
            </w:pPr>
            <w:r w:rsidRPr="00E91B9B">
              <w:rPr>
                <w:rFonts w:cs="Times New Roman"/>
              </w:rPr>
              <w:t xml:space="preserve">stolarka okienna i drzwiowa, </w:t>
            </w:r>
          </w:p>
          <w:p w14:paraId="7CF061E0" w14:textId="29A94203" w:rsidR="00F34BD4" w:rsidRPr="00E91B9B" w:rsidRDefault="00F34BD4" w:rsidP="00767FC5">
            <w:pPr>
              <w:pStyle w:val="Akapitzlist"/>
              <w:numPr>
                <w:ilvl w:val="0"/>
                <w:numId w:val="8"/>
              </w:numPr>
              <w:spacing w:line="276" w:lineRule="auto"/>
              <w:rPr>
                <w:rFonts w:cs="Times New Roman"/>
              </w:rPr>
            </w:pPr>
            <w:r w:rsidRPr="00E91B9B">
              <w:rPr>
                <w:rFonts w:cs="Times New Roman"/>
              </w:rPr>
              <w:t>materiały budowlane wchodzące w skład instalacji ogrzewczej, przygotowania ciepłej wody użytkowej, systemu ogrzewania elektrycznego,</w:t>
            </w:r>
            <w:r w:rsidR="00767FC5">
              <w:rPr>
                <w:rFonts w:cs="Times New Roman"/>
              </w:rPr>
              <w:t xml:space="preserve"> </w:t>
            </w:r>
          </w:p>
          <w:p w14:paraId="2CE7DB9E" w14:textId="44B5589B" w:rsidR="00F34BD4" w:rsidRPr="00E91B9B" w:rsidRDefault="00F34BD4" w:rsidP="00767FC5">
            <w:pPr>
              <w:pStyle w:val="Akapitzlist"/>
              <w:numPr>
                <w:ilvl w:val="0"/>
                <w:numId w:val="8"/>
              </w:numPr>
              <w:spacing w:line="276" w:lineRule="auto"/>
              <w:rPr>
                <w:rFonts w:cs="Times New Roman"/>
              </w:rPr>
            </w:pPr>
            <w:r w:rsidRPr="00E91B9B">
              <w:rPr>
                <w:rFonts w:cs="Times New Roman"/>
              </w:rPr>
              <w:t>pompa ciepła, kolektor słoneczny lub ogniwo fotowoltaiczne wraz z</w:t>
            </w:r>
            <w:r w:rsidR="00735F4A">
              <w:rPr>
                <w:rFonts w:cs="Times New Roman"/>
              </w:rPr>
              <w:t> </w:t>
            </w:r>
            <w:r w:rsidRPr="00E91B9B">
              <w:rPr>
                <w:rFonts w:cs="Times New Roman"/>
              </w:rPr>
              <w:t>osprzętem,</w:t>
            </w:r>
            <w:r w:rsidR="00767FC5">
              <w:rPr>
                <w:rFonts w:cs="Times New Roman"/>
              </w:rPr>
              <w:t xml:space="preserve"> </w:t>
            </w:r>
          </w:p>
          <w:p w14:paraId="55E0FF02" w14:textId="77777777" w:rsidR="00F34BD4" w:rsidRPr="00E91B9B" w:rsidRDefault="00F34BD4" w:rsidP="00767FC5">
            <w:pPr>
              <w:pStyle w:val="Akapitzlist"/>
              <w:numPr>
                <w:ilvl w:val="0"/>
                <w:numId w:val="8"/>
              </w:numPr>
              <w:spacing w:line="276" w:lineRule="auto"/>
              <w:rPr>
                <w:rFonts w:cs="Times New Roman"/>
              </w:rPr>
            </w:pPr>
            <w:r w:rsidRPr="00E91B9B">
              <w:rPr>
                <w:rFonts w:cs="Times New Roman"/>
              </w:rPr>
              <w:t>montaż ww. materiałów i urządzeń,</w:t>
            </w:r>
          </w:p>
          <w:p w14:paraId="33A3DBED" w14:textId="77777777" w:rsidR="00F34BD4" w:rsidRPr="00E91B9B" w:rsidRDefault="00F34BD4" w:rsidP="00767FC5">
            <w:pPr>
              <w:pStyle w:val="Akapitzlist"/>
              <w:numPr>
                <w:ilvl w:val="0"/>
                <w:numId w:val="8"/>
              </w:numPr>
              <w:spacing w:line="276" w:lineRule="auto"/>
              <w:rPr>
                <w:rFonts w:cs="Times New Roman"/>
              </w:rPr>
            </w:pPr>
            <w:r w:rsidRPr="00E91B9B">
              <w:rPr>
                <w:rFonts w:cs="Times New Roman"/>
              </w:rPr>
              <w:t>uruchomienie i regulacja źródła ciepła oraz analiza spalin, regulacja i równoważenie hydrauliczne instalacji, demontaż źródła ciepła na paliwo stałe</w:t>
            </w:r>
            <w:r>
              <w:rPr>
                <w:rFonts w:cs="Times New Roman"/>
              </w:rPr>
              <w:t>.</w:t>
            </w:r>
          </w:p>
        </w:tc>
      </w:tr>
      <w:tr w:rsidR="00F34BD4" w:rsidRPr="004A2365" w14:paraId="19B3527C" w14:textId="77777777" w:rsidTr="00735F4A">
        <w:tc>
          <w:tcPr>
            <w:tcW w:w="1644" w:type="dxa"/>
            <w:vAlign w:val="center"/>
          </w:tcPr>
          <w:p w14:paraId="0ED033F0"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Typ beneficjentów</w:t>
            </w:r>
          </w:p>
        </w:tc>
        <w:tc>
          <w:tcPr>
            <w:tcW w:w="7085" w:type="dxa"/>
            <w:vAlign w:val="center"/>
          </w:tcPr>
          <w:p w14:paraId="6465351C" w14:textId="77777777" w:rsidR="00F34BD4" w:rsidRPr="004A2365" w:rsidRDefault="00F34BD4" w:rsidP="00FF3BC7">
            <w:pPr>
              <w:spacing w:line="276" w:lineRule="auto"/>
              <w:rPr>
                <w:rFonts w:cs="Times New Roman"/>
              </w:rPr>
            </w:pPr>
            <w:r w:rsidRPr="00162696">
              <w:rPr>
                <w:rFonts w:cs="Times New Roman"/>
              </w:rPr>
              <w:t xml:space="preserve">Beneficjentami ulgi termomodernizacyjnej są podatnicy podatku PIT, będący właścicielami lub współwłaścicielami jednorodzinnych budynków mieszkalnych, ponoszący wydatki na realizację przedsięwzięć termomodernizacyjnych </w:t>
            </w:r>
          </w:p>
        </w:tc>
      </w:tr>
      <w:tr w:rsidR="00F34BD4" w:rsidRPr="004A2365" w14:paraId="7913F375" w14:textId="77777777" w:rsidTr="00735F4A">
        <w:tc>
          <w:tcPr>
            <w:tcW w:w="1644" w:type="dxa"/>
            <w:vAlign w:val="center"/>
          </w:tcPr>
          <w:p w14:paraId="0F701453"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wdrażająca</w:t>
            </w:r>
          </w:p>
        </w:tc>
        <w:tc>
          <w:tcPr>
            <w:tcW w:w="7085" w:type="dxa"/>
            <w:vAlign w:val="center"/>
          </w:tcPr>
          <w:p w14:paraId="59C86D3F" w14:textId="77777777" w:rsidR="00F34BD4" w:rsidRPr="004A2365" w:rsidRDefault="00F34BD4" w:rsidP="00FF3BC7">
            <w:pPr>
              <w:spacing w:line="276" w:lineRule="auto"/>
              <w:rPr>
                <w:rFonts w:cs="Times New Roman"/>
              </w:rPr>
            </w:pPr>
            <w:r w:rsidRPr="00144CD2">
              <w:rPr>
                <w:rFonts w:cs="Times New Roman"/>
              </w:rPr>
              <w:t>Minister Finansów</w:t>
            </w:r>
            <w:r>
              <w:rPr>
                <w:rFonts w:cs="Times New Roman"/>
              </w:rPr>
              <w:t xml:space="preserve"> (MF)</w:t>
            </w:r>
          </w:p>
        </w:tc>
      </w:tr>
      <w:tr w:rsidR="00F34BD4" w:rsidRPr="004A2365" w14:paraId="5C61C8D0" w14:textId="77777777" w:rsidTr="00735F4A">
        <w:tc>
          <w:tcPr>
            <w:tcW w:w="1644" w:type="dxa"/>
            <w:vAlign w:val="center"/>
          </w:tcPr>
          <w:p w14:paraId="0D6FCD16"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nadzorująca</w:t>
            </w:r>
          </w:p>
        </w:tc>
        <w:tc>
          <w:tcPr>
            <w:tcW w:w="7085" w:type="dxa"/>
            <w:vAlign w:val="center"/>
          </w:tcPr>
          <w:p w14:paraId="151B88F5" w14:textId="77777777" w:rsidR="00F34BD4" w:rsidRPr="004A2365" w:rsidRDefault="00F34BD4" w:rsidP="00FF3BC7">
            <w:pPr>
              <w:spacing w:line="276" w:lineRule="auto"/>
              <w:rPr>
                <w:rFonts w:cs="Times New Roman"/>
              </w:rPr>
            </w:pPr>
            <w:r>
              <w:rPr>
                <w:rFonts w:cs="Times New Roman"/>
              </w:rPr>
              <w:t>MF</w:t>
            </w:r>
          </w:p>
        </w:tc>
      </w:tr>
    </w:tbl>
    <w:p w14:paraId="2E61BB0A" w14:textId="77777777" w:rsidR="00F34BD4" w:rsidRPr="004A2365" w:rsidRDefault="00F34BD4" w:rsidP="00FD4F7A">
      <w:pPr>
        <w:pStyle w:val="Nagwek4"/>
      </w:pPr>
      <w:r>
        <w:t>Opis środka alternatywnego</w:t>
      </w:r>
    </w:p>
    <w:p w14:paraId="7651428D" w14:textId="118D2CFF" w:rsidR="00F34BD4" w:rsidRPr="001244D0" w:rsidRDefault="00F34BD4" w:rsidP="00373FD3">
      <w:r w:rsidRPr="001244D0">
        <w:t>Przedmiotowy środek z dziedziny polityki polega na wprowadzeniu ulgi podatkowej, zwanej „ulgą termomodernizacyjną”, której celem jest stworzenie w podatku dochodowym od osób fizycznych zachęty do termomodernizacji jednorodzinnych budynków mieszkalnych.</w:t>
      </w:r>
      <w:r w:rsidR="00767FC5">
        <w:t xml:space="preserve"> </w:t>
      </w:r>
    </w:p>
    <w:p w14:paraId="267305D9" w14:textId="2A39AF11" w:rsidR="00F34BD4" w:rsidRPr="001244D0" w:rsidRDefault="00F34BD4" w:rsidP="00373FD3">
      <w:r w:rsidRPr="001244D0">
        <w:t>Dotychczasowe wsparcie państwa w zakresie termomodernizacji budynków mieszkalnych udzielane w</w:t>
      </w:r>
      <w:r w:rsidR="00735F4A">
        <w:t> </w:t>
      </w:r>
      <w:r w:rsidRPr="001244D0">
        <w:t xml:space="preserve">ramach środków z budżetu państwa polegające, jest niewystarczające dla osiągniecia wymaganych efektów w zakresie poprawy efektywności energetycznej. Stąd też obecnie w Polsce następuje </w:t>
      </w:r>
      <w:r w:rsidRPr="001244D0">
        <w:lastRenderedPageBreak/>
        <w:t>intensyfikacja działań państwa nakierowanych na jakości powietrza oraz efektywności energetycznej budynków mieszkalnych jednorodzinnych poprzez ich termomodernizację, czyli zmniejszenie zapotrzebowania na energię cieplną i wynikające z tego zmniejszenie wielkości emisji zanieczyszczenia z</w:t>
      </w:r>
      <w:r w:rsidR="00735F4A">
        <w:t> </w:t>
      </w:r>
      <w:r w:rsidRPr="001244D0">
        <w:t xml:space="preserve">procesu spalania paliw do celów grzewczych. </w:t>
      </w:r>
    </w:p>
    <w:p w14:paraId="25B41B98" w14:textId="7973AF2A" w:rsidR="00F34BD4" w:rsidRPr="001244D0" w:rsidRDefault="00F34BD4" w:rsidP="00373FD3">
      <w:r>
        <w:t xml:space="preserve">Została zatem </w:t>
      </w:r>
      <w:r w:rsidRPr="001244D0">
        <w:t>stworzon</w:t>
      </w:r>
      <w:r>
        <w:t>a</w:t>
      </w:r>
      <w:r w:rsidRPr="001244D0">
        <w:t xml:space="preserve"> zachęt</w:t>
      </w:r>
      <w:r>
        <w:t>a</w:t>
      </w:r>
      <w:r w:rsidRPr="001244D0">
        <w:t xml:space="preserve"> podatkową dla właścicieli budynków mieszkalnych jednorodzinnych, którzy będą w stanie sfinansować przedsięwzięcie termomodernizacyjne bez udziału środków publicznych. Do tych osób, będących podatnikami podatku dochodowego od osób fizycznych, skierowano instrument fiskalny, w postaci odliczenia od dochodów (lub przychodów) wydatków związanych z</w:t>
      </w:r>
      <w:r w:rsidR="00735F4A">
        <w:t> </w:t>
      </w:r>
      <w:r w:rsidRPr="001244D0">
        <w:t>realizacją przedsięwzięć termomodernizacyjnych w jednorodzinnych budynkach mieszkalnych. Wsparcie państwa</w:t>
      </w:r>
      <w:r w:rsidR="00767FC5">
        <w:t xml:space="preserve"> </w:t>
      </w:r>
      <w:r w:rsidRPr="001244D0">
        <w:t xml:space="preserve">w tym przypadku polega na rezygnacji z części podatku od tych osób w związku ze zrealizowaniem przedsięwzięcia termomodernizacyjnego. </w:t>
      </w:r>
    </w:p>
    <w:p w14:paraId="09934DD2" w14:textId="77777777" w:rsidR="00F34BD4" w:rsidRDefault="00F34BD4" w:rsidP="00373FD3">
      <w:r w:rsidRPr="001244D0">
        <w:t xml:space="preserve">Ulga termomodernizacyjna polega na odliczeniu od dochodu (lub przychodu) wydatków poniesionych na realizację przedsięwzięcia termomodernizacyjnego, przy czym odliczenie to jest limitowane. Odliczeniu podlega 23% wydatków, przy czym ogólna kwota odliczeń nie może przekroczyć 53 tysięcy złotych, bez względu na liczbę realizowanych przedsięwzięć termomodernizacyjnych w poszczególnych latach. W celu zmobilizowania beneficjentów pomocy państwa do nierozciągania w czasie przedsięwzięcia termomodernizacyjnego wprowadzono ograniczenie realizacji tego przedsięwzięcia do 3 kolejnych lat. </w:t>
      </w:r>
    </w:p>
    <w:p w14:paraId="3ED0939E" w14:textId="14DA55A4" w:rsidR="00F34BD4" w:rsidRPr="00D94B5E" w:rsidRDefault="00F34BD4" w:rsidP="00FD4F7A">
      <w:pPr>
        <w:pStyle w:val="Nagwek4"/>
      </w:pPr>
      <w:r w:rsidRPr="00A40D2C">
        <w:t xml:space="preserve">Zastosowane metody obliczeniowe, o których mowa w pkt 1 Załącznika V do dyrektywy </w:t>
      </w:r>
      <w:r w:rsidR="00C204DC">
        <w:t>2023/1791</w:t>
      </w:r>
    </w:p>
    <w:p w14:paraId="62BBF73A" w14:textId="16B87F42" w:rsidR="00F34BD4" w:rsidRPr="00D62DB9" w:rsidRDefault="00F34BD4" w:rsidP="00373FD3">
      <w:r w:rsidRPr="00D62DB9">
        <w:t>Mając na uwadze szeroki zakres przedstawionego środka</w:t>
      </w:r>
      <w:r>
        <w:t xml:space="preserve"> oraz faktem, że jego charakteryzuje się on prostym dla beneficjenta odliczeniem od podatku kosztów poniesionych w związku z przeprowadzonym przedsięwzięciem mającym na celu poprawę efektywności energetycznej </w:t>
      </w:r>
      <w:r w:rsidRPr="00D62DB9">
        <w:t xml:space="preserve">oszczędności zostaną obliczone na podstawie szacunków ekspertów, metodą </w:t>
      </w:r>
      <w:r>
        <w:t>skalowaną</w:t>
      </w:r>
      <w:r w:rsidRPr="00D62DB9">
        <w:t xml:space="preserve"> (</w:t>
      </w:r>
      <w:r w:rsidR="00735F4A">
        <w:t xml:space="preserve">ang. </w:t>
      </w:r>
      <w:r w:rsidRPr="00735F4A">
        <w:rPr>
          <w:i/>
          <w:iCs/>
        </w:rPr>
        <w:t>scaled savings</w:t>
      </w:r>
      <w:r w:rsidRPr="00D62DB9">
        <w:t xml:space="preserve">). </w:t>
      </w:r>
    </w:p>
    <w:p w14:paraId="60085C50" w14:textId="77777777" w:rsidR="00F34BD4" w:rsidRPr="00DB3E40" w:rsidRDefault="00F34BD4" w:rsidP="00FD4F7A">
      <w:pPr>
        <w:pStyle w:val="Nagwek4"/>
      </w:pPr>
      <w:r w:rsidRPr="00DB3E40">
        <w:t>Metoda wyrażania wielkości oszczędności energii (oszczędność energii pierwotnej lub finalnej)</w:t>
      </w:r>
    </w:p>
    <w:p w14:paraId="3BCA46A6" w14:textId="77777777" w:rsidR="00F34BD4" w:rsidRDefault="00F34BD4" w:rsidP="00373FD3">
      <w:r w:rsidRPr="00D62DB9">
        <w:t xml:space="preserve">Oszczędność energii wynikająca z przedstawionego środka poprawy efektywności energetycznej wyrażana jest w energii finalnej toe na rok. </w:t>
      </w:r>
    </w:p>
    <w:p w14:paraId="5A05231F" w14:textId="77777777" w:rsidR="00F34BD4" w:rsidRPr="00DB3E40" w:rsidRDefault="00F34BD4" w:rsidP="00FD4F7A">
      <w:pPr>
        <w:pStyle w:val="Nagwek4"/>
      </w:pPr>
      <w:r w:rsidRPr="00DB3E40">
        <w:t>Okres obowiązywania środków i tempo zmniejszania się oszczędności w tym okresie</w:t>
      </w:r>
    </w:p>
    <w:p w14:paraId="12214DC8" w14:textId="5226B8AA" w:rsidR="00F34BD4" w:rsidRPr="00DB3E40" w:rsidRDefault="00F34BD4" w:rsidP="00373FD3">
      <w:r w:rsidRPr="00DB3E40">
        <w:t>Zgodnie z Dodatkiem VIII</w:t>
      </w:r>
      <w:r w:rsidR="00933722">
        <w:t>.</w:t>
      </w:r>
      <w:r w:rsidRPr="00933722">
        <w:rPr>
          <w:i/>
          <w:iCs/>
        </w:rPr>
        <w:t xml:space="preserve"> Okres obowiązywania środków i tempo zmniejszania się oszczędności w tym okresie</w:t>
      </w:r>
      <w:r w:rsidRPr="00373FD3">
        <w:t xml:space="preserve"> </w:t>
      </w:r>
      <w:r w:rsidRPr="00DB3E40">
        <w:t>do Zalece</w:t>
      </w:r>
      <w:r w:rsidR="00723E25">
        <w:t>nia</w:t>
      </w:r>
      <w:r w:rsidRPr="00DB3E40">
        <w:t xml:space="preserve"> Komisji </w:t>
      </w:r>
      <w:r w:rsidR="00723E25">
        <w:t>Europejskiej</w:t>
      </w:r>
      <w:r w:rsidR="00723E25" w:rsidRPr="00723E25">
        <w:t xml:space="preserve"> 2019/1658</w:t>
      </w:r>
      <w:r w:rsidR="00723E25">
        <w:t xml:space="preserve"> </w:t>
      </w:r>
      <w:r w:rsidRPr="00DB3E40">
        <w:t xml:space="preserve">określono orientacyjne czasy trwania środka. W ramach realizacji programu wykonywane są następujące zadania: </w:t>
      </w:r>
    </w:p>
    <w:p w14:paraId="22B1AC41" w14:textId="6FB11288" w:rsidR="00F34BD4" w:rsidRDefault="00F34BD4" w:rsidP="00767FC5">
      <w:pPr>
        <w:numPr>
          <w:ilvl w:val="0"/>
          <w:numId w:val="19"/>
        </w:numPr>
      </w:pPr>
      <w:r>
        <w:t xml:space="preserve">przedsięwzięcie niskoemisyjne zgodnie z art. 2 ust. 1b) ustawy z dnia 21 listopada 2008 </w:t>
      </w:r>
      <w:r w:rsidR="0011179A">
        <w:t>r.</w:t>
      </w:r>
      <w:r>
        <w:t xml:space="preserve"> o</w:t>
      </w:r>
      <w:r w:rsidR="0011179A">
        <w:t> </w:t>
      </w:r>
      <w:r>
        <w:t>wspieraniu termomodernizacji i remontów oraz o centralnej ewidencji emisyjności budynków,</w:t>
      </w:r>
    </w:p>
    <w:p w14:paraId="1529EEBE" w14:textId="1E4EDA62" w:rsidR="00F34BD4" w:rsidRPr="00DB3E40" w:rsidRDefault="00F34BD4" w:rsidP="00767FC5">
      <w:pPr>
        <w:numPr>
          <w:ilvl w:val="0"/>
          <w:numId w:val="19"/>
        </w:numPr>
      </w:pPr>
      <w:r w:rsidRPr="00DB3E40">
        <w:t xml:space="preserve">przedsięwzięcie termomodernizacyjne w rozumieniu </w:t>
      </w:r>
      <w:hyperlink r:id="rId18" w:history="1">
        <w:r w:rsidRPr="00DB3E40">
          <w:t>art. 2 pkt 2</w:t>
        </w:r>
      </w:hyperlink>
      <w:r w:rsidRPr="00DB3E40">
        <w:t xml:space="preserve"> ustawy z dnia 21 listopada 2008</w:t>
      </w:r>
      <w:r w:rsidR="0011179A">
        <w:t> </w:t>
      </w:r>
      <w:r w:rsidRPr="00DB3E40">
        <w:t xml:space="preserve">r. </w:t>
      </w:r>
      <w:r w:rsidRPr="00373FD3">
        <w:t>o wspieraniu termomodernizacji i remontów oraz o centralnej ewidencji emisyjności budynków</w:t>
      </w:r>
      <w:r w:rsidRPr="00DB3E40">
        <w:t xml:space="preserve">, </w:t>
      </w:r>
    </w:p>
    <w:p w14:paraId="04B89A30" w14:textId="2F89DB2D" w:rsidR="00F34BD4" w:rsidRPr="00DB3E40" w:rsidRDefault="00F34BD4" w:rsidP="00767FC5">
      <w:pPr>
        <w:numPr>
          <w:ilvl w:val="0"/>
          <w:numId w:val="19"/>
        </w:numPr>
      </w:pPr>
      <w:r w:rsidRPr="00DB3E40">
        <w:t xml:space="preserve">przedsięwzięcie remontowe w rozumieniu </w:t>
      </w:r>
      <w:hyperlink r:id="rId19" w:history="1">
        <w:r w:rsidRPr="00DB3E40">
          <w:t>art. 2 pkt 3</w:t>
        </w:r>
      </w:hyperlink>
      <w:r w:rsidRPr="00DB3E40">
        <w:t xml:space="preserve"> ustawy z dnia 21 listopada 2008 r. </w:t>
      </w:r>
      <w:r w:rsidRPr="00373FD3">
        <w:t>o</w:t>
      </w:r>
      <w:r w:rsidR="0011179A">
        <w:t> </w:t>
      </w:r>
      <w:r w:rsidRPr="00373FD3">
        <w:t>wspieraniu termomodernizacji i remontów oraz o centralnej ewidencji emisyjności budynków</w:t>
      </w:r>
      <w:r w:rsidRPr="00DB3E40">
        <w:t xml:space="preserve">, </w:t>
      </w:r>
    </w:p>
    <w:p w14:paraId="38FFC887" w14:textId="0D32A80F" w:rsidR="00F34BD4" w:rsidRPr="00DB3E40" w:rsidRDefault="00F34BD4" w:rsidP="00767FC5">
      <w:pPr>
        <w:numPr>
          <w:ilvl w:val="0"/>
          <w:numId w:val="19"/>
        </w:numPr>
      </w:pPr>
      <w:r w:rsidRPr="00DB3E40">
        <w:t xml:space="preserve">przedsięwzięcie termomodernizacyjne finansowane ze środków, o których mowa w </w:t>
      </w:r>
      <w:hyperlink r:id="rId20" w:history="1">
        <w:r w:rsidRPr="00DB3E40">
          <w:t>art. 18 ust. 3 pkt 2-6</w:t>
        </w:r>
      </w:hyperlink>
      <w:r w:rsidRPr="00DB3E40">
        <w:t xml:space="preserve"> ustawy z dnia 20 maja 2016 r. </w:t>
      </w:r>
      <w:r w:rsidRPr="00373FD3">
        <w:t>o efektywności energetycznej</w:t>
      </w:r>
      <w:r w:rsidRPr="00DB3E40">
        <w:t xml:space="preserve"> (Dz.U. z 2021 r. </w:t>
      </w:r>
      <w:hyperlink r:id="rId21" w:history="1">
        <w:r w:rsidRPr="00DB3E40">
          <w:t>poz. 2166</w:t>
        </w:r>
      </w:hyperlink>
      <w:r w:rsidRPr="00DB3E40">
        <w:t>).</w:t>
      </w:r>
    </w:p>
    <w:p w14:paraId="47BCB983" w14:textId="77777777" w:rsidR="00F34BD4" w:rsidRPr="00DB3E40" w:rsidRDefault="00F34BD4" w:rsidP="00373FD3">
      <w:r w:rsidRPr="00DB3E40">
        <w:lastRenderedPageBreak/>
        <w:t xml:space="preserve">Biorąc pod uwagę rodzaj przedsięwzięć realizowanych w ramach programu czas obowiązywania środków będzie nie dłuższy </w:t>
      </w:r>
      <w:r w:rsidRPr="00373FD3">
        <w:t>niż 25 lat</w:t>
      </w:r>
      <w:r w:rsidRPr="00DB3E40">
        <w:t xml:space="preserve">. </w:t>
      </w:r>
    </w:p>
    <w:p w14:paraId="74B5173D" w14:textId="77777777" w:rsidR="00F34BD4" w:rsidRPr="001644C2" w:rsidRDefault="00F34BD4" w:rsidP="00FD4F7A">
      <w:pPr>
        <w:pStyle w:val="Nagwek4"/>
      </w:pPr>
      <w:r w:rsidRPr="001644C2">
        <w:t xml:space="preserve">Krótki opis metody obliczania oszczędności energii, w tym sposobów zapewniania dodatkowości i istotności oraz metod i poziomów referencyjnych stosowanych do oszczędności </w:t>
      </w:r>
      <w:r>
        <w:t>szacowanej</w:t>
      </w:r>
      <w:r w:rsidRPr="001644C2">
        <w:t xml:space="preserve"> i skalowanych</w:t>
      </w:r>
    </w:p>
    <w:p w14:paraId="624962E3" w14:textId="1CC00E58" w:rsidR="00F34BD4" w:rsidRPr="00BA30A6" w:rsidRDefault="00F34BD4" w:rsidP="00373FD3">
      <w:r>
        <w:t>Oszczędność energii finalnej szacuje się przy pomocy metody</w:t>
      </w:r>
      <w:r w:rsidRPr="00BA30A6" w:rsidDel="003B3F8F">
        <w:t xml:space="preserve"> </w:t>
      </w:r>
      <w:r w:rsidRPr="00BA30A6">
        <w:t>top-down</w:t>
      </w:r>
      <w:r w:rsidRPr="00373FD3">
        <w:footnoteReference w:id="10"/>
      </w:r>
      <w:r w:rsidRPr="00BA30A6">
        <w:t xml:space="preserve"> na podstawie wysokości odliczeń kosztów poniesionych w ramach inwestycji termomodernizacyjnej. Jako podstawę do obliczeń przyjęto wielkość oszczędności energii uzyskanej przy poniesieniu określonego nakładu inwestycyjnego.</w:t>
      </w:r>
      <w:r w:rsidR="00767FC5">
        <w:t xml:space="preserve"> </w:t>
      </w:r>
      <w:r w:rsidRPr="00BA30A6">
        <w:t>Punkt odniesienia</w:t>
      </w:r>
      <w:r w:rsidR="00767FC5">
        <w:t xml:space="preserve"> </w:t>
      </w:r>
      <w:r w:rsidRPr="00BA30A6">
        <w:t>stanowią</w:t>
      </w:r>
      <w:r w:rsidR="00767FC5">
        <w:t xml:space="preserve"> </w:t>
      </w:r>
      <w:r w:rsidRPr="00BA30A6">
        <w:t>dane uzyskane z realizacji Funduszu Termomodernizacji i Remontów (FT</w:t>
      </w:r>
      <w:r>
        <w:t>iR</w:t>
      </w:r>
      <w:r w:rsidRPr="00BA30A6">
        <w:t>) zarządzanego przez Bank Gospodarstwa Krajowego (BGK) na podstawie ustawy z dnia 21 listopada 2008</w:t>
      </w:r>
      <w:r w:rsidR="0011179A">
        <w:t> </w:t>
      </w:r>
      <w:r w:rsidRPr="00BA30A6">
        <w:t xml:space="preserve">r. </w:t>
      </w:r>
      <w:r w:rsidRPr="00373FD3">
        <w:t>o wspieraniu termomodernizacji i remontów oraz o centralnej ewidencji emisyjności budynków</w:t>
      </w:r>
      <w:r w:rsidRPr="00BA30A6" w:rsidDel="00F05A68">
        <w:t xml:space="preserve"> </w:t>
      </w:r>
      <w:r>
        <w:t xml:space="preserve">oraz dane </w:t>
      </w:r>
      <w:r w:rsidR="004D40A6">
        <w:t>dotyczące</w:t>
      </w:r>
      <w:r w:rsidR="00CB492D">
        <w:t xml:space="preserve"> nakładów</w:t>
      </w:r>
      <w:r w:rsidR="00AD5420">
        <w:t xml:space="preserve"> inwestycyjnych</w:t>
      </w:r>
      <w:r w:rsidR="00F64953">
        <w:t xml:space="preserve"> i kwoty dofinansowania</w:t>
      </w:r>
      <w:r w:rsidR="00B90082">
        <w:t xml:space="preserve"> w ramach</w:t>
      </w:r>
      <w:r w:rsidR="008C641F">
        <w:t xml:space="preserve"> </w:t>
      </w:r>
      <w:r w:rsidR="005A451A">
        <w:t>programów wsparcia</w:t>
      </w:r>
      <w:r w:rsidR="009D776F">
        <w:t xml:space="preserve"> przedsięwzi</w:t>
      </w:r>
      <w:r w:rsidR="00A8589A">
        <w:t xml:space="preserve">ęć </w:t>
      </w:r>
      <w:r w:rsidR="00EE68DA">
        <w:t>termomodernizacyjnych</w:t>
      </w:r>
      <w:r>
        <w:t xml:space="preserve">. </w:t>
      </w:r>
      <w:r w:rsidRPr="00BA30A6">
        <w:t>Wartość oszczędności energii</w:t>
      </w:r>
      <w:r w:rsidR="00767FC5">
        <w:t xml:space="preserve"> </w:t>
      </w:r>
      <w:r w:rsidRPr="00BA30A6">
        <w:t>określono na podstawie</w:t>
      </w:r>
      <w:r w:rsidR="00767FC5">
        <w:t xml:space="preserve"> </w:t>
      </w:r>
      <w:r w:rsidRPr="00BA30A6">
        <w:t>wzoru: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804"/>
        <w:gridCol w:w="1129"/>
      </w:tblGrid>
      <w:tr w:rsidR="00F34BD4" w14:paraId="6F4054AE" w14:textId="77777777">
        <w:tc>
          <w:tcPr>
            <w:tcW w:w="1129" w:type="dxa"/>
          </w:tcPr>
          <w:p w14:paraId="346395AD" w14:textId="77777777" w:rsidR="00F34BD4" w:rsidRDefault="00F34BD4">
            <w:pPr>
              <w:spacing w:line="360" w:lineRule="auto"/>
              <w:rPr>
                <w:highlight w:val="yellow"/>
              </w:rPr>
            </w:pPr>
          </w:p>
        </w:tc>
        <w:tc>
          <w:tcPr>
            <w:tcW w:w="6804" w:type="dxa"/>
          </w:tcPr>
          <w:p w14:paraId="6B71E74F" w14:textId="77777777" w:rsidR="00F34BD4" w:rsidRPr="002C2F73" w:rsidRDefault="00E3653D">
            <w:pPr>
              <w:spacing w:line="360" w:lineRule="auto"/>
              <w:rPr>
                <w:b/>
                <w:bCs/>
                <w:sz w:val="32"/>
                <w:szCs w:val="32"/>
                <w:highlight w:val="yellow"/>
              </w:rPr>
            </w:pPr>
            <m:oMathPara>
              <m:oMath>
                <m:sSub>
                  <m:sSubPr>
                    <m:ctrlPr>
                      <w:rPr>
                        <w:rFonts w:ascii="Cambria Math" w:hAnsi="Cambria Math"/>
                        <w:b/>
                        <w:bCs/>
                        <w:i/>
                        <w:sz w:val="32"/>
                        <w:szCs w:val="32"/>
                      </w:rPr>
                    </m:ctrlPr>
                  </m:sSubPr>
                  <m:e>
                    <m:r>
                      <m:rPr>
                        <m:sty m:val="bi"/>
                      </m:rPr>
                      <w:rPr>
                        <w:rFonts w:ascii="Cambria Math" w:hAnsi="Cambria Math"/>
                        <w:sz w:val="32"/>
                        <w:szCs w:val="32"/>
                      </w:rPr>
                      <m:t>O</m:t>
                    </m:r>
                  </m:e>
                  <m:sub>
                    <m:r>
                      <m:rPr>
                        <m:sty m:val="bi"/>
                      </m:rPr>
                      <w:rPr>
                        <w:rFonts w:ascii="Cambria Math" w:hAnsi="Cambria Math"/>
                        <w:sz w:val="32"/>
                        <w:szCs w:val="32"/>
                      </w:rPr>
                      <m:t>tax-refief</m:t>
                    </m:r>
                  </m:sub>
                </m:sSub>
                <m:r>
                  <m:rPr>
                    <m:sty m:val="bi"/>
                  </m:rPr>
                  <w:rPr>
                    <w:rFonts w:ascii="Cambria Math" w:hAnsi="Cambria Math"/>
                    <w:sz w:val="32"/>
                    <w:szCs w:val="32"/>
                  </w:rPr>
                  <m:t>=volume∙</m:t>
                </m:r>
                <m:sSub>
                  <m:sSubPr>
                    <m:ctrlPr>
                      <w:rPr>
                        <w:rFonts w:ascii="Cambria Math" w:hAnsi="Cambria Math"/>
                        <w:b/>
                        <w:i/>
                        <w:sz w:val="32"/>
                        <w:szCs w:val="32"/>
                      </w:rPr>
                    </m:ctrlPr>
                  </m:sSubPr>
                  <m:e>
                    <m:r>
                      <m:rPr>
                        <m:sty m:val="bi"/>
                      </m:rPr>
                      <w:rPr>
                        <w:rFonts w:ascii="Cambria Math" w:hAnsi="Cambria Math"/>
                        <w:sz w:val="32"/>
                        <w:szCs w:val="32"/>
                      </w:rPr>
                      <m:t>w</m:t>
                    </m:r>
                  </m:e>
                  <m:sub>
                    <m:r>
                      <m:rPr>
                        <m:sty m:val="bi"/>
                      </m:rPr>
                      <w:rPr>
                        <w:rFonts w:ascii="Cambria Math" w:hAnsi="Cambria Math"/>
                        <w:sz w:val="32"/>
                        <w:szCs w:val="32"/>
                      </w:rPr>
                      <m:t>FTiR</m:t>
                    </m:r>
                  </m:sub>
                </m:sSub>
                <m:r>
                  <m:rPr>
                    <m:sty m:val="bi"/>
                  </m:rPr>
                  <w:rPr>
                    <w:rFonts w:ascii="Cambria Math" w:hAnsi="Cambria Math"/>
                    <w:sz w:val="32"/>
                    <w:szCs w:val="32"/>
                  </w:rPr>
                  <m:t>∙</m:t>
                </m:r>
                <m:sSub>
                  <m:sSubPr>
                    <m:ctrlPr>
                      <w:rPr>
                        <w:rFonts w:ascii="Cambria Math" w:hAnsi="Cambria Math"/>
                        <w:b/>
                        <w:i/>
                        <w:sz w:val="32"/>
                        <w:szCs w:val="32"/>
                      </w:rPr>
                    </m:ctrlPr>
                  </m:sSubPr>
                  <m:e>
                    <m:r>
                      <m:rPr>
                        <m:sty m:val="bi"/>
                      </m:rPr>
                      <w:rPr>
                        <w:rFonts w:ascii="Cambria Math" w:hAnsi="Cambria Math"/>
                        <w:sz w:val="32"/>
                        <w:szCs w:val="32"/>
                      </w:rPr>
                      <m:t>w</m:t>
                    </m:r>
                  </m:e>
                  <m:sub>
                    <m:r>
                      <m:rPr>
                        <m:sty m:val="bi"/>
                      </m:rPr>
                      <w:rPr>
                        <w:rFonts w:ascii="Cambria Math" w:hAnsi="Cambria Math"/>
                        <w:sz w:val="32"/>
                        <w:szCs w:val="32"/>
                      </w:rPr>
                      <m:t>ekspert</m:t>
                    </m:r>
                  </m:sub>
                </m:sSub>
                <m:r>
                  <m:rPr>
                    <m:sty m:val="bi"/>
                  </m:rPr>
                  <w:rPr>
                    <w:rFonts w:ascii="Cambria Math" w:hAnsi="Cambria Math"/>
                    <w:sz w:val="32"/>
                    <w:szCs w:val="32"/>
                  </w:rPr>
                  <m:t>∙p</m:t>
                </m:r>
              </m:oMath>
            </m:oMathPara>
          </w:p>
        </w:tc>
        <w:tc>
          <w:tcPr>
            <w:tcW w:w="1129" w:type="dxa"/>
          </w:tcPr>
          <w:p w14:paraId="0BC3BD42" w14:textId="77777777" w:rsidR="00F34BD4" w:rsidRDefault="00F34BD4">
            <w:pPr>
              <w:spacing w:line="360" w:lineRule="auto"/>
              <w:jc w:val="right"/>
              <w:rPr>
                <w:highlight w:val="yellow"/>
              </w:rPr>
            </w:pPr>
            <w:r w:rsidRPr="00D114AE">
              <w:t>(2)</w:t>
            </w:r>
          </w:p>
        </w:tc>
      </w:tr>
    </w:tbl>
    <w:p w14:paraId="11FD90E6" w14:textId="77777777" w:rsidR="00F34BD4" w:rsidRPr="00BA30A6" w:rsidRDefault="00F34BD4" w:rsidP="00F34BD4">
      <w:pPr>
        <w:spacing w:after="0" w:line="360" w:lineRule="auto"/>
      </w:pPr>
      <w:r>
        <w:t>g</w:t>
      </w:r>
      <w:r w:rsidRPr="00BA30A6">
        <w:t>dzie</w:t>
      </w:r>
    </w:p>
    <w:tbl>
      <w:tblPr>
        <w:tblStyle w:val="Tabela-Siatka"/>
        <w:tblW w:w="9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332"/>
        <w:gridCol w:w="7686"/>
      </w:tblGrid>
      <w:tr w:rsidR="00F34BD4" w:rsidRPr="00BB7E57" w14:paraId="29DF6123" w14:textId="77777777">
        <w:trPr>
          <w:trHeight w:val="413"/>
        </w:trPr>
        <w:tc>
          <w:tcPr>
            <w:tcW w:w="1203" w:type="dxa"/>
          </w:tcPr>
          <w:p w14:paraId="47AC7A6E" w14:textId="77777777" w:rsidR="00F34BD4" w:rsidRPr="007031D7" w:rsidRDefault="00E3653D">
            <w:pPr>
              <w:spacing w:line="276" w:lineRule="auto"/>
              <w:rPr>
                <w:rFonts w:eastAsia="Times New Roman" w:cstheme="minorHAnsi"/>
                <w:lang w:eastAsia="pl-PL"/>
              </w:rPr>
            </w:pPr>
            <m:oMathPara>
              <m:oMathParaPr>
                <m:jc m:val="left"/>
              </m:oMathParaPr>
              <m:oMath>
                <m:sSub>
                  <m:sSubPr>
                    <m:ctrlPr>
                      <w:rPr>
                        <w:rFonts w:ascii="Cambria Math" w:eastAsia="Times New Roman" w:hAnsi="Cambria Math" w:cstheme="minorHAnsi"/>
                        <w:i/>
                      </w:rPr>
                    </m:ctrlPr>
                  </m:sSubPr>
                  <m:e>
                    <m:r>
                      <w:rPr>
                        <w:rFonts w:ascii="Cambria Math" w:eastAsia="Times New Roman" w:hAnsi="Cambria Math" w:cstheme="minorHAnsi"/>
                        <w:lang w:eastAsia="pl-PL"/>
                      </w:rPr>
                      <m:t>O</m:t>
                    </m:r>
                  </m:e>
                  <m:sub>
                    <m:r>
                      <w:rPr>
                        <w:rFonts w:ascii="Cambria Math" w:eastAsia="Times New Roman" w:hAnsi="Cambria Math" w:cstheme="minorHAnsi"/>
                        <w:lang w:eastAsia="pl-PL"/>
                      </w:rPr>
                      <m:t>Tax relief</m:t>
                    </m:r>
                  </m:sub>
                </m:sSub>
              </m:oMath>
            </m:oMathPara>
          </w:p>
        </w:tc>
        <w:tc>
          <w:tcPr>
            <w:tcW w:w="288" w:type="dxa"/>
          </w:tcPr>
          <w:p w14:paraId="3EE1B49D" w14:textId="0C3B3B8B" w:rsidR="00F34BD4" w:rsidRPr="00A04706" w:rsidRDefault="00767FC5">
            <w:pPr>
              <w:spacing w:line="276" w:lineRule="auto"/>
              <w:rPr>
                <w:rFonts w:eastAsia="Times New Roman" w:cstheme="minorHAnsi"/>
                <w:lang w:eastAsia="pl-PL"/>
              </w:rPr>
            </w:pPr>
            <w:r>
              <w:rPr>
                <w:rFonts w:eastAsia="Times New Roman" w:cstheme="minorHAnsi"/>
                <w:lang w:eastAsia="pl-PL"/>
              </w:rPr>
              <w:t>–</w:t>
            </w:r>
          </w:p>
        </w:tc>
        <w:tc>
          <w:tcPr>
            <w:tcW w:w="7729" w:type="dxa"/>
          </w:tcPr>
          <w:p w14:paraId="73DABF07" w14:textId="09D84E65" w:rsidR="00F34BD4" w:rsidRPr="007031D7" w:rsidRDefault="00F34BD4">
            <w:pPr>
              <w:spacing w:line="360" w:lineRule="auto"/>
              <w:rPr>
                <w:rFonts w:eastAsia="Times New Roman" w:cstheme="minorHAnsi"/>
                <w:szCs w:val="20"/>
                <w:lang w:eastAsia="pl-PL"/>
              </w:rPr>
            </w:pPr>
            <w:r w:rsidRPr="007031D7">
              <w:rPr>
                <w:rFonts w:eastAsia="Times New Roman" w:cstheme="minorHAnsi"/>
                <w:szCs w:val="20"/>
                <w:lang w:eastAsia="pl-PL"/>
              </w:rPr>
              <w:t>oszczędność energii finalnej [ktoe/rok]</w:t>
            </w:r>
          </w:p>
        </w:tc>
      </w:tr>
      <w:tr w:rsidR="00F34BD4" w:rsidRPr="00BB7E57" w14:paraId="6896156B" w14:textId="77777777" w:rsidTr="00767FC5">
        <w:trPr>
          <w:trHeight w:val="365"/>
        </w:trPr>
        <w:tc>
          <w:tcPr>
            <w:tcW w:w="1203" w:type="dxa"/>
          </w:tcPr>
          <w:p w14:paraId="799E3D46" w14:textId="77777777" w:rsidR="00F34BD4" w:rsidRPr="007031D7" w:rsidRDefault="00F34BD4">
            <w:pPr>
              <w:spacing w:line="276" w:lineRule="auto"/>
              <w:rPr>
                <w:rFonts w:eastAsia="Times New Roman" w:cstheme="minorHAnsi"/>
                <w:lang w:eastAsia="pl-PL"/>
              </w:rPr>
            </w:pPr>
            <m:oMathPara>
              <m:oMathParaPr>
                <m:jc m:val="left"/>
              </m:oMathParaPr>
              <m:oMath>
                <m:r>
                  <w:rPr>
                    <w:rFonts w:ascii="Cambria Math" w:eastAsia="Times New Roman" w:hAnsi="Cambria Math" w:cstheme="minorHAnsi"/>
                    <w:lang w:eastAsia="pl-PL"/>
                  </w:rPr>
                  <m:t>Volume</m:t>
                </m:r>
              </m:oMath>
            </m:oMathPara>
          </w:p>
        </w:tc>
        <w:tc>
          <w:tcPr>
            <w:tcW w:w="288" w:type="dxa"/>
          </w:tcPr>
          <w:p w14:paraId="46A1A429" w14:textId="4227A4A1" w:rsidR="00F34BD4" w:rsidRPr="00A04706" w:rsidRDefault="0011179A">
            <w:pPr>
              <w:spacing w:line="276" w:lineRule="auto"/>
              <w:rPr>
                <w:rFonts w:eastAsia="Times New Roman" w:cstheme="minorHAnsi"/>
                <w:lang w:eastAsia="pl-PL"/>
              </w:rPr>
            </w:pPr>
            <w:r>
              <w:rPr>
                <w:rFonts w:eastAsia="Times New Roman" w:cstheme="minorHAnsi"/>
                <w:lang w:eastAsia="pl-PL"/>
              </w:rPr>
              <w:t>–</w:t>
            </w:r>
          </w:p>
        </w:tc>
        <w:tc>
          <w:tcPr>
            <w:tcW w:w="7729" w:type="dxa"/>
          </w:tcPr>
          <w:p w14:paraId="42238AF1" w14:textId="6C26ED20" w:rsidR="00F34BD4" w:rsidRPr="007031D7" w:rsidRDefault="00F34BD4" w:rsidP="0011179A">
            <w:pPr>
              <w:spacing w:after="80"/>
              <w:rPr>
                <w:lang w:eastAsia="pl-PL"/>
              </w:rPr>
            </w:pPr>
            <w:r w:rsidRPr="007031D7">
              <w:rPr>
                <w:lang w:eastAsia="pl-PL"/>
              </w:rPr>
              <w:t xml:space="preserve">wartość </w:t>
            </w:r>
            <w:r>
              <w:rPr>
                <w:lang w:eastAsia="pl-PL"/>
              </w:rPr>
              <w:t xml:space="preserve">odliczeń w danym </w:t>
            </w:r>
            <w:r w:rsidR="0011179A">
              <w:rPr>
                <w:lang w:eastAsia="pl-PL"/>
              </w:rPr>
              <w:t>roku</w:t>
            </w:r>
            <w:r w:rsidRPr="007031D7">
              <w:rPr>
                <w:lang w:eastAsia="pl-PL"/>
              </w:rPr>
              <w:t xml:space="preserve"> [PLN/rok]</w:t>
            </w:r>
          </w:p>
        </w:tc>
      </w:tr>
      <w:tr w:rsidR="00F34BD4" w:rsidRPr="00BB7E57" w14:paraId="4649AEC8" w14:textId="77777777" w:rsidTr="00767FC5">
        <w:trPr>
          <w:trHeight w:val="853"/>
        </w:trPr>
        <w:tc>
          <w:tcPr>
            <w:tcW w:w="1203" w:type="dxa"/>
          </w:tcPr>
          <w:p w14:paraId="60C089DA" w14:textId="77777777" w:rsidR="00F34BD4" w:rsidRPr="007031D7" w:rsidRDefault="00E3653D">
            <w:pPr>
              <w:spacing w:line="276" w:lineRule="auto"/>
              <w:rPr>
                <w:rFonts w:eastAsia="Times New Roman" w:cstheme="minorHAnsi"/>
                <w:lang w:val="en-GB" w:eastAsia="pl-PL"/>
              </w:rPr>
            </w:pPr>
            <m:oMathPara>
              <m:oMathParaPr>
                <m:jc m:val="left"/>
              </m:oMathParaPr>
              <m:oMath>
                <m:sSub>
                  <m:sSubPr>
                    <m:ctrlPr>
                      <w:rPr>
                        <w:rFonts w:ascii="Cambria Math" w:eastAsia="Times New Roman" w:hAnsi="Cambria Math" w:cstheme="minorHAnsi"/>
                        <w:i/>
                        <w:lang w:eastAsia="pl-PL"/>
                      </w:rPr>
                    </m:ctrlPr>
                  </m:sSubPr>
                  <m:e>
                    <m:r>
                      <w:rPr>
                        <w:rFonts w:ascii="Cambria Math" w:eastAsia="Times New Roman" w:hAnsi="Cambria Math" w:cstheme="minorHAnsi"/>
                        <w:lang w:eastAsia="pl-PL"/>
                      </w:rPr>
                      <m:t>w</m:t>
                    </m:r>
                  </m:e>
                  <m:sub>
                    <m:r>
                      <w:rPr>
                        <w:rFonts w:ascii="Cambria Math" w:eastAsia="Times New Roman" w:hAnsi="Cambria Math" w:cstheme="minorHAnsi"/>
                        <w:lang w:eastAsia="pl-PL"/>
                      </w:rPr>
                      <m:t>FTiR</m:t>
                    </m:r>
                  </m:sub>
                </m:sSub>
              </m:oMath>
            </m:oMathPara>
          </w:p>
        </w:tc>
        <w:tc>
          <w:tcPr>
            <w:tcW w:w="288" w:type="dxa"/>
          </w:tcPr>
          <w:p w14:paraId="5575642F" w14:textId="0708B07C" w:rsidR="00F34BD4" w:rsidRPr="00A04706" w:rsidRDefault="0011179A">
            <w:pPr>
              <w:spacing w:line="276" w:lineRule="auto"/>
              <w:rPr>
                <w:rFonts w:eastAsia="Times New Roman" w:cstheme="minorHAnsi"/>
                <w:lang w:val="en-GB" w:eastAsia="pl-PL"/>
              </w:rPr>
            </w:pPr>
            <w:r>
              <w:rPr>
                <w:rFonts w:eastAsia="Times New Roman" w:cstheme="minorHAnsi"/>
                <w:lang w:val="en-GB" w:eastAsia="pl-PL"/>
              </w:rPr>
              <w:t>–</w:t>
            </w:r>
          </w:p>
        </w:tc>
        <w:tc>
          <w:tcPr>
            <w:tcW w:w="7729" w:type="dxa"/>
          </w:tcPr>
          <w:p w14:paraId="13913FCF" w14:textId="0EF31984" w:rsidR="00F34BD4" w:rsidRPr="007031D7" w:rsidRDefault="00F34BD4" w:rsidP="00767FC5">
            <w:pPr>
              <w:rPr>
                <w:lang w:eastAsia="pl-PL"/>
              </w:rPr>
            </w:pPr>
            <w:r w:rsidRPr="007031D7">
              <w:rPr>
                <w:lang w:eastAsia="pl-PL"/>
              </w:rPr>
              <w:t xml:space="preserve">wskaźnik będący ilorazem oszczędności energii finalnej do nakładów inwestycyjnych [kWh/PLN], określony na podstawie bazy danych audytów energetycznych wykonanych w ramach </w:t>
            </w:r>
            <w:r w:rsidR="00232597" w:rsidRPr="00BA30A6">
              <w:t>FT</w:t>
            </w:r>
            <w:r w:rsidR="00232597">
              <w:t>iR</w:t>
            </w:r>
          </w:p>
        </w:tc>
      </w:tr>
      <w:tr w:rsidR="00F34BD4" w:rsidRPr="00BB7E57" w14:paraId="3E658908" w14:textId="77777777" w:rsidTr="00671696">
        <w:trPr>
          <w:trHeight w:val="319"/>
        </w:trPr>
        <w:tc>
          <w:tcPr>
            <w:tcW w:w="1203" w:type="dxa"/>
          </w:tcPr>
          <w:p w14:paraId="13C30C8B" w14:textId="1F26A4BD" w:rsidR="00F34BD4" w:rsidRPr="00DE162E" w:rsidRDefault="00E3653D">
            <w:pPr>
              <w:spacing w:line="276" w:lineRule="auto"/>
              <w:rPr>
                <w:rFonts w:ascii="Calibri" w:eastAsia="Calibri" w:hAnsi="Calibri" w:cs="Arial"/>
                <w:lang w:eastAsia="pl-PL"/>
              </w:rPr>
            </w:pPr>
            <m:oMathPara>
              <m:oMathParaPr>
                <m:jc m:val="left"/>
              </m:oMathParaPr>
              <m:oMath>
                <m:sSub>
                  <m:sSubPr>
                    <m:ctrlPr>
                      <w:rPr>
                        <w:rFonts w:ascii="Cambria Math" w:eastAsia="Times New Roman" w:hAnsi="Cambria Math" w:cstheme="minorHAnsi"/>
                        <w:i/>
                        <w:lang w:eastAsia="pl-PL"/>
                      </w:rPr>
                    </m:ctrlPr>
                  </m:sSubPr>
                  <m:e>
                    <m:r>
                      <w:rPr>
                        <w:rFonts w:ascii="Cambria Math" w:eastAsia="Times New Roman" w:hAnsi="Cambria Math" w:cstheme="minorHAnsi"/>
                        <w:lang w:eastAsia="pl-PL"/>
                      </w:rPr>
                      <m:t>w</m:t>
                    </m:r>
                  </m:e>
                  <m:sub>
                    <m:r>
                      <w:rPr>
                        <w:rFonts w:ascii="Cambria Math" w:eastAsia="Times New Roman" w:hAnsi="Cambria Math" w:cstheme="minorHAnsi"/>
                        <w:lang w:eastAsia="pl-PL"/>
                      </w:rPr>
                      <m:t>ekspert</m:t>
                    </m:r>
                  </m:sub>
                </m:sSub>
              </m:oMath>
            </m:oMathPara>
          </w:p>
        </w:tc>
        <w:tc>
          <w:tcPr>
            <w:tcW w:w="288" w:type="dxa"/>
          </w:tcPr>
          <w:p w14:paraId="3CC4FAD3" w14:textId="57A5D8BC" w:rsidR="00F34BD4" w:rsidRPr="00A04706" w:rsidRDefault="0011179A">
            <w:pPr>
              <w:spacing w:line="276" w:lineRule="auto"/>
              <w:rPr>
                <w:rFonts w:eastAsia="Times New Roman" w:cstheme="minorHAnsi"/>
                <w:lang w:val="en-GB" w:eastAsia="pl-PL"/>
              </w:rPr>
            </w:pPr>
            <w:r>
              <w:rPr>
                <w:rFonts w:eastAsia="Times New Roman" w:cstheme="minorHAnsi"/>
                <w:lang w:val="en-GB" w:eastAsia="pl-PL"/>
              </w:rPr>
              <w:t>–</w:t>
            </w:r>
          </w:p>
        </w:tc>
        <w:tc>
          <w:tcPr>
            <w:tcW w:w="7729" w:type="dxa"/>
          </w:tcPr>
          <w:p w14:paraId="6BD751AF" w14:textId="6859419C" w:rsidR="00F34BD4" w:rsidRPr="007031D7" w:rsidRDefault="00F34BD4" w:rsidP="00767FC5">
            <w:pPr>
              <w:rPr>
                <w:lang w:eastAsia="pl-PL"/>
              </w:rPr>
            </w:pPr>
            <w:r>
              <w:rPr>
                <w:lang w:eastAsia="pl-PL"/>
              </w:rPr>
              <w:t xml:space="preserve">wskaźnik będący ilorazem nakładów inwestycyjnych do kwoty dofinansowań </w:t>
            </w:r>
          </w:p>
        </w:tc>
      </w:tr>
      <w:tr w:rsidR="00F34BD4" w:rsidRPr="00BB7E57" w14:paraId="1AF62B14" w14:textId="77777777">
        <w:trPr>
          <w:trHeight w:val="376"/>
        </w:trPr>
        <w:tc>
          <w:tcPr>
            <w:tcW w:w="1203" w:type="dxa"/>
            <w:vAlign w:val="center"/>
          </w:tcPr>
          <w:p w14:paraId="5846C575" w14:textId="77777777" w:rsidR="00F34BD4" w:rsidRPr="007031D7" w:rsidRDefault="00554E1C">
            <w:pPr>
              <w:spacing w:line="276" w:lineRule="auto"/>
              <w:rPr>
                <w:rFonts w:eastAsia="Calibri" w:cs="Times New Roman"/>
                <w:i/>
                <w:iCs/>
                <w:lang w:eastAsia="pl-PL"/>
              </w:rPr>
            </w:pPr>
            <m:oMathPara>
              <m:oMathParaPr>
                <m:jc m:val="left"/>
              </m:oMathParaPr>
              <m:oMath>
                <m:r>
                  <w:rPr>
                    <w:rFonts w:ascii="Cambria Math" w:eastAsia="Calibri" w:hAnsi="Cambria Math" w:cs="Times New Roman"/>
                    <w:lang w:eastAsia="pl-PL"/>
                  </w:rPr>
                  <m:t>p</m:t>
                </m:r>
              </m:oMath>
            </m:oMathPara>
          </w:p>
        </w:tc>
        <w:tc>
          <w:tcPr>
            <w:tcW w:w="288" w:type="dxa"/>
          </w:tcPr>
          <w:p w14:paraId="2E11F345" w14:textId="7901DC97" w:rsidR="00F34BD4" w:rsidRPr="00A04706" w:rsidRDefault="0011179A">
            <w:pPr>
              <w:spacing w:line="276" w:lineRule="auto"/>
              <w:rPr>
                <w:rFonts w:eastAsia="Times New Roman" w:cstheme="minorHAnsi"/>
                <w:lang w:val="en-GB" w:eastAsia="pl-PL"/>
              </w:rPr>
            </w:pPr>
            <w:r>
              <w:rPr>
                <w:rFonts w:eastAsia="Times New Roman" w:cstheme="minorHAnsi"/>
                <w:lang w:val="en-GB" w:eastAsia="pl-PL"/>
              </w:rPr>
              <w:t>–</w:t>
            </w:r>
          </w:p>
        </w:tc>
        <w:tc>
          <w:tcPr>
            <w:tcW w:w="7729" w:type="dxa"/>
          </w:tcPr>
          <w:p w14:paraId="01AE68C6" w14:textId="3976198E" w:rsidR="00F34BD4" w:rsidRPr="007031D7" w:rsidRDefault="00F34BD4" w:rsidP="0011179A">
            <w:pPr>
              <w:spacing w:after="80"/>
              <w:rPr>
                <w:lang w:eastAsia="pl-PL"/>
              </w:rPr>
            </w:pPr>
            <w:r w:rsidRPr="007031D7">
              <w:rPr>
                <w:lang w:eastAsia="pl-PL"/>
              </w:rPr>
              <w:t>przelicznik jednostek [ktoe/kWh]</w:t>
            </w:r>
          </w:p>
        </w:tc>
      </w:tr>
    </w:tbl>
    <w:p w14:paraId="4643A12D" w14:textId="77777777" w:rsidR="00F34BD4" w:rsidRPr="00707A7A" w:rsidRDefault="00F34BD4" w:rsidP="001D4A88">
      <w:pPr>
        <w:pStyle w:val="zasada"/>
        <w:spacing w:before="480"/>
      </w:pPr>
      <w:r w:rsidRPr="00707A7A">
        <w:t>Zasada istotności</w:t>
      </w:r>
    </w:p>
    <w:p w14:paraId="2B8B12F1" w14:textId="499D2A16" w:rsidR="00F34BD4" w:rsidRPr="00A545B8" w:rsidRDefault="00F34BD4" w:rsidP="00373FD3">
      <w:r w:rsidRPr="00075176">
        <w:t>Możliwość uzyskania ulgi podatkowej motywuje inwestora do podjęcia decyzji</w:t>
      </w:r>
      <w:r w:rsidR="00767FC5">
        <w:t xml:space="preserve"> </w:t>
      </w:r>
      <w:r w:rsidRPr="00075176">
        <w:t>o realizacji przedsięwzięcia skutkującego oszczędnością energii, uzyskaną przy jak najmniejszym nakładzie inwestycyjnym.</w:t>
      </w:r>
    </w:p>
    <w:p w14:paraId="116267FE" w14:textId="77777777" w:rsidR="00F34BD4" w:rsidRPr="00373FD3" w:rsidRDefault="00F34BD4" w:rsidP="00373FD3">
      <w:r w:rsidRPr="00373FD3">
        <w:t>Oszczędności energii finalnej uzyskane w ramach tego środka alternatywnego są istotne dla osiągnięcia krajowego celu w zakresie oszczędności energii, określonego w art. 8 dyrektywy. Szczególne znaczenie należy przypisać efektowi skali. W ramach tego środka alternatywnego uzyskuje się istotne oszczędności energii finalnej podczas realizacji wielu przedsięwzięć służących poprawie efektywności energetycznej przynoszących stosunkowo niewielką ilość oszczędności energii.</w:t>
      </w:r>
    </w:p>
    <w:p w14:paraId="073C36D8" w14:textId="77777777" w:rsidR="00F34BD4" w:rsidRPr="00F10DBF" w:rsidRDefault="00F34BD4" w:rsidP="001D4A88">
      <w:pPr>
        <w:pStyle w:val="zasada"/>
      </w:pPr>
      <w:r w:rsidRPr="00F10DBF">
        <w:t>Zasada dodatkowości</w:t>
      </w:r>
    </w:p>
    <w:p w14:paraId="2C10BF75" w14:textId="4336E4B3" w:rsidR="00F34BD4" w:rsidRPr="00A40ED6" w:rsidRDefault="00F34BD4" w:rsidP="00373FD3">
      <w:r w:rsidRPr="008D7F37">
        <w:t xml:space="preserve">Zgodnie z pkt. 2 lit </w:t>
      </w:r>
      <w:r>
        <w:t>c</w:t>
      </w:r>
      <w:r w:rsidRPr="008D7F37">
        <w:t xml:space="preserve"> Załącznika V </w:t>
      </w:r>
      <w:r w:rsidR="001F2A0A">
        <w:t xml:space="preserve">do dyrektywy 2023/1791 </w:t>
      </w:r>
      <w:r w:rsidRPr="008D7F37">
        <w:t xml:space="preserve">oszczędności związane z renowacją istniejących budynków mogą być zaliczone jako oszczędność energii na użytek art. </w:t>
      </w:r>
      <w:r>
        <w:t>8</w:t>
      </w:r>
      <w:r w:rsidRPr="008D7F37">
        <w:t xml:space="preserve"> ust. 1 pod warunkiem spełnienia kryterium istotności. </w:t>
      </w:r>
      <w:r>
        <w:t>Dodatkowo w przypadku inwestycji mających na celu:</w:t>
      </w:r>
      <w:r w:rsidR="00767FC5">
        <w:t xml:space="preserve"> </w:t>
      </w:r>
      <w:r w:rsidRPr="00665104">
        <w:t>modernizacj</w:t>
      </w:r>
      <w:r>
        <w:t>ę</w:t>
      </w:r>
      <w:r w:rsidRPr="00665104">
        <w:t xml:space="preserve"> instalacji oświetlenia </w:t>
      </w:r>
      <w:r>
        <w:t>cz</w:t>
      </w:r>
      <w:r w:rsidRPr="00665104">
        <w:t>y wymian</w:t>
      </w:r>
      <w:r>
        <w:t>ę</w:t>
      </w:r>
      <w:r w:rsidRPr="00665104">
        <w:t xml:space="preserve"> kotłów/źródeł ciepła w instalacjach ogrzewczych</w:t>
      </w:r>
      <w:r>
        <w:t xml:space="preserve"> u</w:t>
      </w:r>
      <w:r w:rsidRPr="00665104">
        <w:t>znane mogą zostać wyłącznie oszczędności energii przekraczające poziomy unijnych wymagań dotyczących wycofywania z</w:t>
      </w:r>
      <w:r w:rsidR="004B0F0A">
        <w:t> </w:t>
      </w:r>
      <w:r w:rsidRPr="00665104">
        <w:t xml:space="preserve">obrotu określonych produktów związanych z energią w następstwie </w:t>
      </w:r>
      <w:r w:rsidRPr="0071320E">
        <w:t xml:space="preserve">wdrożenia środków </w:t>
      </w:r>
      <w:r w:rsidRPr="0071320E">
        <w:lastRenderedPageBreak/>
        <w:t>wykonawczych na mocy dyrektywy 2009/125/WE</w:t>
      </w:r>
      <w:r w:rsidRPr="00373FD3">
        <w:fldChar w:fldCharType="begin"/>
      </w:r>
      <w:r w:rsidRPr="00373FD3">
        <w:instrText xml:space="preserve"> NOTEREF _Ref135213769 \h  \* MERGEFORMAT </w:instrText>
      </w:r>
      <w:r w:rsidRPr="00373FD3">
        <w:fldChar w:fldCharType="separate"/>
      </w:r>
      <w:r w:rsidR="00CC735D">
        <w:t>6</w:t>
      </w:r>
      <w:r w:rsidRPr="00373FD3">
        <w:fldChar w:fldCharType="end"/>
      </w:r>
      <w:r w:rsidRPr="0071320E">
        <w:t>.</w:t>
      </w:r>
      <w:r w:rsidRPr="00665104">
        <w:t xml:space="preserve"> W przypadku tych przedsięwzięć minimalne poziomy wynikające z</w:t>
      </w:r>
      <w:r w:rsidR="004B0F0A">
        <w:t> </w:t>
      </w:r>
      <w:r w:rsidRPr="00665104">
        <w:t>wdrożenia przepisów unijnych dotyczących wymogów ekoprojektu są wyznaczane i stosowane jako poziomy referencyjne będące punktami wyjścia przy obliczaniu oszczędności energii.</w:t>
      </w:r>
      <w:r>
        <w:t xml:space="preserve"> </w:t>
      </w:r>
      <w:r w:rsidRPr="00A40ED6">
        <w:t>Finansowanie zostaje przyznane wyłącznie</w:t>
      </w:r>
      <w:r w:rsidR="00953B2A">
        <w:t>,</w:t>
      </w:r>
      <w:r w:rsidRPr="00A40ED6">
        <w:t xml:space="preserve"> gdy zastosowane materiały i urządzenia są wymienione w załączniku do rozporządzenia Ministra Inwestycji i Rozwoju z 21 grudnia 2018 r. w sprawie określenia wykazu </w:t>
      </w:r>
      <w:r w:rsidR="00953B2A">
        <w:br/>
      </w:r>
      <w:r w:rsidRPr="00A40ED6">
        <w:t>rodzajów materiałów budowlanych, urządzeń i usług związanych z realizacją przedsięwzięć termomodernizacyjnych.</w:t>
      </w:r>
    </w:p>
    <w:p w14:paraId="198DADD1" w14:textId="77777777" w:rsidR="00F34BD4" w:rsidRPr="00AB73D9" w:rsidRDefault="00F34BD4" w:rsidP="00805E07">
      <w:pPr>
        <w:pStyle w:val="Nagwek4"/>
      </w:pPr>
      <w:r w:rsidRPr="00F34BD4">
        <w:t>Informacja o sposobie postępowania z ewentualnym dublowaniem się środków</w:t>
      </w:r>
      <w:r w:rsidRPr="00AB73D9">
        <w:t xml:space="preserve"> i indywidualnych działań w celu unikania podwójnego zliczania oszczędności energii</w:t>
      </w:r>
    </w:p>
    <w:p w14:paraId="6B51FB3F" w14:textId="2BF07780" w:rsidR="00F34BD4" w:rsidRDefault="00F34BD4" w:rsidP="00373FD3">
      <w:r>
        <w:t xml:space="preserve">W przypadku łączenia odliczenia podatkowego wynikającego z ulgi termomodernizacyjnej z innymi dotacjami przysługującymi na termomodernizację – odliczeniu nie będą podlegać wydatki sfinansowane lub dofinansowane z dotacji lub zwrócone podatnikowi w jakiejkolwiek innej formie ze środków publicznych. Dodatkowo </w:t>
      </w:r>
      <w:r w:rsidRPr="00D62DB9">
        <w:t>w przypadku</w:t>
      </w:r>
      <w:r w:rsidR="00C06035">
        <w:t>,</w:t>
      </w:r>
      <w:r w:rsidRPr="00D62DB9">
        <w:t xml:space="preserve"> gdy po wcześniejszym dokonaniu odliczeń wydatków w ramach ulgi</w:t>
      </w:r>
      <w:r>
        <w:t xml:space="preserve"> </w:t>
      </w:r>
      <w:r w:rsidRPr="00D62DB9">
        <w:t>termomodernizacyjnej, beneficjent otrzymał zwrot odliczonych wydatków w formie dotacji, jest</w:t>
      </w:r>
      <w:r>
        <w:t xml:space="preserve"> </w:t>
      </w:r>
      <w:r w:rsidRPr="00D62DB9">
        <w:t>zobowiązany zgodnie z przepisami podatkowymi doliczyć odpowiednio kwoty poprzednio</w:t>
      </w:r>
      <w:r>
        <w:t xml:space="preserve"> </w:t>
      </w:r>
      <w:r w:rsidRPr="00D62DB9">
        <w:t>odliczone od dochodu za rok podatkowy, w którym otrzymał ten zwrot.</w:t>
      </w:r>
    </w:p>
    <w:p w14:paraId="4320954D" w14:textId="77777777" w:rsidR="00F34BD4" w:rsidRDefault="00F34BD4" w:rsidP="00805E07">
      <w:pPr>
        <w:pStyle w:val="Nagwek4"/>
      </w:pPr>
      <w:r w:rsidRPr="00842530">
        <w:t>Uwzględnienie różnic klimatycznych między regionami i zastosowane podejście</w:t>
      </w:r>
    </w:p>
    <w:p w14:paraId="7D33898B" w14:textId="4092C165" w:rsidR="00F34BD4" w:rsidRPr="00D62DB9" w:rsidRDefault="00F34BD4" w:rsidP="00373FD3">
      <w:r w:rsidRPr="00D62DB9">
        <w:t xml:space="preserve">Z uwagi na specyfikę środka alternatywnego w postaci ulgi podatkowej, o zasięgu krajowym występujące różnice pomiędzy </w:t>
      </w:r>
      <w:r w:rsidRPr="006F4BF3">
        <w:t>regionami</w:t>
      </w:r>
      <w:r w:rsidRPr="00D62DB9">
        <w:t xml:space="preserve"> nie są uwzględniane w obliczaniach oszczędności energii wynikających z tego środka alternatywnego.</w:t>
      </w:r>
    </w:p>
    <w:p w14:paraId="3D30A0BE" w14:textId="1A24D06D" w:rsidR="00F34BD4" w:rsidRDefault="00F34BD4" w:rsidP="00805E07">
      <w:pPr>
        <w:pStyle w:val="Nagwek4"/>
      </w:pPr>
      <w:r w:rsidRPr="00684624">
        <w:t xml:space="preserve">Oszczędność </w:t>
      </w:r>
      <w:r>
        <w:t xml:space="preserve">końcowego zużycia energii </w:t>
      </w:r>
      <w:r w:rsidRPr="00684624">
        <w:t>w okresie 2021</w:t>
      </w:r>
      <w:r w:rsidR="004B0F0A">
        <w:t>–20</w:t>
      </w:r>
      <w:r w:rsidRPr="00684624">
        <w:t>30</w:t>
      </w:r>
    </w:p>
    <w:p w14:paraId="0D936D9F" w14:textId="1616A622" w:rsidR="00F34BD4" w:rsidRPr="00D62DB9" w:rsidRDefault="00F34BD4" w:rsidP="00373FD3">
      <w:r w:rsidRPr="00D62DB9">
        <w:t xml:space="preserve">W przedstawiono </w:t>
      </w:r>
      <w:r>
        <w:t xml:space="preserve">roczne i </w:t>
      </w:r>
      <w:r w:rsidRPr="00D62DB9">
        <w:t>skumulowane oszczędności energii finalnej w okresie 2021</w:t>
      </w:r>
      <w:r w:rsidR="004B0F0A">
        <w:t>–20</w:t>
      </w:r>
      <w:r w:rsidRPr="00D62DB9">
        <w:t xml:space="preserve">30. Szacuje się, że </w:t>
      </w:r>
      <w:r>
        <w:t xml:space="preserve">ulga termomodernizacyjna </w:t>
      </w:r>
      <w:r w:rsidRPr="00D62DB9">
        <w:t xml:space="preserve">przyniesie </w:t>
      </w:r>
      <w:r>
        <w:t xml:space="preserve">15 720 </w:t>
      </w:r>
      <w:r w:rsidRPr="00D62DB9">
        <w:t xml:space="preserve">ktoe </w:t>
      </w:r>
      <w:r>
        <w:t>całkowitych</w:t>
      </w:r>
      <w:r w:rsidR="00767FC5">
        <w:t xml:space="preserve"> </w:t>
      </w:r>
      <w:r>
        <w:t xml:space="preserve">skumulowanych </w:t>
      </w:r>
      <w:r w:rsidRPr="00D62DB9">
        <w:t xml:space="preserve">oszczędności energii finalnej do 2030 </w:t>
      </w:r>
      <w:r w:rsidR="0011179A">
        <w:t>r.</w:t>
      </w:r>
      <w:r>
        <w:t xml:space="preserve"> </w:t>
      </w:r>
    </w:p>
    <w:p w14:paraId="6BE12302" w14:textId="2B978315" w:rsidR="00F34BD4" w:rsidRDefault="004A5C88" w:rsidP="004A5C88">
      <w:pPr>
        <w:pStyle w:val="Legenda"/>
      </w:pPr>
      <w:r w:rsidRPr="00CB598F">
        <w:t>Tabel</w:t>
      </w:r>
      <w:r>
        <w:t xml:space="preserve">a </w:t>
      </w:r>
      <w:fldSimple w:instr=" SEQ Tabela \* ARABIC ">
        <w:r w:rsidR="00CC735D">
          <w:rPr>
            <w:noProof/>
          </w:rPr>
          <w:t>3</w:t>
        </w:r>
      </w:fldSimple>
      <w:r>
        <w:t xml:space="preserve">. </w:t>
      </w:r>
      <w:r w:rsidR="00F34BD4">
        <w:rPr>
          <w:rStyle w:val="rynqvb"/>
          <w:bCs/>
        </w:rPr>
        <w:t>Ulga termomodernizacyjna: o</w:t>
      </w:r>
      <w:r w:rsidR="00F34BD4" w:rsidRPr="00E35197">
        <w:rPr>
          <w:rStyle w:val="rynqvb"/>
          <w:bCs/>
        </w:rPr>
        <w:t>szczędności</w:t>
      </w:r>
      <w:r w:rsidR="00F34BD4">
        <w:rPr>
          <w:rStyle w:val="rynqvb"/>
          <w:bCs/>
        </w:rPr>
        <w:t xml:space="preserve"> końcowego zużycia</w:t>
      </w:r>
      <w:r w:rsidR="00F34BD4" w:rsidRPr="00E35197">
        <w:rPr>
          <w:rStyle w:val="rynqvb"/>
          <w:bCs/>
        </w:rPr>
        <w:t xml:space="preserve"> energii osiągnię</w:t>
      </w:r>
      <w:r w:rsidR="00F34BD4">
        <w:rPr>
          <w:rStyle w:val="rynqvb"/>
          <w:bCs/>
        </w:rPr>
        <w:t xml:space="preserve">ta w 2021 </w:t>
      </w:r>
      <w:r w:rsidR="0011179A">
        <w:rPr>
          <w:rStyle w:val="rynqvb"/>
          <w:bCs/>
        </w:rPr>
        <w:t>r.</w:t>
      </w:r>
      <w:r w:rsidR="00F34BD4">
        <w:rPr>
          <w:rStyle w:val="rynqvb"/>
          <w:bCs/>
        </w:rPr>
        <w:t xml:space="preserve"> oraz szacunkowe oszczędności</w:t>
      </w:r>
      <w:r w:rsidR="00F34BD4" w:rsidRPr="00E35197">
        <w:rPr>
          <w:rStyle w:val="rynqvb"/>
          <w:bCs/>
        </w:rPr>
        <w:t xml:space="preserve"> </w:t>
      </w:r>
      <w:r w:rsidR="00F34BD4">
        <w:rPr>
          <w:rStyle w:val="rynqvb"/>
          <w:bCs/>
        </w:rPr>
        <w:t>do osiągnięcia</w:t>
      </w:r>
      <w:r w:rsidR="00F34BD4" w:rsidRPr="00E35197">
        <w:rPr>
          <w:rStyle w:val="rynqvb"/>
          <w:bCs/>
        </w:rPr>
        <w:t xml:space="preserve"> latach 202</w:t>
      </w:r>
      <w:r w:rsidR="00F34BD4">
        <w:rPr>
          <w:rStyle w:val="rynqvb"/>
          <w:bCs/>
        </w:rPr>
        <w:t>2</w:t>
      </w:r>
      <w:r w:rsidR="004B0F0A">
        <w:rPr>
          <w:rStyle w:val="rynqvb"/>
          <w:bCs/>
        </w:rPr>
        <w:t>–20</w:t>
      </w:r>
      <w:r w:rsidR="00F34BD4" w:rsidRPr="00E35197">
        <w:rPr>
          <w:rStyle w:val="rynqvb"/>
          <w:bCs/>
        </w:rPr>
        <w:t>30</w:t>
      </w:r>
      <w:r w:rsidR="00F34BD4">
        <w:rPr>
          <w:rStyle w:val="rynqvb"/>
          <w:bCs/>
        </w:rPr>
        <w:t xml:space="preserve"> dla ulgi termomodernizacyjnej</w:t>
      </w:r>
      <w:r w:rsidR="00F34BD4" w:rsidRPr="00E35197">
        <w:rPr>
          <w:rStyle w:val="rynqvb"/>
          <w:bCs/>
        </w:rPr>
        <w:t xml:space="preserve"> – roczne i skumulowane</w:t>
      </w:r>
      <w:r w:rsidR="00F34BD4">
        <w:rPr>
          <w:rStyle w:val="rynqvb"/>
          <w:bCs/>
        </w:rPr>
        <w:t>.</w:t>
      </w:r>
    </w:p>
    <w:tbl>
      <w:tblPr>
        <w:tblpPr w:leftFromText="141" w:rightFromText="141" w:vertAnchor="text" w:horzAnchor="margin" w:tblpY="196"/>
        <w:tblW w:w="5070" w:type="pct"/>
        <w:tblCellMar>
          <w:left w:w="70" w:type="dxa"/>
          <w:right w:w="70" w:type="dxa"/>
        </w:tblCellMar>
        <w:tblLook w:val="04A0" w:firstRow="1" w:lastRow="0" w:firstColumn="1" w:lastColumn="0" w:noHBand="0" w:noVBand="1"/>
      </w:tblPr>
      <w:tblGrid>
        <w:gridCol w:w="1383"/>
        <w:gridCol w:w="620"/>
        <w:gridCol w:w="618"/>
        <w:gridCol w:w="618"/>
        <w:gridCol w:w="618"/>
        <w:gridCol w:w="618"/>
        <w:gridCol w:w="618"/>
        <w:gridCol w:w="617"/>
        <w:gridCol w:w="618"/>
        <w:gridCol w:w="618"/>
        <w:gridCol w:w="618"/>
        <w:gridCol w:w="1625"/>
      </w:tblGrid>
      <w:tr w:rsidR="00F34BD4" w:rsidRPr="00A40D2C" w14:paraId="152EB65E" w14:textId="77777777">
        <w:trPr>
          <w:trHeight w:val="295"/>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8F10C" w14:textId="77777777" w:rsidR="00F34BD4" w:rsidRPr="00D94B5E" w:rsidRDefault="00F34BD4">
            <w:pPr>
              <w:spacing w:after="0"/>
              <w:jc w:val="center"/>
              <w:rPr>
                <w:color w:val="000000"/>
                <w:szCs w:val="20"/>
                <w:lang w:eastAsia="pl-PL"/>
              </w:rPr>
            </w:pPr>
            <w:r w:rsidRPr="00D94B5E">
              <w:rPr>
                <w:color w:val="000000"/>
                <w:szCs w:val="20"/>
                <w:lang w:eastAsia="pl-PL"/>
              </w:rPr>
              <w:t>Rok</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6D1433CC" w14:textId="77777777" w:rsidR="00F34BD4" w:rsidRPr="00D94B5E" w:rsidRDefault="00F34BD4">
            <w:pPr>
              <w:spacing w:after="0"/>
              <w:jc w:val="center"/>
              <w:rPr>
                <w:color w:val="000000"/>
                <w:szCs w:val="20"/>
                <w:lang w:eastAsia="pl-PL"/>
              </w:rPr>
            </w:pPr>
            <w:r w:rsidRPr="00D94B5E">
              <w:rPr>
                <w:color w:val="000000"/>
                <w:szCs w:val="20"/>
                <w:lang w:eastAsia="pl-PL"/>
              </w:rPr>
              <w:t>2021</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3B13FC2A" w14:textId="77777777" w:rsidR="00F34BD4" w:rsidRPr="00D94B5E" w:rsidRDefault="00F34BD4">
            <w:pPr>
              <w:spacing w:after="0"/>
              <w:jc w:val="center"/>
              <w:rPr>
                <w:color w:val="000000"/>
                <w:szCs w:val="20"/>
                <w:lang w:eastAsia="pl-PL"/>
              </w:rPr>
            </w:pPr>
            <w:r w:rsidRPr="00D94B5E">
              <w:rPr>
                <w:color w:val="000000"/>
                <w:szCs w:val="20"/>
                <w:lang w:eastAsia="pl-PL"/>
              </w:rPr>
              <w:t>2022</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08BDB632" w14:textId="77777777" w:rsidR="00F34BD4" w:rsidRPr="00D94B5E" w:rsidRDefault="00F34BD4">
            <w:pPr>
              <w:spacing w:after="0"/>
              <w:jc w:val="center"/>
              <w:rPr>
                <w:color w:val="000000"/>
                <w:szCs w:val="20"/>
                <w:lang w:eastAsia="pl-PL"/>
              </w:rPr>
            </w:pPr>
            <w:r w:rsidRPr="00D94B5E">
              <w:rPr>
                <w:color w:val="000000"/>
                <w:szCs w:val="20"/>
                <w:lang w:eastAsia="pl-PL"/>
              </w:rPr>
              <w:t>2023</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710354F5" w14:textId="77777777" w:rsidR="00F34BD4" w:rsidRPr="00D94B5E" w:rsidRDefault="00F34BD4">
            <w:pPr>
              <w:spacing w:after="0"/>
              <w:jc w:val="center"/>
              <w:rPr>
                <w:color w:val="000000"/>
                <w:szCs w:val="20"/>
                <w:lang w:eastAsia="pl-PL"/>
              </w:rPr>
            </w:pPr>
            <w:r w:rsidRPr="00D94B5E">
              <w:rPr>
                <w:color w:val="000000"/>
                <w:szCs w:val="20"/>
                <w:lang w:eastAsia="pl-PL"/>
              </w:rPr>
              <w:t>2024</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27DF2F12" w14:textId="77777777" w:rsidR="00F34BD4" w:rsidRPr="00D94B5E" w:rsidRDefault="00F34BD4">
            <w:pPr>
              <w:spacing w:after="0"/>
              <w:jc w:val="center"/>
              <w:rPr>
                <w:color w:val="000000"/>
                <w:szCs w:val="20"/>
                <w:lang w:eastAsia="pl-PL"/>
              </w:rPr>
            </w:pPr>
            <w:r w:rsidRPr="00D94B5E">
              <w:rPr>
                <w:color w:val="000000"/>
                <w:szCs w:val="20"/>
                <w:lang w:eastAsia="pl-PL"/>
              </w:rPr>
              <w:t>2025</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14:paraId="381D86F4" w14:textId="77777777" w:rsidR="00F34BD4" w:rsidRPr="00D94B5E" w:rsidRDefault="00F34BD4">
            <w:pPr>
              <w:spacing w:after="0"/>
              <w:jc w:val="center"/>
              <w:rPr>
                <w:color w:val="000000"/>
                <w:szCs w:val="20"/>
                <w:lang w:eastAsia="pl-PL"/>
              </w:rPr>
            </w:pPr>
            <w:r w:rsidRPr="00D94B5E">
              <w:rPr>
                <w:color w:val="000000"/>
                <w:szCs w:val="20"/>
                <w:lang w:eastAsia="pl-PL"/>
              </w:rPr>
              <w:t>2026</w:t>
            </w:r>
          </w:p>
        </w:tc>
        <w:tc>
          <w:tcPr>
            <w:tcW w:w="617" w:type="dxa"/>
            <w:tcBorders>
              <w:top w:val="single" w:sz="4" w:space="0" w:color="auto"/>
              <w:left w:val="single" w:sz="4" w:space="0" w:color="auto"/>
              <w:bottom w:val="single" w:sz="4" w:space="0" w:color="auto"/>
              <w:right w:val="single" w:sz="4" w:space="0" w:color="auto"/>
            </w:tcBorders>
            <w:vAlign w:val="center"/>
          </w:tcPr>
          <w:p w14:paraId="5FCF0812" w14:textId="77777777" w:rsidR="00F34BD4" w:rsidRPr="00D94B5E" w:rsidRDefault="00F34BD4">
            <w:pPr>
              <w:spacing w:after="0"/>
              <w:jc w:val="center"/>
              <w:rPr>
                <w:color w:val="000000"/>
                <w:szCs w:val="20"/>
                <w:lang w:eastAsia="pl-PL"/>
              </w:rPr>
            </w:pPr>
            <w:r w:rsidRPr="00D94B5E">
              <w:rPr>
                <w:color w:val="000000"/>
                <w:szCs w:val="20"/>
                <w:lang w:eastAsia="pl-PL"/>
              </w:rPr>
              <w:t>2027</w:t>
            </w:r>
          </w:p>
        </w:tc>
        <w:tc>
          <w:tcPr>
            <w:tcW w:w="618" w:type="dxa"/>
            <w:tcBorders>
              <w:top w:val="single" w:sz="4" w:space="0" w:color="auto"/>
              <w:left w:val="single" w:sz="4" w:space="0" w:color="auto"/>
              <w:bottom w:val="single" w:sz="4" w:space="0" w:color="auto"/>
              <w:right w:val="single" w:sz="4" w:space="0" w:color="auto"/>
            </w:tcBorders>
            <w:vAlign w:val="center"/>
          </w:tcPr>
          <w:p w14:paraId="247574AE" w14:textId="77777777" w:rsidR="00F34BD4" w:rsidRPr="00D94B5E" w:rsidRDefault="00F34BD4">
            <w:pPr>
              <w:spacing w:after="0"/>
              <w:jc w:val="center"/>
              <w:rPr>
                <w:color w:val="000000"/>
                <w:szCs w:val="20"/>
                <w:lang w:eastAsia="pl-PL"/>
              </w:rPr>
            </w:pPr>
            <w:r w:rsidRPr="00D94B5E">
              <w:rPr>
                <w:color w:val="000000"/>
                <w:szCs w:val="20"/>
                <w:lang w:eastAsia="pl-PL"/>
              </w:rPr>
              <w:t>2028</w:t>
            </w:r>
          </w:p>
        </w:tc>
        <w:tc>
          <w:tcPr>
            <w:tcW w:w="618" w:type="dxa"/>
            <w:tcBorders>
              <w:top w:val="single" w:sz="4" w:space="0" w:color="auto"/>
              <w:left w:val="single" w:sz="4" w:space="0" w:color="auto"/>
              <w:bottom w:val="single" w:sz="4" w:space="0" w:color="auto"/>
              <w:right w:val="single" w:sz="4" w:space="0" w:color="auto"/>
            </w:tcBorders>
            <w:vAlign w:val="center"/>
          </w:tcPr>
          <w:p w14:paraId="4909FE65" w14:textId="77777777" w:rsidR="00F34BD4" w:rsidRPr="00D94B5E" w:rsidRDefault="00F34BD4">
            <w:pPr>
              <w:spacing w:after="0"/>
              <w:jc w:val="center"/>
              <w:rPr>
                <w:color w:val="000000"/>
                <w:szCs w:val="20"/>
                <w:lang w:eastAsia="pl-PL"/>
              </w:rPr>
            </w:pPr>
            <w:r w:rsidRPr="00D94B5E">
              <w:rPr>
                <w:color w:val="000000"/>
                <w:szCs w:val="20"/>
                <w:lang w:eastAsia="pl-PL"/>
              </w:rPr>
              <w:t>2029</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13199" w14:textId="77777777" w:rsidR="00F34BD4" w:rsidRPr="00D94B5E" w:rsidRDefault="00F34BD4">
            <w:pPr>
              <w:spacing w:after="0"/>
              <w:jc w:val="center"/>
              <w:rPr>
                <w:color w:val="000000"/>
                <w:szCs w:val="20"/>
                <w:lang w:eastAsia="pl-PL"/>
              </w:rPr>
            </w:pPr>
            <w:r w:rsidRPr="00D94B5E">
              <w:rPr>
                <w:color w:val="000000"/>
                <w:szCs w:val="20"/>
                <w:lang w:eastAsia="pl-PL"/>
              </w:rPr>
              <w:t>2030</w:t>
            </w:r>
          </w:p>
        </w:tc>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88A4E" w14:textId="77777777" w:rsidR="00F34BD4" w:rsidRPr="00D94B5E" w:rsidRDefault="00F34BD4">
            <w:pPr>
              <w:spacing w:after="0"/>
              <w:jc w:val="center"/>
              <w:rPr>
                <w:color w:val="000000"/>
                <w:szCs w:val="20"/>
                <w:lang w:eastAsia="pl-PL"/>
              </w:rPr>
            </w:pPr>
          </w:p>
        </w:tc>
      </w:tr>
      <w:tr w:rsidR="00F34BD4" w:rsidRPr="00A40D2C" w14:paraId="55E10054" w14:textId="77777777">
        <w:trPr>
          <w:trHeight w:val="295"/>
        </w:trPr>
        <w:tc>
          <w:tcPr>
            <w:tcW w:w="1382" w:type="dxa"/>
            <w:vMerge w:val="restart"/>
            <w:tcBorders>
              <w:top w:val="nil"/>
              <w:left w:val="single" w:sz="4" w:space="0" w:color="auto"/>
              <w:right w:val="single" w:sz="4" w:space="0" w:color="auto"/>
            </w:tcBorders>
            <w:shd w:val="clear" w:color="auto" w:fill="auto"/>
            <w:vAlign w:val="center"/>
            <w:hideMark/>
          </w:tcPr>
          <w:p w14:paraId="3C16FA6F" w14:textId="77777777" w:rsidR="00F34BD4" w:rsidRPr="00D94B5E" w:rsidRDefault="00F34BD4">
            <w:pPr>
              <w:spacing w:after="0"/>
              <w:jc w:val="center"/>
              <w:rPr>
                <w:color w:val="000000"/>
                <w:szCs w:val="20"/>
                <w:lang w:eastAsia="pl-PL"/>
              </w:rPr>
            </w:pPr>
            <w:r w:rsidRPr="00D94B5E">
              <w:rPr>
                <w:color w:val="000000"/>
                <w:szCs w:val="20"/>
                <w:lang w:eastAsia="pl-PL"/>
              </w:rPr>
              <w:t>Oszczędności końcowego zużycia energii (ktoe)</w:t>
            </w:r>
            <w:r w:rsidRPr="00D94B5E" w:rsidDel="008E67E9">
              <w:rPr>
                <w:color w:val="000000"/>
                <w:szCs w:val="20"/>
                <w:lang w:eastAsia="pl-PL"/>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8923656"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7C3B5C0D"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0C47649F"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29EBF204"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5BB05D84"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18007788" w14:textId="77777777" w:rsidR="00F34BD4" w:rsidRPr="00D94B5E" w:rsidRDefault="00F34BD4">
            <w:pPr>
              <w:spacing w:after="0"/>
              <w:jc w:val="center"/>
              <w:rPr>
                <w:color w:val="000000"/>
                <w:szCs w:val="20"/>
                <w:lang w:eastAsia="pl-PL"/>
              </w:rPr>
            </w:pPr>
          </w:p>
        </w:tc>
        <w:tc>
          <w:tcPr>
            <w:tcW w:w="617" w:type="dxa"/>
            <w:tcBorders>
              <w:top w:val="single" w:sz="4" w:space="0" w:color="auto"/>
              <w:left w:val="single" w:sz="4" w:space="0" w:color="auto"/>
              <w:bottom w:val="single" w:sz="4" w:space="0" w:color="auto"/>
              <w:right w:val="single" w:sz="4" w:space="0" w:color="auto"/>
            </w:tcBorders>
            <w:vAlign w:val="center"/>
          </w:tcPr>
          <w:p w14:paraId="64F6696E" w14:textId="77777777" w:rsidR="00F34BD4" w:rsidRPr="00D94B5E" w:rsidRDefault="00F34BD4">
            <w:pPr>
              <w:spacing w:after="0"/>
              <w:jc w:val="center"/>
              <w:rPr>
                <w:color w:val="000000"/>
                <w:szCs w:val="20"/>
                <w:lang w:eastAsia="pl-PL"/>
              </w:rPr>
            </w:pPr>
          </w:p>
        </w:tc>
        <w:tc>
          <w:tcPr>
            <w:tcW w:w="618" w:type="dxa"/>
            <w:tcBorders>
              <w:top w:val="single" w:sz="4" w:space="0" w:color="auto"/>
              <w:left w:val="single" w:sz="4" w:space="0" w:color="auto"/>
              <w:bottom w:val="single" w:sz="4" w:space="0" w:color="auto"/>
              <w:right w:val="single" w:sz="4" w:space="0" w:color="auto"/>
            </w:tcBorders>
            <w:vAlign w:val="center"/>
          </w:tcPr>
          <w:p w14:paraId="5C3796AC" w14:textId="77777777" w:rsidR="00F34BD4" w:rsidRPr="00D94B5E" w:rsidRDefault="00F34BD4">
            <w:pPr>
              <w:spacing w:after="0"/>
              <w:jc w:val="center"/>
              <w:rPr>
                <w:color w:val="000000"/>
                <w:szCs w:val="20"/>
                <w:lang w:eastAsia="pl-PL"/>
              </w:rPr>
            </w:pPr>
          </w:p>
        </w:tc>
        <w:tc>
          <w:tcPr>
            <w:tcW w:w="618" w:type="dxa"/>
            <w:tcBorders>
              <w:top w:val="single" w:sz="4" w:space="0" w:color="auto"/>
              <w:left w:val="single" w:sz="4" w:space="0" w:color="auto"/>
              <w:bottom w:val="single" w:sz="4" w:space="0" w:color="auto"/>
              <w:right w:val="single" w:sz="4" w:space="0" w:color="auto"/>
            </w:tcBorders>
            <w:vAlign w:val="center"/>
          </w:tcPr>
          <w:p w14:paraId="5B9C2C09" w14:textId="77777777" w:rsidR="00F34BD4" w:rsidRPr="00D94B5E" w:rsidRDefault="00F34BD4">
            <w:pPr>
              <w:spacing w:after="0"/>
              <w:jc w:val="center"/>
              <w:rPr>
                <w:color w:val="000000"/>
                <w:szCs w:val="20"/>
                <w:lang w:eastAsia="pl-PL"/>
              </w:rPr>
            </w:pP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11523029"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1625" w:type="dxa"/>
            <w:vMerge w:val="restart"/>
            <w:tcBorders>
              <w:top w:val="nil"/>
              <w:left w:val="single" w:sz="4" w:space="0" w:color="auto"/>
              <w:right w:val="single" w:sz="4" w:space="0" w:color="auto"/>
            </w:tcBorders>
            <w:shd w:val="clear" w:color="auto" w:fill="auto"/>
            <w:vAlign w:val="center"/>
            <w:hideMark/>
          </w:tcPr>
          <w:p w14:paraId="190E5509" w14:textId="77777777" w:rsidR="00F34BD4" w:rsidRPr="00D94B5E" w:rsidRDefault="00F34BD4">
            <w:pPr>
              <w:spacing w:after="0"/>
              <w:jc w:val="center"/>
              <w:rPr>
                <w:color w:val="000000"/>
                <w:szCs w:val="20"/>
                <w:lang w:eastAsia="pl-PL"/>
              </w:rPr>
            </w:pPr>
            <w:r>
              <w:rPr>
                <w:color w:val="000000"/>
                <w:szCs w:val="20"/>
                <w:lang w:eastAsia="pl-PL"/>
              </w:rPr>
              <w:t>Całkowite skumulowane</w:t>
            </w:r>
            <w:r w:rsidRPr="00D94B5E">
              <w:rPr>
                <w:color w:val="000000"/>
                <w:szCs w:val="20"/>
                <w:lang w:eastAsia="pl-PL"/>
              </w:rPr>
              <w:t xml:space="preserve"> oszczędności końcowego zużycia energii (do 2030)</w:t>
            </w:r>
          </w:p>
        </w:tc>
      </w:tr>
      <w:tr w:rsidR="00F34BD4" w:rsidRPr="00A40D2C" w14:paraId="5DCCCA48" w14:textId="77777777">
        <w:trPr>
          <w:trHeight w:val="295"/>
        </w:trPr>
        <w:tc>
          <w:tcPr>
            <w:tcW w:w="1382" w:type="dxa"/>
            <w:vMerge/>
            <w:tcBorders>
              <w:left w:val="single" w:sz="4" w:space="0" w:color="auto"/>
              <w:right w:val="single" w:sz="4" w:space="0" w:color="auto"/>
            </w:tcBorders>
            <w:shd w:val="clear" w:color="auto" w:fill="auto"/>
            <w:vAlign w:val="center"/>
            <w:hideMark/>
          </w:tcPr>
          <w:p w14:paraId="33D669FD"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43ACCFB9"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7A9CA9E"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27CEE425"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71323A0"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44A9634"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C712400" w14:textId="77777777" w:rsidR="00F34BD4" w:rsidRPr="00D94B5E" w:rsidRDefault="00F34BD4">
            <w:pPr>
              <w:spacing w:after="0"/>
              <w:jc w:val="center"/>
              <w:rPr>
                <w:color w:val="000000"/>
                <w:szCs w:val="20"/>
                <w:lang w:eastAsia="pl-PL"/>
              </w:rPr>
            </w:pPr>
          </w:p>
        </w:tc>
        <w:tc>
          <w:tcPr>
            <w:tcW w:w="617" w:type="dxa"/>
            <w:tcBorders>
              <w:top w:val="single" w:sz="4" w:space="0" w:color="auto"/>
              <w:left w:val="single" w:sz="4" w:space="0" w:color="auto"/>
              <w:bottom w:val="single" w:sz="4" w:space="0" w:color="auto"/>
              <w:right w:val="single" w:sz="4" w:space="0" w:color="auto"/>
            </w:tcBorders>
            <w:vAlign w:val="center"/>
          </w:tcPr>
          <w:p w14:paraId="1B7F0F69" w14:textId="77777777" w:rsidR="00F34BD4" w:rsidRPr="00D94B5E" w:rsidRDefault="00F34BD4">
            <w:pPr>
              <w:spacing w:after="0"/>
              <w:jc w:val="center"/>
              <w:rPr>
                <w:color w:val="000000"/>
                <w:szCs w:val="20"/>
                <w:lang w:eastAsia="pl-PL"/>
              </w:rPr>
            </w:pPr>
          </w:p>
        </w:tc>
        <w:tc>
          <w:tcPr>
            <w:tcW w:w="618" w:type="dxa"/>
            <w:tcBorders>
              <w:top w:val="single" w:sz="4" w:space="0" w:color="auto"/>
              <w:left w:val="single" w:sz="4" w:space="0" w:color="auto"/>
              <w:bottom w:val="single" w:sz="4" w:space="0" w:color="auto"/>
              <w:right w:val="single" w:sz="4" w:space="0" w:color="auto"/>
            </w:tcBorders>
          </w:tcPr>
          <w:p w14:paraId="747EE8E9" w14:textId="77777777" w:rsidR="00F34BD4" w:rsidRPr="00D94B5E" w:rsidRDefault="00F34BD4">
            <w:pPr>
              <w:spacing w:after="0"/>
              <w:jc w:val="center"/>
              <w:rPr>
                <w:color w:val="000000"/>
                <w:szCs w:val="20"/>
                <w:lang w:eastAsia="pl-PL"/>
              </w:rPr>
            </w:pPr>
          </w:p>
        </w:tc>
        <w:tc>
          <w:tcPr>
            <w:tcW w:w="618" w:type="dxa"/>
            <w:tcBorders>
              <w:top w:val="single" w:sz="4" w:space="0" w:color="auto"/>
              <w:left w:val="single" w:sz="4" w:space="0" w:color="auto"/>
              <w:bottom w:val="single" w:sz="4" w:space="0" w:color="auto"/>
              <w:right w:val="single" w:sz="4" w:space="0" w:color="auto"/>
            </w:tcBorders>
          </w:tcPr>
          <w:p w14:paraId="43BA3492"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597F9DAE"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shd w:val="clear" w:color="auto" w:fill="auto"/>
            <w:vAlign w:val="center"/>
            <w:hideMark/>
          </w:tcPr>
          <w:p w14:paraId="0FD0F17C" w14:textId="77777777" w:rsidR="00F34BD4" w:rsidRPr="00D94B5E" w:rsidRDefault="00F34BD4">
            <w:pPr>
              <w:spacing w:after="0"/>
              <w:jc w:val="center"/>
              <w:rPr>
                <w:color w:val="000000"/>
                <w:szCs w:val="20"/>
                <w:lang w:eastAsia="pl-PL"/>
              </w:rPr>
            </w:pPr>
          </w:p>
        </w:tc>
      </w:tr>
      <w:tr w:rsidR="00F34BD4" w:rsidRPr="00A40D2C" w14:paraId="1132CF3F" w14:textId="77777777">
        <w:trPr>
          <w:trHeight w:val="295"/>
        </w:trPr>
        <w:tc>
          <w:tcPr>
            <w:tcW w:w="1382" w:type="dxa"/>
            <w:vMerge/>
            <w:tcBorders>
              <w:left w:val="single" w:sz="4" w:space="0" w:color="auto"/>
              <w:right w:val="single" w:sz="4" w:space="0" w:color="auto"/>
            </w:tcBorders>
            <w:shd w:val="clear" w:color="auto" w:fill="auto"/>
            <w:vAlign w:val="center"/>
            <w:hideMark/>
          </w:tcPr>
          <w:p w14:paraId="14791AC1"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0504157D"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08B918CE"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3FF959BF"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5BF4D618"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5AC62B29"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F72B8EE" w14:textId="77777777" w:rsidR="00F34BD4" w:rsidRPr="00D94B5E" w:rsidRDefault="00F34BD4">
            <w:pPr>
              <w:spacing w:after="0"/>
              <w:jc w:val="center"/>
              <w:rPr>
                <w:color w:val="000000"/>
                <w:szCs w:val="20"/>
                <w:lang w:eastAsia="pl-PL"/>
              </w:rPr>
            </w:pPr>
          </w:p>
        </w:tc>
        <w:tc>
          <w:tcPr>
            <w:tcW w:w="617" w:type="dxa"/>
            <w:tcBorders>
              <w:top w:val="single" w:sz="4" w:space="0" w:color="auto"/>
              <w:left w:val="single" w:sz="4" w:space="0" w:color="auto"/>
              <w:bottom w:val="single" w:sz="4" w:space="0" w:color="auto"/>
              <w:right w:val="single" w:sz="4" w:space="0" w:color="auto"/>
            </w:tcBorders>
            <w:vAlign w:val="center"/>
          </w:tcPr>
          <w:p w14:paraId="6F2D7805" w14:textId="77777777" w:rsidR="00F34BD4" w:rsidRPr="00D94B5E" w:rsidRDefault="00F34BD4">
            <w:pPr>
              <w:spacing w:after="0"/>
              <w:jc w:val="center"/>
              <w:rPr>
                <w:color w:val="000000"/>
                <w:szCs w:val="20"/>
                <w:lang w:eastAsia="pl-PL"/>
              </w:rPr>
            </w:pPr>
          </w:p>
        </w:tc>
        <w:tc>
          <w:tcPr>
            <w:tcW w:w="618" w:type="dxa"/>
            <w:tcBorders>
              <w:top w:val="single" w:sz="4" w:space="0" w:color="auto"/>
              <w:left w:val="single" w:sz="4" w:space="0" w:color="auto"/>
              <w:bottom w:val="single" w:sz="4" w:space="0" w:color="auto"/>
              <w:right w:val="single" w:sz="4" w:space="0" w:color="auto"/>
            </w:tcBorders>
          </w:tcPr>
          <w:p w14:paraId="3E6257DF"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5DD1C9D2"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543865E3"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shd w:val="clear" w:color="auto" w:fill="auto"/>
            <w:vAlign w:val="center"/>
            <w:hideMark/>
          </w:tcPr>
          <w:p w14:paraId="12A9A530" w14:textId="77777777" w:rsidR="00F34BD4" w:rsidRPr="00D94B5E" w:rsidRDefault="00F34BD4">
            <w:pPr>
              <w:spacing w:after="0"/>
              <w:jc w:val="center"/>
              <w:rPr>
                <w:color w:val="000000"/>
                <w:szCs w:val="20"/>
                <w:lang w:eastAsia="pl-PL"/>
              </w:rPr>
            </w:pPr>
          </w:p>
        </w:tc>
      </w:tr>
      <w:tr w:rsidR="00F34BD4" w:rsidRPr="00A40D2C" w14:paraId="630877B0" w14:textId="77777777">
        <w:trPr>
          <w:trHeight w:val="295"/>
        </w:trPr>
        <w:tc>
          <w:tcPr>
            <w:tcW w:w="1382" w:type="dxa"/>
            <w:vMerge/>
            <w:tcBorders>
              <w:left w:val="single" w:sz="4" w:space="0" w:color="auto"/>
              <w:right w:val="single" w:sz="4" w:space="0" w:color="auto"/>
            </w:tcBorders>
            <w:vAlign w:val="center"/>
            <w:hideMark/>
          </w:tcPr>
          <w:p w14:paraId="65456F30"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33C77355"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05A05721"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33B38E5"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20293F7"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77F33E6C"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9AEB151" w14:textId="77777777" w:rsidR="00F34BD4" w:rsidRPr="00D94B5E" w:rsidRDefault="00F34BD4">
            <w:pPr>
              <w:spacing w:after="0"/>
              <w:jc w:val="center"/>
              <w:rPr>
                <w:color w:val="000000"/>
                <w:szCs w:val="20"/>
                <w:lang w:eastAsia="pl-PL"/>
              </w:rPr>
            </w:pPr>
          </w:p>
        </w:tc>
        <w:tc>
          <w:tcPr>
            <w:tcW w:w="617" w:type="dxa"/>
            <w:tcBorders>
              <w:top w:val="single" w:sz="4" w:space="0" w:color="auto"/>
              <w:left w:val="single" w:sz="4" w:space="0" w:color="auto"/>
              <w:bottom w:val="single" w:sz="4" w:space="0" w:color="auto"/>
              <w:right w:val="single" w:sz="4" w:space="0" w:color="auto"/>
            </w:tcBorders>
          </w:tcPr>
          <w:p w14:paraId="4DD54279"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0963F1D4"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5A410BA2"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0C6839D8"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shd w:val="clear" w:color="auto" w:fill="auto"/>
            <w:vAlign w:val="center"/>
            <w:hideMark/>
          </w:tcPr>
          <w:p w14:paraId="157FCDD7" w14:textId="77777777" w:rsidR="00F34BD4" w:rsidRPr="00D94B5E" w:rsidRDefault="00F34BD4">
            <w:pPr>
              <w:spacing w:after="0"/>
              <w:jc w:val="center"/>
              <w:rPr>
                <w:color w:val="000000"/>
                <w:szCs w:val="20"/>
                <w:lang w:eastAsia="pl-PL"/>
              </w:rPr>
            </w:pPr>
          </w:p>
        </w:tc>
      </w:tr>
      <w:tr w:rsidR="00F34BD4" w:rsidRPr="00A40D2C" w14:paraId="6647FA7B" w14:textId="77777777">
        <w:trPr>
          <w:trHeight w:val="295"/>
        </w:trPr>
        <w:tc>
          <w:tcPr>
            <w:tcW w:w="1382" w:type="dxa"/>
            <w:vMerge/>
            <w:tcBorders>
              <w:left w:val="single" w:sz="4" w:space="0" w:color="auto"/>
              <w:right w:val="single" w:sz="4" w:space="0" w:color="auto"/>
            </w:tcBorders>
            <w:vAlign w:val="center"/>
            <w:hideMark/>
          </w:tcPr>
          <w:p w14:paraId="56E478D2"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15FC00FC"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7FBE7E36"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9FCE670"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bottom"/>
          </w:tcPr>
          <w:p w14:paraId="0621243E"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07811ED"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tcPr>
          <w:p w14:paraId="59547BCD"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7" w:type="dxa"/>
            <w:tcBorders>
              <w:top w:val="single" w:sz="4" w:space="0" w:color="auto"/>
              <w:left w:val="single" w:sz="4" w:space="0" w:color="auto"/>
              <w:bottom w:val="single" w:sz="4" w:space="0" w:color="auto"/>
              <w:right w:val="single" w:sz="4" w:space="0" w:color="auto"/>
            </w:tcBorders>
          </w:tcPr>
          <w:p w14:paraId="191E44FC"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39494566"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4AF82954"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2D565C1A"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vAlign w:val="center"/>
            <w:hideMark/>
          </w:tcPr>
          <w:p w14:paraId="65180A17" w14:textId="77777777" w:rsidR="00F34BD4" w:rsidRPr="00D94B5E" w:rsidRDefault="00F34BD4">
            <w:pPr>
              <w:spacing w:after="0"/>
              <w:jc w:val="center"/>
              <w:rPr>
                <w:color w:val="000000"/>
                <w:szCs w:val="20"/>
                <w:lang w:eastAsia="pl-PL"/>
              </w:rPr>
            </w:pPr>
          </w:p>
        </w:tc>
      </w:tr>
      <w:tr w:rsidR="00F34BD4" w:rsidRPr="00A40D2C" w14:paraId="16F2BE57" w14:textId="77777777">
        <w:trPr>
          <w:trHeight w:val="295"/>
        </w:trPr>
        <w:tc>
          <w:tcPr>
            <w:tcW w:w="1382" w:type="dxa"/>
            <w:vMerge/>
            <w:tcBorders>
              <w:left w:val="single" w:sz="4" w:space="0" w:color="auto"/>
              <w:right w:val="single" w:sz="4" w:space="0" w:color="auto"/>
            </w:tcBorders>
            <w:vAlign w:val="center"/>
            <w:hideMark/>
          </w:tcPr>
          <w:p w14:paraId="726130A0"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15935234"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4FC553E8"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6030BBE7"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8A577D7"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0EF354AA"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2803C444"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7" w:type="dxa"/>
            <w:tcBorders>
              <w:top w:val="single" w:sz="4" w:space="0" w:color="auto"/>
              <w:left w:val="single" w:sz="4" w:space="0" w:color="auto"/>
              <w:bottom w:val="single" w:sz="4" w:space="0" w:color="auto"/>
              <w:right w:val="single" w:sz="4" w:space="0" w:color="auto"/>
            </w:tcBorders>
          </w:tcPr>
          <w:p w14:paraId="338D3B9F"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4C351136"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2AE22547"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40BCD468"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shd w:val="clear" w:color="auto" w:fill="auto"/>
            <w:vAlign w:val="center"/>
            <w:hideMark/>
          </w:tcPr>
          <w:p w14:paraId="272D7BCA" w14:textId="77777777" w:rsidR="00F34BD4" w:rsidRPr="00D94B5E" w:rsidRDefault="00F34BD4">
            <w:pPr>
              <w:spacing w:after="0"/>
              <w:jc w:val="center"/>
              <w:rPr>
                <w:color w:val="000000"/>
                <w:szCs w:val="20"/>
                <w:lang w:eastAsia="pl-PL"/>
              </w:rPr>
            </w:pPr>
          </w:p>
        </w:tc>
      </w:tr>
      <w:tr w:rsidR="00F34BD4" w:rsidRPr="00A40D2C" w14:paraId="0CB42C0D" w14:textId="77777777">
        <w:trPr>
          <w:trHeight w:val="295"/>
        </w:trPr>
        <w:tc>
          <w:tcPr>
            <w:tcW w:w="1382" w:type="dxa"/>
            <w:vMerge/>
            <w:tcBorders>
              <w:left w:val="single" w:sz="4" w:space="0" w:color="auto"/>
              <w:right w:val="single" w:sz="4" w:space="0" w:color="auto"/>
            </w:tcBorders>
            <w:vAlign w:val="center"/>
            <w:hideMark/>
          </w:tcPr>
          <w:p w14:paraId="797CCDCB"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43EFDBCF"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63D05FCD"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vAlign w:val="center"/>
          </w:tcPr>
          <w:p w14:paraId="4BF81FE0"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tcPr>
          <w:p w14:paraId="08EBBD81"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56D1AB45"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44A452C1"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7" w:type="dxa"/>
            <w:tcBorders>
              <w:top w:val="single" w:sz="4" w:space="0" w:color="auto"/>
              <w:left w:val="single" w:sz="4" w:space="0" w:color="auto"/>
              <w:bottom w:val="single" w:sz="4" w:space="0" w:color="auto"/>
              <w:right w:val="single" w:sz="4" w:space="0" w:color="auto"/>
            </w:tcBorders>
          </w:tcPr>
          <w:p w14:paraId="6F078409"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0E6149E1"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455BF2E9"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7382BAFE"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vAlign w:val="center"/>
            <w:hideMark/>
          </w:tcPr>
          <w:p w14:paraId="794CA71E" w14:textId="77777777" w:rsidR="00F34BD4" w:rsidRPr="00D94B5E" w:rsidRDefault="00F34BD4">
            <w:pPr>
              <w:spacing w:after="0"/>
              <w:jc w:val="center"/>
              <w:rPr>
                <w:color w:val="000000"/>
                <w:szCs w:val="20"/>
                <w:lang w:eastAsia="pl-PL"/>
              </w:rPr>
            </w:pPr>
          </w:p>
        </w:tc>
      </w:tr>
      <w:tr w:rsidR="00F34BD4" w:rsidRPr="00A40D2C" w14:paraId="4259F38F" w14:textId="77777777">
        <w:trPr>
          <w:trHeight w:val="295"/>
        </w:trPr>
        <w:tc>
          <w:tcPr>
            <w:tcW w:w="1382" w:type="dxa"/>
            <w:vMerge/>
            <w:tcBorders>
              <w:left w:val="single" w:sz="4" w:space="0" w:color="auto"/>
              <w:right w:val="single" w:sz="4" w:space="0" w:color="auto"/>
            </w:tcBorders>
            <w:vAlign w:val="center"/>
          </w:tcPr>
          <w:p w14:paraId="770AB5D4"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70EE6E50"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060AED46" w14:textId="77777777" w:rsidR="00F34BD4" w:rsidRPr="00D94B5E" w:rsidRDefault="00F34BD4">
            <w:pPr>
              <w:spacing w:after="0"/>
              <w:jc w:val="center"/>
              <w:rPr>
                <w:color w:val="000000"/>
                <w:szCs w:val="20"/>
                <w:lang w:eastAsia="pl-PL"/>
              </w:rPr>
            </w:pPr>
          </w:p>
        </w:tc>
        <w:tc>
          <w:tcPr>
            <w:tcW w:w="618" w:type="dxa"/>
            <w:tcBorders>
              <w:top w:val="nil"/>
              <w:left w:val="nil"/>
              <w:bottom w:val="single" w:sz="4" w:space="0" w:color="auto"/>
              <w:right w:val="single" w:sz="4" w:space="0" w:color="auto"/>
            </w:tcBorders>
            <w:shd w:val="clear" w:color="auto" w:fill="auto"/>
            <w:noWrap/>
          </w:tcPr>
          <w:p w14:paraId="6C3D53CB"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07C489E3"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19EA75C0"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52B407A3"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7" w:type="dxa"/>
            <w:tcBorders>
              <w:top w:val="single" w:sz="4" w:space="0" w:color="auto"/>
              <w:left w:val="single" w:sz="4" w:space="0" w:color="auto"/>
              <w:bottom w:val="single" w:sz="4" w:space="0" w:color="auto"/>
              <w:right w:val="single" w:sz="4" w:space="0" w:color="auto"/>
            </w:tcBorders>
          </w:tcPr>
          <w:p w14:paraId="5F95DD97"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1362E0D8"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53588307"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05A7851A"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vAlign w:val="center"/>
          </w:tcPr>
          <w:p w14:paraId="06A9FCF5" w14:textId="77777777" w:rsidR="00F34BD4" w:rsidRPr="00D94B5E" w:rsidRDefault="00F34BD4">
            <w:pPr>
              <w:spacing w:after="0"/>
              <w:jc w:val="center"/>
              <w:rPr>
                <w:color w:val="000000"/>
                <w:szCs w:val="20"/>
                <w:lang w:eastAsia="pl-PL"/>
              </w:rPr>
            </w:pPr>
          </w:p>
        </w:tc>
      </w:tr>
      <w:tr w:rsidR="00F34BD4" w:rsidRPr="00A40D2C" w14:paraId="63AE5885" w14:textId="77777777">
        <w:trPr>
          <w:trHeight w:val="295"/>
        </w:trPr>
        <w:tc>
          <w:tcPr>
            <w:tcW w:w="1382" w:type="dxa"/>
            <w:vMerge/>
            <w:tcBorders>
              <w:left w:val="single" w:sz="4" w:space="0" w:color="auto"/>
              <w:right w:val="single" w:sz="4" w:space="0" w:color="auto"/>
            </w:tcBorders>
            <w:vAlign w:val="center"/>
          </w:tcPr>
          <w:p w14:paraId="0FE18367"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597AC0B6"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8" w:type="dxa"/>
            <w:tcBorders>
              <w:top w:val="nil"/>
              <w:left w:val="nil"/>
              <w:bottom w:val="single" w:sz="4" w:space="0" w:color="auto"/>
              <w:right w:val="single" w:sz="4" w:space="0" w:color="auto"/>
            </w:tcBorders>
            <w:shd w:val="clear" w:color="auto" w:fill="auto"/>
            <w:noWrap/>
            <w:vAlign w:val="center"/>
          </w:tcPr>
          <w:p w14:paraId="553FEC18"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105136BA"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16AD4787"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109DC43D"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nil"/>
              <w:left w:val="nil"/>
              <w:bottom w:val="single" w:sz="4" w:space="0" w:color="auto"/>
              <w:right w:val="single" w:sz="4" w:space="0" w:color="auto"/>
            </w:tcBorders>
            <w:shd w:val="clear" w:color="auto" w:fill="auto"/>
            <w:noWrap/>
          </w:tcPr>
          <w:p w14:paraId="0F7E027F"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7" w:type="dxa"/>
            <w:tcBorders>
              <w:top w:val="single" w:sz="4" w:space="0" w:color="auto"/>
              <w:left w:val="single" w:sz="4" w:space="0" w:color="auto"/>
              <w:bottom w:val="single" w:sz="4" w:space="0" w:color="auto"/>
              <w:right w:val="single" w:sz="4" w:space="0" w:color="auto"/>
            </w:tcBorders>
          </w:tcPr>
          <w:p w14:paraId="70328DA9"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5E719031"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tcPr>
          <w:p w14:paraId="45B5951F"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6226A0A0" w14:textId="77777777" w:rsidR="00F34BD4" w:rsidRPr="00D94B5E" w:rsidRDefault="00F34BD4">
            <w:pPr>
              <w:spacing w:after="0"/>
              <w:jc w:val="center"/>
              <w:rPr>
                <w:color w:val="000000"/>
                <w:szCs w:val="20"/>
                <w:lang w:eastAsia="pl-PL"/>
              </w:rPr>
            </w:pPr>
            <w:r w:rsidRPr="00D94B5E">
              <w:rPr>
                <w:color w:val="000000"/>
                <w:szCs w:val="20"/>
                <w:lang w:eastAsia="pl-PL"/>
              </w:rPr>
              <w:t>300</w:t>
            </w:r>
          </w:p>
        </w:tc>
        <w:tc>
          <w:tcPr>
            <w:tcW w:w="1625" w:type="dxa"/>
            <w:vMerge/>
            <w:tcBorders>
              <w:left w:val="single" w:sz="4" w:space="0" w:color="auto"/>
              <w:right w:val="single" w:sz="4" w:space="0" w:color="auto"/>
            </w:tcBorders>
            <w:vAlign w:val="center"/>
          </w:tcPr>
          <w:p w14:paraId="7EECF635" w14:textId="77777777" w:rsidR="00F34BD4" w:rsidRPr="00D94B5E" w:rsidRDefault="00F34BD4">
            <w:pPr>
              <w:spacing w:after="0"/>
              <w:jc w:val="center"/>
              <w:rPr>
                <w:color w:val="000000"/>
                <w:szCs w:val="20"/>
                <w:lang w:eastAsia="pl-PL"/>
              </w:rPr>
            </w:pPr>
          </w:p>
        </w:tc>
      </w:tr>
      <w:tr w:rsidR="00F34BD4" w:rsidRPr="00A40D2C" w14:paraId="4AEBE6DA" w14:textId="77777777">
        <w:trPr>
          <w:trHeight w:val="295"/>
        </w:trPr>
        <w:tc>
          <w:tcPr>
            <w:tcW w:w="1382" w:type="dxa"/>
            <w:vMerge/>
            <w:tcBorders>
              <w:left w:val="single" w:sz="4" w:space="0" w:color="auto"/>
              <w:bottom w:val="single" w:sz="4" w:space="0" w:color="auto"/>
              <w:right w:val="single" w:sz="4" w:space="0" w:color="auto"/>
            </w:tcBorders>
            <w:vAlign w:val="center"/>
          </w:tcPr>
          <w:p w14:paraId="3286DD87" w14:textId="77777777" w:rsidR="00F34BD4" w:rsidRPr="00D94B5E" w:rsidRDefault="00F34BD4">
            <w:pPr>
              <w:spacing w:after="0"/>
              <w:jc w:val="center"/>
              <w:rPr>
                <w:color w:val="000000"/>
                <w:szCs w:val="20"/>
                <w:lang w:eastAsia="pl-PL"/>
              </w:rPr>
            </w:pPr>
          </w:p>
        </w:tc>
        <w:tc>
          <w:tcPr>
            <w:tcW w:w="620" w:type="dxa"/>
            <w:tcBorders>
              <w:top w:val="nil"/>
              <w:left w:val="nil"/>
              <w:bottom w:val="single" w:sz="4" w:space="0" w:color="auto"/>
              <w:right w:val="single" w:sz="4" w:space="0" w:color="auto"/>
            </w:tcBorders>
            <w:shd w:val="clear" w:color="auto" w:fill="auto"/>
            <w:noWrap/>
            <w:vAlign w:val="center"/>
          </w:tcPr>
          <w:p w14:paraId="7AED5D81" w14:textId="77777777" w:rsidR="00F34BD4" w:rsidRPr="00D94B5E" w:rsidRDefault="00F34BD4">
            <w:pPr>
              <w:spacing w:after="0"/>
              <w:jc w:val="center"/>
              <w:rPr>
                <w:color w:val="000000"/>
                <w:szCs w:val="20"/>
                <w:lang w:eastAsia="pl-PL"/>
              </w:rPr>
            </w:pPr>
            <w:r w:rsidRPr="00D94B5E">
              <w:rPr>
                <w:color w:val="000000"/>
                <w:szCs w:val="20"/>
                <w:lang w:eastAsia="pl-PL"/>
              </w:rPr>
              <w:t>222</w:t>
            </w:r>
          </w:p>
        </w:tc>
        <w:tc>
          <w:tcPr>
            <w:tcW w:w="618" w:type="dxa"/>
            <w:tcBorders>
              <w:top w:val="nil"/>
              <w:left w:val="nil"/>
              <w:bottom w:val="single" w:sz="4" w:space="0" w:color="auto"/>
              <w:right w:val="single" w:sz="4" w:space="0" w:color="auto"/>
            </w:tcBorders>
            <w:shd w:val="clear" w:color="auto" w:fill="auto"/>
            <w:noWrap/>
          </w:tcPr>
          <w:p w14:paraId="7F29196B" w14:textId="77777777" w:rsidR="00F34BD4" w:rsidRPr="00D94B5E" w:rsidRDefault="00F34BD4">
            <w:pPr>
              <w:spacing w:after="0"/>
              <w:jc w:val="center"/>
              <w:rPr>
                <w:color w:val="000000"/>
                <w:szCs w:val="20"/>
                <w:lang w:eastAsia="pl-PL"/>
              </w:rPr>
            </w:pPr>
            <w:r w:rsidRPr="00D94B5E">
              <w:rPr>
                <w:color w:val="000000"/>
                <w:szCs w:val="20"/>
                <w:lang w:eastAsia="pl-PL"/>
              </w:rPr>
              <w:t>222</w:t>
            </w:r>
          </w:p>
        </w:tc>
        <w:tc>
          <w:tcPr>
            <w:tcW w:w="618" w:type="dxa"/>
            <w:tcBorders>
              <w:top w:val="nil"/>
              <w:left w:val="nil"/>
              <w:bottom w:val="single" w:sz="4" w:space="0" w:color="auto"/>
              <w:right w:val="single" w:sz="4" w:space="0" w:color="auto"/>
            </w:tcBorders>
            <w:shd w:val="clear" w:color="auto" w:fill="auto"/>
            <w:noWrap/>
          </w:tcPr>
          <w:p w14:paraId="66C10BF0" w14:textId="77777777" w:rsidR="00F34BD4" w:rsidRPr="00D94B5E" w:rsidRDefault="00F34BD4">
            <w:pPr>
              <w:spacing w:after="0"/>
              <w:jc w:val="center"/>
              <w:rPr>
                <w:color w:val="000000"/>
                <w:szCs w:val="20"/>
                <w:lang w:eastAsia="pl-PL"/>
              </w:rPr>
            </w:pPr>
            <w:r w:rsidRPr="00D94B5E">
              <w:rPr>
                <w:color w:val="000000"/>
                <w:szCs w:val="20"/>
                <w:lang w:eastAsia="pl-PL"/>
              </w:rPr>
              <w:t>222</w:t>
            </w:r>
          </w:p>
        </w:tc>
        <w:tc>
          <w:tcPr>
            <w:tcW w:w="618" w:type="dxa"/>
            <w:tcBorders>
              <w:top w:val="nil"/>
              <w:left w:val="nil"/>
              <w:bottom w:val="single" w:sz="4" w:space="0" w:color="auto"/>
              <w:right w:val="single" w:sz="4" w:space="0" w:color="auto"/>
            </w:tcBorders>
            <w:shd w:val="clear" w:color="auto" w:fill="auto"/>
            <w:noWrap/>
          </w:tcPr>
          <w:p w14:paraId="16F3EFF3" w14:textId="77777777" w:rsidR="00F34BD4" w:rsidRPr="00D94B5E" w:rsidRDefault="00F34BD4">
            <w:pPr>
              <w:spacing w:after="0"/>
              <w:jc w:val="center"/>
              <w:rPr>
                <w:color w:val="000000"/>
                <w:szCs w:val="20"/>
                <w:lang w:eastAsia="pl-PL"/>
              </w:rPr>
            </w:pPr>
            <w:r w:rsidRPr="00D94B5E">
              <w:rPr>
                <w:color w:val="000000"/>
                <w:szCs w:val="20"/>
                <w:lang w:eastAsia="pl-PL"/>
              </w:rPr>
              <w:t>222</w:t>
            </w:r>
          </w:p>
        </w:tc>
        <w:tc>
          <w:tcPr>
            <w:tcW w:w="618" w:type="dxa"/>
            <w:tcBorders>
              <w:top w:val="nil"/>
              <w:left w:val="nil"/>
              <w:bottom w:val="single" w:sz="4" w:space="0" w:color="auto"/>
              <w:right w:val="single" w:sz="4" w:space="0" w:color="auto"/>
            </w:tcBorders>
            <w:shd w:val="clear" w:color="auto" w:fill="auto"/>
            <w:noWrap/>
          </w:tcPr>
          <w:p w14:paraId="2748F720" w14:textId="77777777" w:rsidR="00F34BD4" w:rsidRPr="00D94B5E" w:rsidRDefault="00F34BD4">
            <w:pPr>
              <w:spacing w:after="0"/>
              <w:jc w:val="center"/>
              <w:rPr>
                <w:color w:val="000000"/>
                <w:szCs w:val="20"/>
                <w:lang w:eastAsia="pl-PL"/>
              </w:rPr>
            </w:pPr>
            <w:r w:rsidRPr="00D94B5E">
              <w:rPr>
                <w:color w:val="000000"/>
                <w:szCs w:val="20"/>
                <w:lang w:eastAsia="pl-PL"/>
              </w:rPr>
              <w:t>222</w:t>
            </w:r>
          </w:p>
        </w:tc>
        <w:tc>
          <w:tcPr>
            <w:tcW w:w="618" w:type="dxa"/>
            <w:tcBorders>
              <w:top w:val="nil"/>
              <w:left w:val="nil"/>
              <w:bottom w:val="single" w:sz="4" w:space="0" w:color="auto"/>
              <w:right w:val="single" w:sz="4" w:space="0" w:color="auto"/>
            </w:tcBorders>
            <w:shd w:val="clear" w:color="auto" w:fill="auto"/>
            <w:noWrap/>
          </w:tcPr>
          <w:p w14:paraId="353D42CB" w14:textId="77777777" w:rsidR="00F34BD4" w:rsidRPr="00D94B5E" w:rsidRDefault="00F34BD4">
            <w:pPr>
              <w:spacing w:after="0"/>
              <w:jc w:val="center"/>
              <w:rPr>
                <w:color w:val="000000"/>
                <w:szCs w:val="20"/>
                <w:lang w:eastAsia="pl-PL"/>
              </w:rPr>
            </w:pPr>
            <w:r w:rsidRPr="00D94B5E">
              <w:rPr>
                <w:color w:val="000000"/>
                <w:szCs w:val="20"/>
                <w:lang w:eastAsia="pl-PL"/>
              </w:rPr>
              <w:t>222</w:t>
            </w:r>
          </w:p>
        </w:tc>
        <w:tc>
          <w:tcPr>
            <w:tcW w:w="617" w:type="dxa"/>
            <w:tcBorders>
              <w:top w:val="single" w:sz="4" w:space="0" w:color="auto"/>
              <w:left w:val="single" w:sz="4" w:space="0" w:color="auto"/>
              <w:bottom w:val="single" w:sz="4" w:space="0" w:color="auto"/>
              <w:right w:val="single" w:sz="4" w:space="0" w:color="auto"/>
            </w:tcBorders>
          </w:tcPr>
          <w:p w14:paraId="0A383A1E" w14:textId="77777777" w:rsidR="00F34BD4" w:rsidRPr="00D94B5E" w:rsidRDefault="00F34BD4">
            <w:pPr>
              <w:spacing w:after="0"/>
              <w:jc w:val="center"/>
              <w:rPr>
                <w:color w:val="000000"/>
                <w:szCs w:val="20"/>
                <w:lang w:eastAsia="pl-PL"/>
              </w:rPr>
            </w:pPr>
            <w:r w:rsidRPr="00D94B5E">
              <w:rPr>
                <w:color w:val="000000"/>
                <w:szCs w:val="20"/>
                <w:lang w:eastAsia="pl-PL"/>
              </w:rPr>
              <w:t>222</w:t>
            </w:r>
          </w:p>
        </w:tc>
        <w:tc>
          <w:tcPr>
            <w:tcW w:w="618" w:type="dxa"/>
            <w:tcBorders>
              <w:top w:val="single" w:sz="4" w:space="0" w:color="auto"/>
              <w:left w:val="single" w:sz="4" w:space="0" w:color="auto"/>
              <w:bottom w:val="single" w:sz="4" w:space="0" w:color="auto"/>
              <w:right w:val="single" w:sz="4" w:space="0" w:color="auto"/>
            </w:tcBorders>
          </w:tcPr>
          <w:p w14:paraId="2A1A589B" w14:textId="77777777" w:rsidR="00F34BD4" w:rsidRPr="00D94B5E" w:rsidRDefault="00F34BD4">
            <w:pPr>
              <w:spacing w:after="0"/>
              <w:jc w:val="center"/>
              <w:rPr>
                <w:color w:val="000000"/>
                <w:szCs w:val="20"/>
                <w:lang w:eastAsia="pl-PL"/>
              </w:rPr>
            </w:pPr>
            <w:r w:rsidRPr="00D94B5E">
              <w:rPr>
                <w:color w:val="000000"/>
                <w:szCs w:val="20"/>
                <w:lang w:eastAsia="pl-PL"/>
              </w:rPr>
              <w:t>222</w:t>
            </w:r>
          </w:p>
        </w:tc>
        <w:tc>
          <w:tcPr>
            <w:tcW w:w="618" w:type="dxa"/>
            <w:tcBorders>
              <w:top w:val="single" w:sz="4" w:space="0" w:color="auto"/>
              <w:left w:val="single" w:sz="4" w:space="0" w:color="auto"/>
              <w:bottom w:val="single" w:sz="4" w:space="0" w:color="auto"/>
              <w:right w:val="single" w:sz="4" w:space="0" w:color="auto"/>
            </w:tcBorders>
          </w:tcPr>
          <w:p w14:paraId="4FC605A1" w14:textId="77777777" w:rsidR="00F34BD4" w:rsidRPr="00D94B5E" w:rsidRDefault="00F34BD4">
            <w:pPr>
              <w:spacing w:after="0"/>
              <w:jc w:val="center"/>
              <w:rPr>
                <w:color w:val="000000"/>
                <w:szCs w:val="20"/>
                <w:lang w:eastAsia="pl-PL"/>
              </w:rPr>
            </w:pPr>
            <w:r w:rsidRPr="00D94B5E">
              <w:rPr>
                <w:color w:val="000000"/>
                <w:szCs w:val="20"/>
                <w:lang w:eastAsia="pl-PL"/>
              </w:rPr>
              <w:t>222</w:t>
            </w:r>
          </w:p>
        </w:tc>
        <w:tc>
          <w:tcPr>
            <w:tcW w:w="618" w:type="dxa"/>
            <w:tcBorders>
              <w:top w:val="single" w:sz="4" w:space="0" w:color="auto"/>
              <w:left w:val="single" w:sz="4" w:space="0" w:color="auto"/>
              <w:bottom w:val="single" w:sz="4" w:space="0" w:color="auto"/>
              <w:right w:val="single" w:sz="4" w:space="0" w:color="auto"/>
            </w:tcBorders>
            <w:shd w:val="clear" w:color="auto" w:fill="auto"/>
            <w:noWrap/>
          </w:tcPr>
          <w:p w14:paraId="7AD2CABA" w14:textId="77777777" w:rsidR="00F34BD4" w:rsidRPr="00D94B5E" w:rsidRDefault="00F34BD4">
            <w:pPr>
              <w:spacing w:after="0"/>
              <w:jc w:val="center"/>
              <w:rPr>
                <w:color w:val="000000"/>
                <w:szCs w:val="20"/>
                <w:lang w:eastAsia="pl-PL"/>
              </w:rPr>
            </w:pPr>
            <w:r w:rsidRPr="00D94B5E">
              <w:rPr>
                <w:color w:val="000000"/>
                <w:szCs w:val="20"/>
                <w:lang w:eastAsia="pl-PL"/>
              </w:rPr>
              <w:t>222</w:t>
            </w:r>
          </w:p>
        </w:tc>
        <w:tc>
          <w:tcPr>
            <w:tcW w:w="1625" w:type="dxa"/>
            <w:vMerge/>
            <w:tcBorders>
              <w:left w:val="single" w:sz="4" w:space="0" w:color="auto"/>
              <w:bottom w:val="single" w:sz="4" w:space="0" w:color="auto"/>
              <w:right w:val="single" w:sz="4" w:space="0" w:color="auto"/>
            </w:tcBorders>
            <w:vAlign w:val="center"/>
          </w:tcPr>
          <w:p w14:paraId="03B8283A" w14:textId="77777777" w:rsidR="00F34BD4" w:rsidRPr="00D94B5E" w:rsidRDefault="00F34BD4">
            <w:pPr>
              <w:spacing w:after="0"/>
              <w:jc w:val="center"/>
              <w:rPr>
                <w:color w:val="000000"/>
                <w:szCs w:val="20"/>
                <w:lang w:eastAsia="pl-PL"/>
              </w:rPr>
            </w:pPr>
          </w:p>
        </w:tc>
      </w:tr>
      <w:tr w:rsidR="00F34BD4" w:rsidRPr="00A40D2C" w14:paraId="0ACFB78C" w14:textId="77777777">
        <w:trPr>
          <w:trHeight w:val="295"/>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5704125C" w14:textId="77777777" w:rsidR="00F34BD4" w:rsidRPr="00D94B5E" w:rsidRDefault="00F34BD4">
            <w:pPr>
              <w:spacing w:after="0"/>
              <w:jc w:val="center"/>
              <w:rPr>
                <w:color w:val="000000"/>
                <w:szCs w:val="20"/>
                <w:lang w:eastAsia="pl-PL"/>
              </w:rPr>
            </w:pPr>
            <w:r w:rsidRPr="00D94B5E">
              <w:rPr>
                <w:color w:val="000000"/>
                <w:szCs w:val="20"/>
                <w:lang w:eastAsia="pl-PL"/>
              </w:rPr>
              <w:t>Razem (ktoe)</w:t>
            </w:r>
          </w:p>
        </w:tc>
        <w:tc>
          <w:tcPr>
            <w:tcW w:w="620" w:type="dxa"/>
            <w:tcBorders>
              <w:top w:val="nil"/>
              <w:left w:val="nil"/>
              <w:bottom w:val="single" w:sz="4" w:space="0" w:color="auto"/>
              <w:right w:val="single" w:sz="4" w:space="0" w:color="auto"/>
            </w:tcBorders>
            <w:shd w:val="clear" w:color="auto" w:fill="auto"/>
            <w:noWrap/>
            <w:vAlign w:val="center"/>
          </w:tcPr>
          <w:p w14:paraId="5241331B" w14:textId="77777777" w:rsidR="00F34BD4" w:rsidRPr="00D94B5E" w:rsidRDefault="00F34BD4">
            <w:pPr>
              <w:spacing w:after="0"/>
              <w:jc w:val="center"/>
              <w:rPr>
                <w:b/>
                <w:bCs/>
                <w:color w:val="000000"/>
                <w:szCs w:val="20"/>
                <w:lang w:eastAsia="pl-PL"/>
              </w:rPr>
            </w:pPr>
            <w:r w:rsidRPr="00D94B5E">
              <w:rPr>
                <w:b/>
                <w:bCs/>
                <w:color w:val="000000"/>
                <w:szCs w:val="20"/>
                <w:lang w:eastAsia="pl-PL"/>
              </w:rPr>
              <w:t>222</w:t>
            </w:r>
          </w:p>
        </w:tc>
        <w:tc>
          <w:tcPr>
            <w:tcW w:w="618" w:type="dxa"/>
            <w:tcBorders>
              <w:top w:val="nil"/>
              <w:left w:val="nil"/>
              <w:bottom w:val="single" w:sz="4" w:space="0" w:color="auto"/>
              <w:right w:val="single" w:sz="4" w:space="0" w:color="auto"/>
            </w:tcBorders>
            <w:shd w:val="clear" w:color="auto" w:fill="auto"/>
            <w:noWrap/>
            <w:vAlign w:val="center"/>
          </w:tcPr>
          <w:p w14:paraId="2A526AED" w14:textId="77777777" w:rsidR="00F34BD4" w:rsidRPr="00D94B5E" w:rsidRDefault="00F34BD4">
            <w:pPr>
              <w:spacing w:after="0"/>
              <w:jc w:val="center"/>
              <w:rPr>
                <w:b/>
                <w:bCs/>
                <w:color w:val="000000"/>
                <w:szCs w:val="20"/>
                <w:lang w:eastAsia="pl-PL"/>
              </w:rPr>
            </w:pPr>
            <w:r w:rsidRPr="00D94B5E">
              <w:rPr>
                <w:rFonts w:cs="Calibri"/>
                <w:b/>
                <w:bCs/>
                <w:color w:val="000000"/>
                <w:szCs w:val="20"/>
              </w:rPr>
              <w:t>522</w:t>
            </w:r>
          </w:p>
        </w:tc>
        <w:tc>
          <w:tcPr>
            <w:tcW w:w="618" w:type="dxa"/>
            <w:tcBorders>
              <w:top w:val="nil"/>
              <w:left w:val="nil"/>
              <w:bottom w:val="single" w:sz="4" w:space="0" w:color="auto"/>
              <w:right w:val="single" w:sz="4" w:space="0" w:color="auto"/>
            </w:tcBorders>
            <w:shd w:val="clear" w:color="auto" w:fill="auto"/>
            <w:noWrap/>
            <w:vAlign w:val="center"/>
          </w:tcPr>
          <w:p w14:paraId="36DCD0F4" w14:textId="77777777" w:rsidR="00F34BD4" w:rsidRPr="00D94B5E" w:rsidRDefault="00F34BD4">
            <w:pPr>
              <w:spacing w:after="0"/>
              <w:jc w:val="center"/>
              <w:rPr>
                <w:b/>
                <w:bCs/>
                <w:color w:val="000000"/>
                <w:szCs w:val="20"/>
                <w:lang w:eastAsia="pl-PL"/>
              </w:rPr>
            </w:pPr>
            <w:r w:rsidRPr="00D94B5E">
              <w:rPr>
                <w:rFonts w:cs="Calibri"/>
                <w:b/>
                <w:bCs/>
                <w:color w:val="000000"/>
                <w:szCs w:val="20"/>
              </w:rPr>
              <w:t>822</w:t>
            </w:r>
          </w:p>
        </w:tc>
        <w:tc>
          <w:tcPr>
            <w:tcW w:w="618" w:type="dxa"/>
            <w:tcBorders>
              <w:top w:val="nil"/>
              <w:left w:val="nil"/>
              <w:bottom w:val="single" w:sz="4" w:space="0" w:color="auto"/>
              <w:right w:val="single" w:sz="4" w:space="0" w:color="auto"/>
            </w:tcBorders>
            <w:shd w:val="clear" w:color="auto" w:fill="auto"/>
            <w:noWrap/>
            <w:vAlign w:val="center"/>
          </w:tcPr>
          <w:p w14:paraId="5048E5B9" w14:textId="77777777" w:rsidR="00F34BD4" w:rsidRPr="00D94B5E" w:rsidRDefault="00F34BD4">
            <w:pPr>
              <w:spacing w:after="0"/>
              <w:jc w:val="center"/>
              <w:rPr>
                <w:b/>
                <w:bCs/>
                <w:color w:val="000000"/>
                <w:szCs w:val="20"/>
                <w:lang w:eastAsia="pl-PL"/>
              </w:rPr>
            </w:pPr>
            <w:r w:rsidRPr="00D94B5E">
              <w:rPr>
                <w:rFonts w:cs="Calibri"/>
                <w:b/>
                <w:bCs/>
                <w:color w:val="000000"/>
                <w:szCs w:val="20"/>
              </w:rPr>
              <w:t>1122</w:t>
            </w:r>
          </w:p>
        </w:tc>
        <w:tc>
          <w:tcPr>
            <w:tcW w:w="618" w:type="dxa"/>
            <w:tcBorders>
              <w:top w:val="nil"/>
              <w:left w:val="nil"/>
              <w:bottom w:val="single" w:sz="4" w:space="0" w:color="auto"/>
              <w:right w:val="single" w:sz="4" w:space="0" w:color="auto"/>
            </w:tcBorders>
            <w:shd w:val="clear" w:color="auto" w:fill="auto"/>
            <w:noWrap/>
            <w:vAlign w:val="center"/>
          </w:tcPr>
          <w:p w14:paraId="17A1D62E" w14:textId="77777777" w:rsidR="00F34BD4" w:rsidRPr="00D94B5E" w:rsidRDefault="00F34BD4">
            <w:pPr>
              <w:spacing w:after="0"/>
              <w:jc w:val="center"/>
              <w:rPr>
                <w:b/>
                <w:bCs/>
                <w:color w:val="000000"/>
                <w:szCs w:val="20"/>
                <w:lang w:eastAsia="pl-PL"/>
              </w:rPr>
            </w:pPr>
            <w:r w:rsidRPr="00D94B5E">
              <w:rPr>
                <w:rFonts w:cs="Calibri"/>
                <w:b/>
                <w:bCs/>
                <w:color w:val="000000"/>
                <w:szCs w:val="20"/>
              </w:rPr>
              <w:t>1422</w:t>
            </w:r>
          </w:p>
        </w:tc>
        <w:tc>
          <w:tcPr>
            <w:tcW w:w="618" w:type="dxa"/>
            <w:tcBorders>
              <w:top w:val="nil"/>
              <w:left w:val="nil"/>
              <w:bottom w:val="single" w:sz="4" w:space="0" w:color="auto"/>
              <w:right w:val="single" w:sz="4" w:space="0" w:color="auto"/>
            </w:tcBorders>
            <w:shd w:val="clear" w:color="auto" w:fill="auto"/>
            <w:noWrap/>
            <w:vAlign w:val="center"/>
          </w:tcPr>
          <w:p w14:paraId="36A272BC" w14:textId="77777777" w:rsidR="00F34BD4" w:rsidRPr="00D94B5E" w:rsidRDefault="00F34BD4">
            <w:pPr>
              <w:spacing w:after="0"/>
              <w:jc w:val="center"/>
              <w:rPr>
                <w:b/>
                <w:bCs/>
                <w:color w:val="000000"/>
                <w:szCs w:val="20"/>
                <w:lang w:eastAsia="pl-PL"/>
              </w:rPr>
            </w:pPr>
            <w:r w:rsidRPr="00D94B5E">
              <w:rPr>
                <w:rFonts w:cs="Calibri"/>
                <w:b/>
                <w:bCs/>
                <w:color w:val="000000"/>
                <w:szCs w:val="20"/>
              </w:rPr>
              <w:t>1722</w:t>
            </w:r>
          </w:p>
        </w:tc>
        <w:tc>
          <w:tcPr>
            <w:tcW w:w="617" w:type="dxa"/>
            <w:tcBorders>
              <w:top w:val="single" w:sz="4" w:space="0" w:color="auto"/>
              <w:left w:val="single" w:sz="4" w:space="0" w:color="auto"/>
              <w:bottom w:val="single" w:sz="4" w:space="0" w:color="auto"/>
              <w:right w:val="single" w:sz="4" w:space="0" w:color="auto"/>
            </w:tcBorders>
            <w:vAlign w:val="center"/>
          </w:tcPr>
          <w:p w14:paraId="11186FD7" w14:textId="77777777" w:rsidR="00F34BD4" w:rsidRPr="00D94B5E" w:rsidRDefault="00F34BD4">
            <w:pPr>
              <w:spacing w:after="0"/>
              <w:jc w:val="center"/>
              <w:rPr>
                <w:b/>
                <w:bCs/>
                <w:color w:val="000000"/>
                <w:szCs w:val="20"/>
                <w:lang w:eastAsia="pl-PL"/>
              </w:rPr>
            </w:pPr>
            <w:r w:rsidRPr="00D94B5E">
              <w:rPr>
                <w:rFonts w:cs="Calibri"/>
                <w:b/>
                <w:bCs/>
                <w:color w:val="000000"/>
                <w:szCs w:val="20"/>
              </w:rPr>
              <w:t>2022</w:t>
            </w:r>
          </w:p>
        </w:tc>
        <w:tc>
          <w:tcPr>
            <w:tcW w:w="618" w:type="dxa"/>
            <w:tcBorders>
              <w:top w:val="single" w:sz="4" w:space="0" w:color="auto"/>
              <w:left w:val="single" w:sz="4" w:space="0" w:color="auto"/>
              <w:bottom w:val="single" w:sz="4" w:space="0" w:color="auto"/>
              <w:right w:val="single" w:sz="4" w:space="0" w:color="auto"/>
            </w:tcBorders>
            <w:vAlign w:val="center"/>
          </w:tcPr>
          <w:p w14:paraId="718740E7" w14:textId="77777777" w:rsidR="00F34BD4" w:rsidRPr="00D94B5E" w:rsidRDefault="00F34BD4">
            <w:pPr>
              <w:spacing w:after="0"/>
              <w:jc w:val="center"/>
              <w:rPr>
                <w:b/>
                <w:bCs/>
                <w:color w:val="000000"/>
                <w:szCs w:val="20"/>
                <w:lang w:eastAsia="pl-PL"/>
              </w:rPr>
            </w:pPr>
            <w:r w:rsidRPr="00D94B5E">
              <w:rPr>
                <w:rFonts w:cs="Calibri"/>
                <w:b/>
                <w:bCs/>
                <w:color w:val="000000"/>
                <w:szCs w:val="20"/>
              </w:rPr>
              <w:t>2322</w:t>
            </w:r>
          </w:p>
        </w:tc>
        <w:tc>
          <w:tcPr>
            <w:tcW w:w="618" w:type="dxa"/>
            <w:tcBorders>
              <w:top w:val="single" w:sz="4" w:space="0" w:color="auto"/>
              <w:left w:val="single" w:sz="4" w:space="0" w:color="auto"/>
              <w:bottom w:val="single" w:sz="4" w:space="0" w:color="auto"/>
              <w:right w:val="single" w:sz="4" w:space="0" w:color="auto"/>
            </w:tcBorders>
            <w:vAlign w:val="center"/>
          </w:tcPr>
          <w:p w14:paraId="6CD1C7CA" w14:textId="77777777" w:rsidR="00F34BD4" w:rsidRPr="00D94B5E" w:rsidRDefault="00F34BD4">
            <w:pPr>
              <w:spacing w:after="0"/>
              <w:jc w:val="center"/>
              <w:rPr>
                <w:b/>
                <w:bCs/>
                <w:color w:val="000000"/>
                <w:szCs w:val="20"/>
                <w:lang w:eastAsia="pl-PL"/>
              </w:rPr>
            </w:pPr>
            <w:r w:rsidRPr="00D94B5E">
              <w:rPr>
                <w:rFonts w:cs="Calibri"/>
                <w:b/>
                <w:bCs/>
                <w:color w:val="000000"/>
                <w:szCs w:val="20"/>
              </w:rPr>
              <w:t>2622</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A838C" w14:textId="77777777" w:rsidR="00F34BD4" w:rsidRPr="00D94B5E" w:rsidRDefault="00F34BD4">
            <w:pPr>
              <w:spacing w:after="0"/>
              <w:jc w:val="center"/>
              <w:rPr>
                <w:b/>
                <w:bCs/>
                <w:color w:val="000000"/>
                <w:szCs w:val="20"/>
                <w:lang w:eastAsia="pl-PL"/>
              </w:rPr>
            </w:pPr>
            <w:r w:rsidRPr="00D94B5E">
              <w:rPr>
                <w:rFonts w:cs="Calibri"/>
                <w:b/>
                <w:bCs/>
                <w:color w:val="000000"/>
                <w:szCs w:val="20"/>
              </w:rPr>
              <w:t>2922</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14:paraId="2DC572BE" w14:textId="77777777" w:rsidR="00F34BD4" w:rsidRPr="00D94B5E" w:rsidRDefault="00F34BD4">
            <w:pPr>
              <w:spacing w:after="0"/>
              <w:jc w:val="center"/>
              <w:rPr>
                <w:b/>
                <w:bCs/>
                <w:color w:val="000000"/>
                <w:szCs w:val="20"/>
                <w:lang w:eastAsia="pl-PL"/>
              </w:rPr>
            </w:pPr>
            <w:r w:rsidRPr="00D94B5E">
              <w:rPr>
                <w:rFonts w:cs="Calibri"/>
                <w:b/>
                <w:color w:val="4472C4" w:themeColor="accent1"/>
                <w:szCs w:val="20"/>
              </w:rPr>
              <w:t>15</w:t>
            </w:r>
            <w:r w:rsidRPr="00D94B5E">
              <w:rPr>
                <w:rFonts w:cs="Calibri"/>
                <w:b/>
                <w:bCs/>
                <w:color w:val="4472C4" w:themeColor="accent1"/>
                <w:szCs w:val="20"/>
              </w:rPr>
              <w:t xml:space="preserve"> </w:t>
            </w:r>
            <w:r w:rsidRPr="00D94B5E">
              <w:rPr>
                <w:rFonts w:cs="Calibri"/>
                <w:b/>
                <w:color w:val="4472C4" w:themeColor="accent1"/>
                <w:szCs w:val="20"/>
              </w:rPr>
              <w:t>7</w:t>
            </w:r>
            <w:r>
              <w:rPr>
                <w:rFonts w:cs="Calibri"/>
                <w:b/>
                <w:color w:val="4472C4" w:themeColor="accent1"/>
                <w:szCs w:val="20"/>
              </w:rPr>
              <w:t>20</w:t>
            </w:r>
          </w:p>
        </w:tc>
      </w:tr>
    </w:tbl>
    <w:p w14:paraId="5DC12523" w14:textId="77777777" w:rsidR="00F34BD4" w:rsidRDefault="00F34BD4" w:rsidP="00F34BD4">
      <w:pPr>
        <w:spacing w:after="0" w:line="360" w:lineRule="auto"/>
      </w:pPr>
    </w:p>
    <w:p w14:paraId="55BAA128" w14:textId="7121ADCE" w:rsidR="00F34BD4" w:rsidRDefault="00F34BD4" w:rsidP="00373FD3">
      <w:r>
        <w:lastRenderedPageBreak/>
        <w:t xml:space="preserve">Pierwotnie szacowano, że ulga termomodernizacyjna będzie generować średnio 200 ktoe średniorocznych oszczędności energii finalnej. W samym 2021 </w:t>
      </w:r>
      <w:r w:rsidR="0011179A">
        <w:t>r.</w:t>
      </w:r>
      <w:r>
        <w:t xml:space="preserve"> łączna kwota odliczeń wyniosła 10,4 mld zł. W związku z dużym zainteresowaniem beneficjentów prostym odliczeniem podatkowym szacuje się, że udział oszczędności w osiąganiu celu w ramach ulgi termomodernizacyjnej w kolejnych latach będzie rosnąć.</w:t>
      </w:r>
    </w:p>
    <w:p w14:paraId="73C55584" w14:textId="77777777" w:rsidR="00F34BD4" w:rsidRPr="004A2365" w:rsidRDefault="00F34BD4" w:rsidP="00805E07">
      <w:pPr>
        <w:pStyle w:val="Nagwek4"/>
      </w:pPr>
      <w:r w:rsidRPr="004A2365">
        <w:t>Monitorowanie i weryfikacja</w:t>
      </w:r>
    </w:p>
    <w:p w14:paraId="746EAEEC" w14:textId="4E290816" w:rsidR="00F34BD4" w:rsidRPr="00D62DB9" w:rsidRDefault="00F34BD4" w:rsidP="00373FD3">
      <w:r w:rsidRPr="00D62DB9">
        <w:t xml:space="preserve">Weryfikacja odbywa się na podstawie przedłożonych faktur, Ministerstwo Finansów jest bezpośrednio odpowiedzialne za weryfikację zgłaszanych odliczeń w ramach ulgi termomodernizacyjnej. Zgodnie z art. 275 ust. 1 ustawy z dnia 29 sierpnia 1997 r. </w:t>
      </w:r>
      <w:r w:rsidR="00CD6727">
        <w:t xml:space="preserve">– </w:t>
      </w:r>
      <w:r w:rsidRPr="00D62DB9">
        <w:t xml:space="preserve">Ordynacja </w:t>
      </w:r>
      <w:r w:rsidR="00CD6727">
        <w:t>p</w:t>
      </w:r>
      <w:r w:rsidRPr="00D62DB9">
        <w:t>odatkowa</w:t>
      </w:r>
      <w:r w:rsidR="00CD6727">
        <w:t>,</w:t>
      </w:r>
      <w:r w:rsidRPr="00D62DB9">
        <w:t xml:space="preserve"> jeżeli ze złożonej deklaracji wynika, że podatnik skorzystał z przysługujących mu ulg podatkowych, organ podatkowy może zwrócić się do niego o okazanie dokumentów lub o złożenie fotokopii dokumentów, których posiadania przez podatnika, w określonym czasie, wymaga przepis prawa.</w:t>
      </w:r>
      <w:r w:rsidRPr="00D62DB9">
        <w:br w:type="page"/>
      </w:r>
    </w:p>
    <w:p w14:paraId="55398B3E" w14:textId="1F9141DA" w:rsidR="00F34BD4" w:rsidRPr="00805E07" w:rsidRDefault="00F34BD4" w:rsidP="00805E07">
      <w:pPr>
        <w:pStyle w:val="Nagwek3"/>
        <w:rPr>
          <w:sz w:val="31"/>
          <w:szCs w:val="31"/>
        </w:rPr>
      </w:pPr>
      <w:bookmarkStart w:id="19" w:name="_Toc202967817"/>
      <w:r w:rsidRPr="00805E07">
        <w:rPr>
          <w:sz w:val="31"/>
          <w:szCs w:val="31"/>
        </w:rPr>
        <w:lastRenderedPageBreak/>
        <w:t xml:space="preserve">Rozwój </w:t>
      </w:r>
      <w:r w:rsidR="00805E07" w:rsidRPr="00805E07">
        <w:rPr>
          <w:sz w:val="31"/>
          <w:szCs w:val="31"/>
        </w:rPr>
        <w:t>p</w:t>
      </w:r>
      <w:r w:rsidRPr="00805E07">
        <w:rPr>
          <w:sz w:val="31"/>
          <w:szCs w:val="31"/>
        </w:rPr>
        <w:t xml:space="preserve">ublicznego </w:t>
      </w:r>
      <w:r w:rsidR="00805E07" w:rsidRPr="00805E07">
        <w:rPr>
          <w:sz w:val="31"/>
          <w:szCs w:val="31"/>
        </w:rPr>
        <w:t>t</w:t>
      </w:r>
      <w:r w:rsidRPr="00805E07">
        <w:rPr>
          <w:sz w:val="31"/>
          <w:szCs w:val="31"/>
        </w:rPr>
        <w:t xml:space="preserve">ransportu </w:t>
      </w:r>
      <w:r w:rsidR="00805E07" w:rsidRPr="00805E07">
        <w:rPr>
          <w:sz w:val="31"/>
          <w:szCs w:val="31"/>
        </w:rPr>
        <w:t>z</w:t>
      </w:r>
      <w:r w:rsidRPr="00805E07">
        <w:rPr>
          <w:sz w:val="31"/>
          <w:szCs w:val="31"/>
        </w:rPr>
        <w:t>biorowego w</w:t>
      </w:r>
      <w:r w:rsidR="00805E07" w:rsidRPr="00805E07">
        <w:rPr>
          <w:sz w:val="31"/>
          <w:szCs w:val="31"/>
        </w:rPr>
        <w:t> m</w:t>
      </w:r>
      <w:r w:rsidRPr="00805E07">
        <w:rPr>
          <w:sz w:val="31"/>
          <w:szCs w:val="31"/>
        </w:rPr>
        <w:t>iastach</w:t>
      </w:r>
      <w:bookmarkEnd w:id="19"/>
      <w:r w:rsidRPr="00805E07">
        <w:rPr>
          <w:sz w:val="31"/>
          <w:szCs w:val="31"/>
        </w:rPr>
        <w:t xml:space="preserve"> </w:t>
      </w:r>
    </w:p>
    <w:p w14:paraId="1B9FBEF0" w14:textId="77777777" w:rsidR="00F34BD4" w:rsidRPr="004A2365" w:rsidRDefault="00F34BD4" w:rsidP="00805E07">
      <w:pPr>
        <w:pStyle w:val="Nagwek4"/>
      </w:pPr>
      <w:r w:rsidRPr="00386B26">
        <w:t>Skrócony</w:t>
      </w:r>
      <w:r w:rsidRPr="004A2365">
        <w:t xml:space="preserve"> opis </w:t>
      </w:r>
      <w:r>
        <w:t>środka alternatywnego</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44"/>
        <w:gridCol w:w="7085"/>
      </w:tblGrid>
      <w:tr w:rsidR="00F34BD4" w:rsidRPr="004A2365" w14:paraId="57465F09" w14:textId="77777777" w:rsidTr="0011179A">
        <w:tc>
          <w:tcPr>
            <w:tcW w:w="1644" w:type="dxa"/>
            <w:vAlign w:val="center"/>
          </w:tcPr>
          <w:p w14:paraId="5A6CC8DD"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 alternatywnego</w:t>
            </w:r>
          </w:p>
        </w:tc>
        <w:tc>
          <w:tcPr>
            <w:tcW w:w="7085" w:type="dxa"/>
            <w:vAlign w:val="center"/>
          </w:tcPr>
          <w:p w14:paraId="1A62B1A9" w14:textId="77777777" w:rsidR="00F34BD4" w:rsidRPr="002B0945" w:rsidRDefault="00F34BD4" w:rsidP="00FF3BC7">
            <w:pPr>
              <w:spacing w:line="276" w:lineRule="auto"/>
              <w:rPr>
                <w:b/>
                <w:bCs/>
              </w:rPr>
            </w:pPr>
            <w:r>
              <w:rPr>
                <w:b/>
                <w:bCs/>
              </w:rPr>
              <w:t>Rozwój publicznego transportu zbiorowego w miastach</w:t>
            </w:r>
          </w:p>
        </w:tc>
      </w:tr>
      <w:tr w:rsidR="00F34BD4" w:rsidRPr="004A2365" w14:paraId="7C4AC52A" w14:textId="77777777" w:rsidTr="0011179A">
        <w:tc>
          <w:tcPr>
            <w:tcW w:w="1644" w:type="dxa"/>
            <w:vAlign w:val="center"/>
          </w:tcPr>
          <w:p w14:paraId="41B8B06A"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6554ABAC" w14:textId="77777777" w:rsidR="00F34BD4" w:rsidRPr="004A2365" w:rsidRDefault="00F34BD4" w:rsidP="00FF3BC7">
            <w:pPr>
              <w:spacing w:line="276" w:lineRule="auto"/>
              <w:rPr>
                <w:rFonts w:cs="Times New Roman"/>
              </w:rPr>
            </w:pPr>
            <w:r w:rsidRPr="004A2365">
              <w:rPr>
                <w:rFonts w:cs="Times New Roman"/>
              </w:rPr>
              <w:t>Mechanizm finansowy</w:t>
            </w:r>
          </w:p>
        </w:tc>
      </w:tr>
      <w:tr w:rsidR="00F34BD4" w:rsidRPr="002D799C" w14:paraId="3FC5400A" w14:textId="77777777" w:rsidTr="0011179A">
        <w:tc>
          <w:tcPr>
            <w:tcW w:w="1644" w:type="dxa"/>
            <w:vAlign w:val="center"/>
          </w:tcPr>
          <w:p w14:paraId="5B7ADABC"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Cel </w:t>
            </w:r>
          </w:p>
        </w:tc>
        <w:tc>
          <w:tcPr>
            <w:tcW w:w="7085" w:type="dxa"/>
            <w:vAlign w:val="center"/>
          </w:tcPr>
          <w:p w14:paraId="13264F84" w14:textId="58963093" w:rsidR="00F34BD4" w:rsidRPr="002D799C" w:rsidRDefault="00F34BD4" w:rsidP="00FF3BC7">
            <w:pPr>
              <w:spacing w:line="276" w:lineRule="auto"/>
              <w:rPr>
                <w:rFonts w:cs="Times New Roman"/>
              </w:rPr>
            </w:pPr>
            <w:r>
              <w:rPr>
                <w:rFonts w:cs="Times New Roman"/>
              </w:rPr>
              <w:t>R</w:t>
            </w:r>
            <w:r w:rsidRPr="002D799C">
              <w:rPr>
                <w:rFonts w:cs="Times New Roman"/>
              </w:rPr>
              <w:t>ozwój i większe wykorzystanie niskoemisyjnego transportu miejskiego w</w:t>
            </w:r>
            <w:r w:rsidR="00291573">
              <w:rPr>
                <w:rFonts w:cs="Times New Roman"/>
              </w:rPr>
              <w:t> </w:t>
            </w:r>
            <w:r w:rsidRPr="002D799C">
              <w:rPr>
                <w:rFonts w:cs="Times New Roman"/>
              </w:rPr>
              <w:t>obsłudze mieszkańców obszarów funkcjonalnych miast</w:t>
            </w:r>
            <w:r>
              <w:rPr>
                <w:rFonts w:cs="Times New Roman"/>
              </w:rPr>
              <w:t>.</w:t>
            </w:r>
          </w:p>
        </w:tc>
      </w:tr>
      <w:tr w:rsidR="00F34BD4" w:rsidRPr="004A2365" w14:paraId="15276F28" w14:textId="77777777" w:rsidTr="0011179A">
        <w:tc>
          <w:tcPr>
            <w:tcW w:w="1644" w:type="dxa"/>
            <w:vAlign w:val="center"/>
          </w:tcPr>
          <w:p w14:paraId="0D36853F"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Działania </w:t>
            </w:r>
          </w:p>
        </w:tc>
        <w:tc>
          <w:tcPr>
            <w:tcW w:w="7085" w:type="dxa"/>
            <w:vAlign w:val="center"/>
          </w:tcPr>
          <w:p w14:paraId="7FA26B8B" w14:textId="77777777" w:rsidR="00F34BD4" w:rsidRPr="009D08BD" w:rsidRDefault="00F34BD4" w:rsidP="00FF3BC7">
            <w:pPr>
              <w:spacing w:line="276" w:lineRule="auto"/>
              <w:rPr>
                <w:rFonts w:cs="Times New Roman"/>
              </w:rPr>
            </w:pPr>
            <w:r w:rsidRPr="009D08BD">
              <w:rPr>
                <w:rFonts w:cs="Times New Roman"/>
              </w:rPr>
              <w:t xml:space="preserve">Inwestycje infrastrukturalne: adaptacja, budowa, przebudowa, rozbudowa sieci transportu miejskiego, w tym m.in.: </w:t>
            </w:r>
          </w:p>
          <w:p w14:paraId="1504B367" w14:textId="77777777" w:rsidR="00F34BD4" w:rsidRPr="00C431FD" w:rsidRDefault="00F34BD4" w:rsidP="00767FC5">
            <w:pPr>
              <w:pStyle w:val="Akapitzlist"/>
              <w:numPr>
                <w:ilvl w:val="0"/>
                <w:numId w:val="6"/>
              </w:numPr>
              <w:spacing w:line="276" w:lineRule="auto"/>
              <w:rPr>
                <w:rFonts w:cs="Times New Roman"/>
              </w:rPr>
            </w:pPr>
            <w:r w:rsidRPr="00C431FD">
              <w:rPr>
                <w:rFonts w:cs="Times New Roman"/>
              </w:rPr>
              <w:t>budowa, przebudowa, rozbudowa układu torowego na trasach, pętlach, bocznicach oraz zajezdniach,</w:t>
            </w:r>
          </w:p>
          <w:p w14:paraId="70632C4A" w14:textId="77777777" w:rsidR="00F34BD4" w:rsidRPr="00C431FD" w:rsidRDefault="00F34BD4" w:rsidP="00767FC5">
            <w:pPr>
              <w:pStyle w:val="Akapitzlist"/>
              <w:numPr>
                <w:ilvl w:val="0"/>
                <w:numId w:val="6"/>
              </w:numPr>
              <w:spacing w:line="276" w:lineRule="auto"/>
              <w:rPr>
                <w:rFonts w:cs="Times New Roman"/>
              </w:rPr>
            </w:pPr>
            <w:r w:rsidRPr="00C431FD">
              <w:rPr>
                <w:rFonts w:cs="Times New Roman"/>
              </w:rPr>
              <w:t>budowa linii metra,</w:t>
            </w:r>
          </w:p>
          <w:p w14:paraId="27A703BA" w14:textId="77777777" w:rsidR="00F34BD4" w:rsidRPr="00C431FD" w:rsidRDefault="00F34BD4" w:rsidP="00767FC5">
            <w:pPr>
              <w:pStyle w:val="Akapitzlist"/>
              <w:numPr>
                <w:ilvl w:val="0"/>
                <w:numId w:val="6"/>
              </w:numPr>
              <w:spacing w:line="276" w:lineRule="auto"/>
              <w:rPr>
                <w:rFonts w:cs="Times New Roman"/>
              </w:rPr>
            </w:pPr>
            <w:r w:rsidRPr="00C431FD">
              <w:rPr>
                <w:rFonts w:cs="Times New Roman"/>
              </w:rPr>
              <w:t>budowa, przebudowa, rozbudowa sieci energetycznej i podstacji trakcyjnych tramwajowych, trolejbusowych,</w:t>
            </w:r>
          </w:p>
          <w:p w14:paraId="4D46BF53" w14:textId="77777777" w:rsidR="00F34BD4" w:rsidRPr="00C431FD" w:rsidRDefault="00F34BD4" w:rsidP="00767FC5">
            <w:pPr>
              <w:pStyle w:val="Akapitzlist"/>
              <w:numPr>
                <w:ilvl w:val="0"/>
                <w:numId w:val="6"/>
              </w:numPr>
              <w:spacing w:line="276" w:lineRule="auto"/>
              <w:rPr>
                <w:rFonts w:cs="Times New Roman"/>
              </w:rPr>
            </w:pPr>
            <w:r w:rsidRPr="00C431FD">
              <w:rPr>
                <w:rFonts w:cs="Times New Roman"/>
              </w:rPr>
              <w:t>przebudowa, rozbudowa dróg mająca na celu wprowadzenie ruchu uprzywilejowanego lub uprzywilejowanie ruchu istniejącego pojazdów publicznych transportu zbiorowego,</w:t>
            </w:r>
          </w:p>
          <w:p w14:paraId="2E26BB4E" w14:textId="77777777" w:rsidR="00F34BD4" w:rsidRPr="00C431FD" w:rsidRDefault="00F34BD4" w:rsidP="00767FC5">
            <w:pPr>
              <w:pStyle w:val="Akapitzlist"/>
              <w:numPr>
                <w:ilvl w:val="0"/>
                <w:numId w:val="6"/>
              </w:numPr>
              <w:spacing w:line="276" w:lineRule="auto"/>
              <w:rPr>
                <w:rFonts w:cs="Times New Roman"/>
              </w:rPr>
            </w:pPr>
            <w:r w:rsidRPr="00C431FD">
              <w:rPr>
                <w:rFonts w:cs="Times New Roman"/>
              </w:rPr>
              <w:t>wyposażenie dróg, ulic, torowisk w obiekty inżynieryjne i niezbędne urządzenie drogowe/ zakup niezbędnego sprzętu służącego bezpieczeństwu ruchu pojazdów transportu publicznego,</w:t>
            </w:r>
          </w:p>
          <w:p w14:paraId="1EEC653F" w14:textId="03993E69" w:rsidR="00F34BD4" w:rsidRPr="00C431FD" w:rsidRDefault="00F34BD4" w:rsidP="00767FC5">
            <w:pPr>
              <w:pStyle w:val="Akapitzlist"/>
              <w:numPr>
                <w:ilvl w:val="0"/>
                <w:numId w:val="6"/>
              </w:numPr>
              <w:spacing w:line="276" w:lineRule="auto"/>
              <w:rPr>
                <w:rFonts w:cs="Times New Roman"/>
              </w:rPr>
            </w:pPr>
            <w:r w:rsidRPr="00C431FD">
              <w:rPr>
                <w:rFonts w:cs="Times New Roman"/>
              </w:rPr>
              <w:t>wyposażenie dróg, ulic w infrastrukturę służącą obsłudze transportu publicznego (np. podjazdy, zjazdy) oraz pasażerów (np. przystanki, wyspy),</w:t>
            </w:r>
          </w:p>
          <w:p w14:paraId="6DF4E76B" w14:textId="77777777" w:rsidR="00F34BD4" w:rsidRPr="00C431FD" w:rsidRDefault="00F34BD4" w:rsidP="00767FC5">
            <w:pPr>
              <w:pStyle w:val="Akapitzlist"/>
              <w:numPr>
                <w:ilvl w:val="0"/>
                <w:numId w:val="6"/>
              </w:numPr>
              <w:spacing w:line="276" w:lineRule="auto"/>
              <w:rPr>
                <w:rFonts w:cs="Times New Roman"/>
              </w:rPr>
            </w:pPr>
            <w:r w:rsidRPr="00C431FD">
              <w:rPr>
                <w:rFonts w:cs="Times New Roman"/>
              </w:rPr>
              <w:t>budowa, przebudowa i rozbudowa węzłów przesiadkowych w tym systemy parkingów dla samochodów „Parkuj i Jedź” („Park &amp; Ride”) oraz dla rowerów („Bike &amp; Ride”),</w:t>
            </w:r>
          </w:p>
          <w:p w14:paraId="675EE34A" w14:textId="77777777" w:rsidR="00F34BD4" w:rsidRPr="00C431FD" w:rsidRDefault="00F34BD4" w:rsidP="00767FC5">
            <w:pPr>
              <w:pStyle w:val="Akapitzlist"/>
              <w:numPr>
                <w:ilvl w:val="0"/>
                <w:numId w:val="6"/>
              </w:numPr>
              <w:spacing w:line="276" w:lineRule="auto"/>
              <w:rPr>
                <w:rFonts w:cs="Times New Roman"/>
              </w:rPr>
            </w:pPr>
            <w:r w:rsidRPr="00C431FD">
              <w:rPr>
                <w:rFonts w:cs="Times New Roman"/>
              </w:rPr>
              <w:t>budowa systemów transportowych PRT (Personal Rapid Transport).</w:t>
            </w:r>
          </w:p>
          <w:p w14:paraId="3E426B9E" w14:textId="01ED4757" w:rsidR="00F34BD4" w:rsidRPr="004A2365" w:rsidRDefault="00F34BD4" w:rsidP="00FF3BC7">
            <w:pPr>
              <w:spacing w:line="276" w:lineRule="auto"/>
              <w:rPr>
                <w:rFonts w:cs="Times New Roman"/>
              </w:rPr>
            </w:pPr>
            <w:r w:rsidRPr="00C431FD">
              <w:rPr>
                <w:rFonts w:cs="Times New Roman"/>
              </w:rPr>
              <w:t>Inwestycje taborowe: zakup, modernizacja taboru szynowego (tramwajowego, metra</w:t>
            </w:r>
            <w:r>
              <w:rPr>
                <w:rFonts w:cs="Times New Roman"/>
              </w:rPr>
              <w:t>, kolejowego</w:t>
            </w:r>
            <w:r w:rsidRPr="00C431FD">
              <w:rPr>
                <w:rFonts w:cs="Times New Roman"/>
              </w:rPr>
              <w:t>), trolejbusowego i autobusowego wraz z niezbędną infrastrukturą służącą do jego utrzymania (np. zaplecza techniczne do obsługi i</w:t>
            </w:r>
            <w:r w:rsidR="00291573">
              <w:rPr>
                <w:rFonts w:cs="Times New Roman"/>
              </w:rPr>
              <w:t> </w:t>
            </w:r>
            <w:r w:rsidRPr="00C431FD">
              <w:rPr>
                <w:rFonts w:cs="Times New Roman"/>
              </w:rPr>
              <w:t>konserwacji taboru wraz z niezbędnym sprzętem specjalistycznym, miejsca i</w:t>
            </w:r>
            <w:r w:rsidR="00291573">
              <w:rPr>
                <w:rFonts w:cs="Times New Roman"/>
              </w:rPr>
              <w:t> </w:t>
            </w:r>
            <w:r w:rsidRPr="00C431FD">
              <w:rPr>
                <w:rFonts w:cs="Times New Roman"/>
              </w:rPr>
              <w:t>urządzenia zasilania paliwem alternatywnym).</w:t>
            </w:r>
          </w:p>
        </w:tc>
      </w:tr>
      <w:tr w:rsidR="00F34BD4" w:rsidRPr="004A2365" w14:paraId="03E98159" w14:textId="77777777" w:rsidTr="0011179A">
        <w:tc>
          <w:tcPr>
            <w:tcW w:w="1644" w:type="dxa"/>
            <w:vAlign w:val="center"/>
          </w:tcPr>
          <w:p w14:paraId="24E01472"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Typ beneficjentów</w:t>
            </w:r>
          </w:p>
        </w:tc>
        <w:tc>
          <w:tcPr>
            <w:tcW w:w="7085" w:type="dxa"/>
            <w:vAlign w:val="center"/>
          </w:tcPr>
          <w:p w14:paraId="437D14C2" w14:textId="6E755271" w:rsidR="00F34BD4" w:rsidRPr="005F6678" w:rsidRDefault="00A87889" w:rsidP="00767FC5">
            <w:pPr>
              <w:pStyle w:val="Akapitzlist"/>
              <w:numPr>
                <w:ilvl w:val="0"/>
                <w:numId w:val="9"/>
              </w:numPr>
              <w:spacing w:line="276" w:lineRule="auto"/>
              <w:jc w:val="left"/>
              <w:rPr>
                <w:rFonts w:cs="Times New Roman"/>
              </w:rPr>
            </w:pPr>
            <w:r>
              <w:rPr>
                <w:rFonts w:cs="Times New Roman"/>
              </w:rPr>
              <w:t xml:space="preserve">Jednostki Samorządu Terytorialnego </w:t>
            </w:r>
            <w:r w:rsidR="00F34BD4" w:rsidRPr="005F6678">
              <w:rPr>
                <w:rFonts w:cs="Times New Roman"/>
              </w:rPr>
              <w:t>oraz ich związki – miasta wojewódzkie i ich obszary funkcjonalne oraz działające w ich imieniu jednostki organizacyjne i spółki specjalnego przeznaczenia;</w:t>
            </w:r>
          </w:p>
          <w:p w14:paraId="30922AEC" w14:textId="77777777" w:rsidR="00F34BD4" w:rsidRPr="005F6678" w:rsidRDefault="00F34BD4" w:rsidP="00767FC5">
            <w:pPr>
              <w:pStyle w:val="Akapitzlist"/>
              <w:numPr>
                <w:ilvl w:val="0"/>
                <w:numId w:val="9"/>
              </w:numPr>
              <w:spacing w:line="276" w:lineRule="auto"/>
              <w:jc w:val="left"/>
              <w:rPr>
                <w:rFonts w:cs="Times New Roman"/>
              </w:rPr>
            </w:pPr>
            <w:r w:rsidRPr="005F6678">
              <w:rPr>
                <w:rFonts w:cs="Times New Roman"/>
              </w:rPr>
              <w:t>zarządcy infrastruktury służącej transportowi miejskiemu;</w:t>
            </w:r>
          </w:p>
          <w:p w14:paraId="72856E68" w14:textId="77777777" w:rsidR="00F34BD4" w:rsidRPr="005F6678" w:rsidRDefault="00F34BD4" w:rsidP="00767FC5">
            <w:pPr>
              <w:pStyle w:val="Akapitzlist"/>
              <w:numPr>
                <w:ilvl w:val="0"/>
                <w:numId w:val="9"/>
              </w:numPr>
              <w:spacing w:line="276" w:lineRule="auto"/>
              <w:jc w:val="left"/>
              <w:rPr>
                <w:rFonts w:cs="Times New Roman"/>
              </w:rPr>
            </w:pPr>
            <w:r w:rsidRPr="005F6678">
              <w:rPr>
                <w:rFonts w:cs="Times New Roman"/>
              </w:rPr>
              <w:t>operatorzy publicznego transportu zbiorowego</w:t>
            </w:r>
          </w:p>
        </w:tc>
      </w:tr>
      <w:tr w:rsidR="00F34BD4" w:rsidRPr="004A2365" w14:paraId="29BFC49F" w14:textId="77777777" w:rsidTr="0011179A">
        <w:tc>
          <w:tcPr>
            <w:tcW w:w="1644" w:type="dxa"/>
            <w:vAlign w:val="center"/>
          </w:tcPr>
          <w:p w14:paraId="3013E6A9"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wdrażająca</w:t>
            </w:r>
          </w:p>
        </w:tc>
        <w:tc>
          <w:tcPr>
            <w:tcW w:w="7085" w:type="dxa"/>
            <w:vAlign w:val="center"/>
          </w:tcPr>
          <w:p w14:paraId="0684A522" w14:textId="77777777" w:rsidR="00F34BD4" w:rsidRPr="004A2365" w:rsidRDefault="00F34BD4" w:rsidP="00FF3BC7">
            <w:pPr>
              <w:spacing w:line="276" w:lineRule="auto"/>
              <w:rPr>
                <w:rFonts w:cs="Times New Roman"/>
              </w:rPr>
            </w:pPr>
            <w:r>
              <w:rPr>
                <w:rFonts w:cs="Times New Roman"/>
              </w:rPr>
              <w:t>Ministerstwo Infrastruktury (MI), Centrum Unijnych Projektów Transportowych (CUPT), NFOŚiGW</w:t>
            </w:r>
          </w:p>
        </w:tc>
      </w:tr>
      <w:tr w:rsidR="00F34BD4" w:rsidRPr="004A2365" w14:paraId="5C2E20D4" w14:textId="77777777" w:rsidTr="0011179A">
        <w:tc>
          <w:tcPr>
            <w:tcW w:w="1644" w:type="dxa"/>
            <w:vAlign w:val="center"/>
          </w:tcPr>
          <w:p w14:paraId="3CE6D53D"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nadzorująca</w:t>
            </w:r>
          </w:p>
        </w:tc>
        <w:tc>
          <w:tcPr>
            <w:tcW w:w="7085" w:type="dxa"/>
            <w:vAlign w:val="center"/>
          </w:tcPr>
          <w:p w14:paraId="7E8F57F4" w14:textId="77777777" w:rsidR="00F34BD4" w:rsidRPr="004A2365" w:rsidRDefault="00F34BD4" w:rsidP="00FF3BC7">
            <w:pPr>
              <w:spacing w:line="276" w:lineRule="auto"/>
              <w:rPr>
                <w:rFonts w:cs="Times New Roman"/>
              </w:rPr>
            </w:pPr>
            <w:r>
              <w:rPr>
                <w:rFonts w:cs="Times New Roman"/>
              </w:rPr>
              <w:t>MI, NFOŚiGW</w:t>
            </w:r>
          </w:p>
        </w:tc>
      </w:tr>
    </w:tbl>
    <w:p w14:paraId="70AE4226" w14:textId="77777777" w:rsidR="00F34BD4" w:rsidRPr="004A2365" w:rsidRDefault="00F34BD4" w:rsidP="00805E07">
      <w:pPr>
        <w:pStyle w:val="Nagwek4"/>
      </w:pPr>
      <w:r>
        <w:t>Opis środka alternatywnego</w:t>
      </w:r>
    </w:p>
    <w:p w14:paraId="682CA38A" w14:textId="612B5D59" w:rsidR="00F34BD4" w:rsidRDefault="00F34BD4" w:rsidP="00373FD3">
      <w:r w:rsidRPr="00D62DB9">
        <w:t xml:space="preserve">Wsparcie transportu publicznego </w:t>
      </w:r>
      <w:r>
        <w:t>było</w:t>
      </w:r>
      <w:r w:rsidRPr="00D62DB9">
        <w:t xml:space="preserve"> jednym z elementów realizacji działań w ramach Programu Operacyjnego Infrastruktura i Środowisko – na lata 2014</w:t>
      </w:r>
      <w:r w:rsidR="005E39FE">
        <w:t>–</w:t>
      </w:r>
      <w:r w:rsidRPr="00D62DB9">
        <w:t xml:space="preserve">2020, wynikających z przygotowanych przez samorządy planów gospodarki niskoemisyjnej, obejmujących swoim zakresem zagadnienia związane ze </w:t>
      </w:r>
      <w:r w:rsidRPr="00D62DB9">
        <w:lastRenderedPageBreak/>
        <w:t xml:space="preserve">zrównoważoną mobilnością miejską. Inwestycje mają charakter zarówno infrastrukturalny, jak i taborowy, a także kompleksowy, obejmujący obydwa typy projektów. Preferowane są projekty transportu szynowego i taboru autobusowego zasilanego paliwem alternatywnym w stosunku do silników spalinowych. Realizowane są także projekty wzbogacone o pozostałe, komplementarne względem podstawowej infrastruktury liniowej elementy (inwestycje), w tym ITS, usprawniające funkcjonowanie całego systemu transportowego, dzięki którym następuje integracja infrastrukturalna istniejących środków transportu. Wsparcie </w:t>
      </w:r>
      <w:r>
        <w:t xml:space="preserve">lokalnego </w:t>
      </w:r>
      <w:r w:rsidRPr="00D62DB9">
        <w:t xml:space="preserve">niskoemisyjnego transportu publicznego ze środków Funduszu Spójności UE </w:t>
      </w:r>
      <w:r>
        <w:t>jest</w:t>
      </w:r>
      <w:r w:rsidRPr="00D62DB9">
        <w:t xml:space="preserve"> kontynuowane w ramach </w:t>
      </w:r>
      <w:r w:rsidR="00501E41" w:rsidRPr="00501E41">
        <w:t>Program</w:t>
      </w:r>
      <w:r w:rsidR="00501E41">
        <w:t>u</w:t>
      </w:r>
      <w:r w:rsidR="00501E41" w:rsidRPr="00501E41">
        <w:t xml:space="preserve"> Fundusze Europejskie na Infrastrukturę, Klimat, Środowisko 2021-2027</w:t>
      </w:r>
      <w:r w:rsidRPr="00D62DB9">
        <w:t>.</w:t>
      </w:r>
      <w:r>
        <w:t xml:space="preserve"> </w:t>
      </w:r>
    </w:p>
    <w:p w14:paraId="138AC92A" w14:textId="2C29E389" w:rsidR="00F34BD4" w:rsidRPr="00D62DB9" w:rsidRDefault="00F34BD4" w:rsidP="00373FD3">
      <w:r>
        <w:t xml:space="preserve">Rozwój ekologicznego transportu na poziomie lokalnym wskazany został w ustawie z dnia 11 stycznia 2018 r. </w:t>
      </w:r>
      <w:r w:rsidRPr="00373FD3">
        <w:t xml:space="preserve">o </w:t>
      </w:r>
      <w:r w:rsidR="00291573" w:rsidRPr="00373FD3">
        <w:t>elektromobilności</w:t>
      </w:r>
      <w:r w:rsidRPr="00373FD3">
        <w:t xml:space="preserve"> i paliwach alternatywnych</w:t>
      </w:r>
      <w:r>
        <w:t xml:space="preserve">. Jednostka samorządu terytorialnego powyżej 50 000 mieszkańców zapewnia lub zleca świadczenie usług transportu publicznego w rozumieniu ustawy z dnia 16 grudnia 2010 r. </w:t>
      </w:r>
      <w:r w:rsidRPr="00373FD3">
        <w:t>o transporcie publicznym</w:t>
      </w:r>
      <w:r>
        <w:t xml:space="preserve"> podmiotowi, którego udział autobusów bezemisyjnych we flocie pojazdów </w:t>
      </w:r>
      <w:r w:rsidRPr="00D62DB9">
        <w:t xml:space="preserve">użytkowanych na terenie tej </w:t>
      </w:r>
      <w:r w:rsidR="00A87889">
        <w:t xml:space="preserve">Jednostki Samorządu Terytorialnego </w:t>
      </w:r>
      <w:r w:rsidRPr="00D62DB9">
        <w:t>wynosi min</w:t>
      </w:r>
      <w:r w:rsidR="005E39FE">
        <w:t>.</w:t>
      </w:r>
      <w:r w:rsidRPr="00D62DB9">
        <w:t xml:space="preserve"> 30%.</w:t>
      </w:r>
    </w:p>
    <w:p w14:paraId="0AF19483" w14:textId="795CAA36" w:rsidR="00F34BD4" w:rsidRPr="00C84027" w:rsidRDefault="00F34BD4" w:rsidP="00373FD3">
      <w:r w:rsidRPr="00D62DB9">
        <w:t>Miasta same decydują, którą drogą mają osiągnąć obowiązkowe lub samodzielnie określone cele i definiują je w swoich dokumentach strategicznych, takich jak Plany Zrównoważonej Mobilności Miejskiej.</w:t>
      </w:r>
      <w:r w:rsidDel="009526FF">
        <w:t xml:space="preserve"> </w:t>
      </w:r>
      <w:r w:rsidRPr="00D62DB9">
        <w:t>Szacuje się</w:t>
      </w:r>
      <w:r w:rsidR="001A3C49">
        <w:t>,</w:t>
      </w:r>
      <w:r w:rsidRPr="00D62DB9">
        <w:t xml:space="preserve"> że w segmencie transportu publicznego na poziomie krajowym w 2030 </w:t>
      </w:r>
      <w:r w:rsidR="0011179A">
        <w:t>r.</w:t>
      </w:r>
      <w:r w:rsidRPr="00D62DB9">
        <w:t xml:space="preserve"> będzie 3000 autobusów elektrycznych.</w:t>
      </w:r>
    </w:p>
    <w:p w14:paraId="70DB1A09" w14:textId="1561F92E" w:rsidR="00F34BD4" w:rsidRPr="00373FD3" w:rsidRDefault="00F34BD4" w:rsidP="00373FD3">
      <w:r w:rsidRPr="00D62DB9">
        <w:t xml:space="preserve">W </w:t>
      </w:r>
      <w:r>
        <w:t>pe</w:t>
      </w:r>
      <w:r w:rsidRPr="00580C3E">
        <w:t>rspektywie</w:t>
      </w:r>
      <w:r w:rsidRPr="00D62DB9">
        <w:t xml:space="preserve"> do 2030 r.</w:t>
      </w:r>
      <w:r>
        <w:t xml:space="preserve"> na rozwój zbiorowego transportu publicznego przewidziane są zarówno środki unijne jak i krajowe</w:t>
      </w:r>
      <w:r w:rsidR="006A05FC" w:rsidRPr="006A05FC">
        <w:t xml:space="preserve">, do najważniejszych środków można zaliczyć </w:t>
      </w:r>
      <w:r>
        <w:t xml:space="preserve">m.in.: </w:t>
      </w:r>
    </w:p>
    <w:p w14:paraId="2082D12B" w14:textId="197B1043" w:rsidR="00F34BD4" w:rsidRPr="00D62DB9" w:rsidRDefault="006A05FC" w:rsidP="00767FC5">
      <w:pPr>
        <w:numPr>
          <w:ilvl w:val="0"/>
          <w:numId w:val="20"/>
        </w:numPr>
      </w:pPr>
      <w:r>
        <w:t>I</w:t>
      </w:r>
      <w:r w:rsidR="00F34BD4" w:rsidRPr="00D62DB9">
        <w:t>nwestycje infrastrukturalne, drogi koleje i transport publiczny</w:t>
      </w:r>
      <w:r w:rsidR="00767FC5">
        <w:t xml:space="preserve"> </w:t>
      </w:r>
      <w:r w:rsidR="00F34BD4" w:rsidRPr="00D62DB9">
        <w:t>w ramach polityki spójności na lata 2021</w:t>
      </w:r>
      <w:r w:rsidR="004B0F0A">
        <w:t>–20</w:t>
      </w:r>
      <w:r w:rsidR="00F34BD4" w:rsidRPr="00D62DB9">
        <w:t>27 zakłada udział funduszy związanych z transportem zeroemisyjnym, takich jak: Europejski Fundusz Rozwoju Regionalnego i</w:t>
      </w:r>
      <w:r w:rsidR="00F34BD4" w:rsidRPr="00D62DB9" w:rsidDel="00845887">
        <w:t xml:space="preserve"> </w:t>
      </w:r>
      <w:r w:rsidR="00F34BD4" w:rsidRPr="00D62DB9">
        <w:t>Fundusz Spójności. Uzupełnieniem powyższych środków jest Fundusz Efektywnej Transformacji. W ramach programu krajowego i regionalnego przekazane zostanie łącznie 25,1 mld euro</w:t>
      </w:r>
      <w:r w:rsidR="003D28CA">
        <w:t>;</w:t>
      </w:r>
    </w:p>
    <w:p w14:paraId="559F28E0" w14:textId="212B8D4B" w:rsidR="00F34BD4" w:rsidRPr="00D62DB9" w:rsidRDefault="00F34BD4" w:rsidP="00767FC5">
      <w:pPr>
        <w:numPr>
          <w:ilvl w:val="0"/>
          <w:numId w:val="20"/>
        </w:numPr>
      </w:pPr>
      <w:r w:rsidRPr="00D62DB9">
        <w:t xml:space="preserve">Krajowy Plan Odbudowy zakładający alokację powyżej 6 mln euro </w:t>
      </w:r>
      <w:r w:rsidR="003D28CA">
        <w:t>w</w:t>
      </w:r>
      <w:r w:rsidRPr="00D62DB9">
        <w:t xml:space="preserve"> komponencie „Zielona, inteligentna mobilność”</w:t>
      </w:r>
      <w:r w:rsidR="003D28CA">
        <w:t>;</w:t>
      </w:r>
    </w:p>
    <w:p w14:paraId="55EFF370" w14:textId="3CFD415C" w:rsidR="00F34BD4" w:rsidRPr="00D62DB9" w:rsidRDefault="003D28CA" w:rsidP="00767FC5">
      <w:pPr>
        <w:numPr>
          <w:ilvl w:val="0"/>
          <w:numId w:val="20"/>
        </w:numPr>
      </w:pPr>
      <w:r>
        <w:t>P</w:t>
      </w:r>
      <w:r w:rsidR="00F34BD4" w:rsidRPr="00D62DB9">
        <w:t>rogram Feniks (Fundusz</w:t>
      </w:r>
      <w:r w:rsidR="0099136F">
        <w:t>e</w:t>
      </w:r>
      <w:r w:rsidR="00F34BD4" w:rsidRPr="00D62DB9">
        <w:t xml:space="preserve"> </w:t>
      </w:r>
      <w:r w:rsidR="0099136F" w:rsidRPr="00D62DB9">
        <w:t>Europejsk</w:t>
      </w:r>
      <w:r w:rsidR="0099136F">
        <w:t>ie</w:t>
      </w:r>
      <w:r w:rsidR="00F34BD4" w:rsidRPr="00D62DB9">
        <w:t xml:space="preserve"> na Infrastrukturę, Klimat, Środowisko</w:t>
      </w:r>
      <w:r w:rsidR="0099136F">
        <w:t xml:space="preserve"> </w:t>
      </w:r>
      <w:r w:rsidR="0099136F" w:rsidRPr="0099136F">
        <w:t>2021-2027</w:t>
      </w:r>
      <w:r w:rsidR="00F34BD4" w:rsidRPr="00D62DB9">
        <w:t>) obejmuje wsparcie dla zielonej energii, zrównoważonej i inteligentnej mobilności</w:t>
      </w:r>
      <w:r>
        <w:t>;</w:t>
      </w:r>
    </w:p>
    <w:p w14:paraId="27F1EB24" w14:textId="2EC2901A" w:rsidR="0069045A" w:rsidRPr="000B69A6" w:rsidRDefault="0069045A">
      <w:pPr>
        <w:numPr>
          <w:ilvl w:val="0"/>
          <w:numId w:val="20"/>
        </w:numPr>
      </w:pPr>
      <w:r w:rsidRPr="0069045A">
        <w:t>Środki zobowiązania wieloletniego FNT Narodowego Funduszu Ochrony Środowiska i Gospodarki Wodnej, z którego współfinansowany jest m.in. program dofinansowania zakupu autobusów zeroemisyjnych wraz z niezbędną infrastrukturą ładowania lub tankowania „Zielony Transport Publiczny”, który funkcjonuje od 2021 r.</w:t>
      </w:r>
    </w:p>
    <w:p w14:paraId="0E19E449" w14:textId="0A5F96DC" w:rsidR="00F34BD4" w:rsidRPr="00D62DB9" w:rsidRDefault="00F34BD4" w:rsidP="00767FC5">
      <w:pPr>
        <w:numPr>
          <w:ilvl w:val="0"/>
          <w:numId w:val="20"/>
        </w:numPr>
      </w:pPr>
      <w:r w:rsidRPr="00D62DB9">
        <w:t>Fundusz Rozwoju Przewozów Autobusowych o charakterze użyteczności publicznej</w:t>
      </w:r>
      <w:r>
        <w:t>, i</w:t>
      </w:r>
      <w:r w:rsidRPr="00D62DB9">
        <w:t>nstrument wsparcia finansowego jednostek samorządu terytorialnego będących organizatorami publicznego transportu zbiorowego. Dzięki dofinansowaniu z Funduszu wspierane są samorządy w realizacji zadań własnych dotyczących zapewnienia funkcjonowania publicznego transportu zbiorowego w zakresie przewozów autobusowych o charakterze użyteczności publicznej. Fundusz jest</w:t>
      </w:r>
      <w:r w:rsidR="00767FC5">
        <w:t xml:space="preserve"> </w:t>
      </w:r>
      <w:r w:rsidRPr="00D62DB9">
        <w:t>państwowym funduszem celowym.</w:t>
      </w:r>
    </w:p>
    <w:p w14:paraId="3E5C20B0" w14:textId="77777777" w:rsidR="00F34BD4" w:rsidRPr="0026334A" w:rsidRDefault="00F34BD4" w:rsidP="00805E07">
      <w:pPr>
        <w:pStyle w:val="Nagwek4"/>
      </w:pPr>
      <w:r w:rsidRPr="0026334A">
        <w:t>Zastosowane metody obliczeniowe, o których mowa w pkt 1 Załącznika V do dyrektywy 2023//UE</w:t>
      </w:r>
    </w:p>
    <w:p w14:paraId="6F5ED368" w14:textId="7C7C654E" w:rsidR="00F34BD4" w:rsidRPr="00E35197" w:rsidRDefault="00F34BD4" w:rsidP="00373FD3">
      <w:r w:rsidRPr="00E11A5F">
        <w:t>Zgodnie z wymaganiami dotyczącymi metod i zasad obliczania oszczędności energii określonymi w</w:t>
      </w:r>
      <w:r w:rsidR="001F2A0A">
        <w:t> </w:t>
      </w:r>
      <w:r w:rsidRPr="00E11A5F">
        <w:t xml:space="preserve">załączniku V pkt 1 dyrektywy </w:t>
      </w:r>
      <w:r w:rsidR="00C204DC">
        <w:t>2023/1791</w:t>
      </w:r>
      <w:r w:rsidRPr="00E11A5F">
        <w:t xml:space="preserve"> w sprawie efektywności energetycznej, przyjęto metodę szacowania oszczędności</w:t>
      </w:r>
      <w:r w:rsidR="00767FC5">
        <w:t xml:space="preserve"> </w:t>
      </w:r>
      <w:r w:rsidRPr="00E11A5F">
        <w:t xml:space="preserve">energii (tj. </w:t>
      </w:r>
      <w:r w:rsidRPr="001F2A0A">
        <w:rPr>
          <w:i/>
          <w:iCs/>
        </w:rPr>
        <w:t>deemed savings</w:t>
      </w:r>
      <w:r w:rsidRPr="00E11A5F">
        <w:t>)</w:t>
      </w:r>
      <w:r>
        <w:t xml:space="preserve"> oraz skalowanych oszczędności</w:t>
      </w:r>
      <w:r w:rsidRPr="00E35197">
        <w:t xml:space="preserve"> (tj. </w:t>
      </w:r>
      <w:r w:rsidRPr="001F2A0A">
        <w:rPr>
          <w:i/>
          <w:iCs/>
        </w:rPr>
        <w:t>scaled savings</w:t>
      </w:r>
      <w:r w:rsidRPr="00E35197">
        <w:t xml:space="preserve">). </w:t>
      </w:r>
    </w:p>
    <w:p w14:paraId="23E123F6" w14:textId="77777777" w:rsidR="00F34BD4" w:rsidRPr="00DB3E40" w:rsidRDefault="00F34BD4" w:rsidP="00805E07">
      <w:pPr>
        <w:pStyle w:val="Nagwek4"/>
      </w:pPr>
      <w:r w:rsidRPr="00DB3E40">
        <w:lastRenderedPageBreak/>
        <w:t>Metoda wyrażania wielkości oszczędności energii (oszczędność energii pierwotnej lub finalnej)</w:t>
      </w:r>
    </w:p>
    <w:p w14:paraId="0F2D4C7E" w14:textId="77777777" w:rsidR="00F34BD4" w:rsidRPr="00075176" w:rsidRDefault="00F34BD4" w:rsidP="00373FD3">
      <w:r w:rsidRPr="00075176">
        <w:t xml:space="preserve">Oszczędność energii wynikająca z przedstawionego środka poprawy efektywności energetycznej wyrażana jest w energii finalnej toe na rok. </w:t>
      </w:r>
    </w:p>
    <w:p w14:paraId="57DC331F" w14:textId="77777777" w:rsidR="00F34BD4" w:rsidRPr="00DB3E40" w:rsidRDefault="00F34BD4" w:rsidP="00805E07">
      <w:pPr>
        <w:pStyle w:val="Nagwek4"/>
      </w:pPr>
      <w:r w:rsidRPr="00DB3E40">
        <w:t>Okres obowiązywania środków i tempo zmniejszania się oszczędności w tym okresie</w:t>
      </w:r>
    </w:p>
    <w:p w14:paraId="35A212B1" w14:textId="689C4BBD" w:rsidR="00F34BD4" w:rsidRPr="00D62DB9" w:rsidRDefault="00F34BD4" w:rsidP="00373FD3">
      <w:r w:rsidRPr="00D62DB9">
        <w:t>Zgodnie z Dodatkiem VIII</w:t>
      </w:r>
      <w:r w:rsidR="00933722">
        <w:t>.</w:t>
      </w:r>
      <w:r w:rsidRPr="00D62DB9">
        <w:t xml:space="preserve"> </w:t>
      </w:r>
      <w:r w:rsidRPr="00933722">
        <w:rPr>
          <w:i/>
          <w:iCs/>
        </w:rPr>
        <w:t>Okres obowiązywania środków i tempo zmniejszania się oszczędności w tym okresie</w:t>
      </w:r>
      <w:r w:rsidRPr="00373FD3">
        <w:t xml:space="preserve"> </w:t>
      </w:r>
      <w:r w:rsidRPr="00D62DB9">
        <w:t>do Zalece</w:t>
      </w:r>
      <w:r w:rsidR="00723E25">
        <w:t>nia</w:t>
      </w:r>
      <w:r w:rsidRPr="00D62DB9">
        <w:t xml:space="preserve"> Komisji </w:t>
      </w:r>
      <w:r w:rsidR="00723E25">
        <w:t>Europejskiej</w:t>
      </w:r>
      <w:r w:rsidR="00723E25" w:rsidRPr="00723E25">
        <w:t xml:space="preserve"> 2019/1658</w:t>
      </w:r>
      <w:r w:rsidR="00723E25">
        <w:t xml:space="preserve"> </w:t>
      </w:r>
      <w:r w:rsidRPr="00D62DB9">
        <w:t xml:space="preserve">określono orientacyjne czasy trwania środka. W ramach realizacji programu wykonywane są następujące zadania: </w:t>
      </w:r>
    </w:p>
    <w:p w14:paraId="25B3CF64" w14:textId="64F9EEB9" w:rsidR="00F34BD4" w:rsidRPr="00D62DB9" w:rsidRDefault="00F34BD4" w:rsidP="00291573">
      <w:pPr>
        <w:numPr>
          <w:ilvl w:val="0"/>
          <w:numId w:val="21"/>
        </w:numPr>
        <w:spacing w:after="0"/>
      </w:pPr>
      <w:r w:rsidRPr="00D62DB9">
        <w:t>zmiana środka transportu</w:t>
      </w:r>
      <w:r w:rsidR="00AD103F">
        <w:t>,</w:t>
      </w:r>
    </w:p>
    <w:p w14:paraId="7E2806EA" w14:textId="6163F9E6" w:rsidR="00F34BD4" w:rsidRPr="00D62DB9" w:rsidRDefault="00F34BD4" w:rsidP="00767FC5">
      <w:pPr>
        <w:numPr>
          <w:ilvl w:val="0"/>
          <w:numId w:val="21"/>
        </w:numPr>
      </w:pPr>
      <w:r w:rsidRPr="00D62DB9">
        <w:t>zakup energooszczędnych pojazdów</w:t>
      </w:r>
      <w:r w:rsidR="00AD103F">
        <w:t>.</w:t>
      </w:r>
    </w:p>
    <w:p w14:paraId="609E4C2C" w14:textId="77777777" w:rsidR="00F34BD4" w:rsidRPr="00DB3E40" w:rsidRDefault="00F34BD4" w:rsidP="00373FD3">
      <w:r w:rsidRPr="00D62DB9">
        <w:t xml:space="preserve">Biorąc pod uwagę rodzaj przedsięwzięć realizowanych w ramach programu czas obowiązywania środków będzie nie dłuższy </w:t>
      </w:r>
      <w:r w:rsidRPr="00373FD3">
        <w:t>niż 15 lat</w:t>
      </w:r>
      <w:r w:rsidRPr="00D62DB9">
        <w:t>.</w:t>
      </w:r>
      <w:r w:rsidRPr="00DB3E40">
        <w:t xml:space="preserve"> </w:t>
      </w:r>
    </w:p>
    <w:p w14:paraId="33DD15EB" w14:textId="77777777" w:rsidR="00F34BD4" w:rsidRDefault="00F34BD4" w:rsidP="00805E07">
      <w:pPr>
        <w:pStyle w:val="Nagwek4"/>
      </w:pPr>
      <w:r w:rsidRPr="001644C2">
        <w:t xml:space="preserve">Krótki opis metody obliczania oszczędności energii, w tym sposobów zapewniania dodatkowości i istotności oraz metod i poziomów referencyjnych stosowanych do oszczędności </w:t>
      </w:r>
      <w:r>
        <w:t>szacowanej</w:t>
      </w:r>
      <w:r w:rsidRPr="001644C2">
        <w:t xml:space="preserve"> i skalowanych</w:t>
      </w:r>
    </w:p>
    <w:p w14:paraId="439E9B5B" w14:textId="77777777" w:rsidR="00F34BD4" w:rsidRPr="00373FD3" w:rsidRDefault="00F34BD4" w:rsidP="00373FD3">
      <w:r w:rsidRPr="00D62DB9">
        <w:t xml:space="preserve">Wartości o jednostkowym zużyciu energii przez samochody i autobusy zostały opracowane i opublikowane w rozporządzeniu Ministra Klimatu i Środowiska </w:t>
      </w:r>
      <w:r w:rsidRPr="00373FD3">
        <w:t xml:space="preserve">zmieniającym rozporządzenie w sprawie szczegółowego zakresu i sposobu sporządzania audytu efektywności energetycznej oraz metod obliczania oszczędności energii </w:t>
      </w:r>
      <w:r w:rsidRPr="00D62DB9">
        <w:t>(Dz. U. z 2022 r. poz. 956),</w:t>
      </w:r>
      <w:r w:rsidRPr="00373FD3">
        <w:t xml:space="preserve"> </w:t>
      </w:r>
      <w:r>
        <w:t>oszczędność energii oblicza się na podstawie wzoru: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596"/>
      </w:tblGrid>
      <w:tr w:rsidR="00F34BD4" w:rsidRPr="000676E3" w14:paraId="201758D0" w14:textId="77777777">
        <w:tc>
          <w:tcPr>
            <w:tcW w:w="8476" w:type="dxa"/>
          </w:tcPr>
          <w:p w14:paraId="36BADABC" w14:textId="70E78AD5" w:rsidR="00F34BD4" w:rsidRPr="006F4BF3" w:rsidRDefault="00E3653D">
            <w:pPr>
              <w:pStyle w:val="Akapitzlist"/>
              <w:rPr>
                <w:rFonts w:eastAsia="Times New Roman" w:cstheme="minorHAnsi"/>
                <w:sz w:val="28"/>
                <w:szCs w:val="28"/>
                <w:lang w:eastAsia="pl-PL"/>
              </w:rPr>
            </w:pPr>
            <m:oMathPara>
              <m:oMath>
                <m:sSub>
                  <m:sSubPr>
                    <m:ctrlPr>
                      <w:rPr>
                        <w:rFonts w:ascii="Cambria Math" w:eastAsia="Times New Roman" w:hAnsi="Cambria Math" w:cstheme="minorHAnsi"/>
                        <w:i/>
                        <w:sz w:val="28"/>
                        <w:szCs w:val="28"/>
                      </w:rPr>
                    </m:ctrlPr>
                  </m:sSubPr>
                  <m:e>
                    <m:r>
                      <m:rPr>
                        <m:sty m:val="bi"/>
                      </m:rPr>
                      <w:rPr>
                        <w:rFonts w:ascii="Cambria Math" w:eastAsia="Times New Roman" w:hAnsi="Cambria Math" w:cstheme="minorHAnsi"/>
                        <w:sz w:val="28"/>
                        <w:szCs w:val="28"/>
                        <w:lang w:eastAsia="pl-PL"/>
                      </w:rPr>
                      <m:t>O</m:t>
                    </m:r>
                  </m:e>
                  <m:sub>
                    <m:r>
                      <m:rPr>
                        <m:sty m:val="bi"/>
                      </m:rPr>
                      <w:rPr>
                        <w:rFonts w:ascii="Cambria Math" w:eastAsia="Times New Roman" w:hAnsi="Cambria Math" w:cstheme="minorHAnsi"/>
                        <w:sz w:val="28"/>
                        <w:szCs w:val="28"/>
                        <w:lang w:eastAsia="pl-PL"/>
                      </w:rPr>
                      <m:t>FLOTA</m:t>
                    </m:r>
                  </m:sub>
                </m:sSub>
                <m:r>
                  <m:rPr>
                    <m:sty m:val="bi"/>
                  </m:rPr>
                  <w:rPr>
                    <w:rFonts w:ascii="Cambria Math" w:eastAsia="Times New Roman" w:hAnsi="Cambria Math" w:cstheme="minorHAnsi"/>
                    <w:sz w:val="28"/>
                    <w:szCs w:val="28"/>
                    <w:lang w:eastAsia="pl-PL"/>
                  </w:rPr>
                  <m:t>=Noeb∙esj+NoH</m:t>
                </m:r>
                <m:r>
                  <m:rPr>
                    <m:sty m:val="bi"/>
                  </m:rPr>
                  <w:rPr>
                    <w:rFonts w:ascii="Cambria Math" w:eastAsia="Times New Roman" w:hAnsi="Cambria Math" w:cstheme="minorHAnsi"/>
                    <w:sz w:val="28"/>
                    <w:szCs w:val="28"/>
                    <w:lang w:eastAsia="pl-PL"/>
                  </w:rPr>
                  <m:t>2</m:t>
                </m:r>
                <m:r>
                  <m:rPr>
                    <m:sty m:val="bi"/>
                  </m:rPr>
                  <w:rPr>
                    <w:rFonts w:ascii="Cambria Math" w:eastAsia="Times New Roman" w:hAnsi="Cambria Math" w:cstheme="minorHAnsi"/>
                    <w:sz w:val="28"/>
                    <w:szCs w:val="28"/>
                    <w:lang w:eastAsia="pl-PL"/>
                  </w:rPr>
                  <m:t>b∙esjh</m:t>
                </m:r>
                <m:r>
                  <m:rPr>
                    <m:sty m:val="bi"/>
                  </m:rPr>
                  <w:rPr>
                    <w:rFonts w:ascii="Cambria Math" w:eastAsia="Times New Roman" w:hAnsi="Cambria Math" w:cstheme="minorHAnsi"/>
                    <w:sz w:val="28"/>
                    <w:szCs w:val="28"/>
                    <w:lang w:eastAsia="pl-PL"/>
                  </w:rPr>
                  <m:t>2</m:t>
                </m:r>
                <m:r>
                  <m:rPr>
                    <m:sty m:val="bi"/>
                  </m:rPr>
                  <w:rPr>
                    <w:rFonts w:ascii="Cambria Math" w:eastAsia="Times New Roman" w:hAnsi="Cambria Math" w:cstheme="minorHAnsi"/>
                    <w:sz w:val="28"/>
                    <w:szCs w:val="28"/>
                    <w:lang w:eastAsia="pl-PL"/>
                  </w:rPr>
                  <m:t>b+other savings</m:t>
                </m:r>
              </m:oMath>
            </m:oMathPara>
          </w:p>
        </w:tc>
        <w:tc>
          <w:tcPr>
            <w:tcW w:w="596" w:type="dxa"/>
            <w:vAlign w:val="center"/>
          </w:tcPr>
          <w:p w14:paraId="39662E9F" w14:textId="77777777" w:rsidR="00F34BD4" w:rsidRPr="00D62DB9" w:rsidRDefault="00F34BD4">
            <w:pPr>
              <w:jc w:val="right"/>
              <w:rPr>
                <w:lang w:eastAsia="pl-PL"/>
              </w:rPr>
            </w:pPr>
            <w:r w:rsidRPr="00D62DB9">
              <w:rPr>
                <w:lang w:eastAsia="pl-PL"/>
              </w:rPr>
              <w:t>(3)</w:t>
            </w:r>
          </w:p>
        </w:tc>
      </w:tr>
    </w:tbl>
    <w:p w14:paraId="3AB6EF3E" w14:textId="77777777" w:rsidR="00F34BD4" w:rsidRDefault="00F34BD4" w:rsidP="00F34BD4">
      <w:pPr>
        <w:spacing w:after="0"/>
        <w:rPr>
          <w:lang w:eastAsia="pl-PL"/>
        </w:rPr>
      </w:pPr>
      <w:r w:rsidRPr="00D62DB9">
        <w:rPr>
          <w:lang w:eastAsia="pl-PL"/>
        </w:rPr>
        <w:t>gdzie</w:t>
      </w:r>
      <w:r>
        <w:rPr>
          <w:lang w:eastAsia="pl-PL"/>
        </w:rPr>
        <w:t>:</w:t>
      </w:r>
    </w:p>
    <w:tbl>
      <w:tblPr>
        <w:tblStyle w:val="Tabela-Siatka"/>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351"/>
        <w:gridCol w:w="7281"/>
      </w:tblGrid>
      <w:tr w:rsidR="00F34BD4" w:rsidRPr="000676E3" w14:paraId="534EA00C" w14:textId="77777777">
        <w:tc>
          <w:tcPr>
            <w:tcW w:w="1614" w:type="dxa"/>
          </w:tcPr>
          <w:p w14:paraId="1704E289" w14:textId="77777777" w:rsidR="00F34BD4" w:rsidRPr="00D62DB9" w:rsidRDefault="00E3653D">
            <w:pPr>
              <w:spacing w:line="360" w:lineRule="auto"/>
              <w:rPr>
                <w:lang w:eastAsia="pl-PL"/>
              </w:rPr>
            </w:pPr>
            <m:oMathPara>
              <m:oMath>
                <m:sSub>
                  <m:sSubPr>
                    <m:ctrlPr>
                      <w:rPr>
                        <w:rFonts w:ascii="Cambria Math" w:eastAsia="Times New Roman" w:hAnsi="Cambria Math" w:cstheme="minorHAnsi"/>
                        <w:i/>
                      </w:rPr>
                    </m:ctrlPr>
                  </m:sSubPr>
                  <m:e>
                    <m:r>
                      <m:rPr>
                        <m:sty m:val="bi"/>
                      </m:rPr>
                      <w:rPr>
                        <w:rFonts w:ascii="Cambria Math" w:eastAsia="Times New Roman" w:hAnsi="Cambria Math" w:cstheme="minorHAnsi"/>
                        <w:lang w:eastAsia="pl-PL"/>
                      </w:rPr>
                      <m:t>O</m:t>
                    </m:r>
                  </m:e>
                  <m:sub>
                    <m:r>
                      <m:rPr>
                        <m:sty m:val="bi"/>
                      </m:rPr>
                      <w:rPr>
                        <w:rFonts w:ascii="Cambria Math" w:eastAsia="Times New Roman" w:hAnsi="Cambria Math" w:cstheme="minorHAnsi"/>
                        <w:lang w:eastAsia="pl-PL"/>
                      </w:rPr>
                      <m:t>FLOTA</m:t>
                    </m:r>
                  </m:sub>
                </m:sSub>
              </m:oMath>
            </m:oMathPara>
          </w:p>
        </w:tc>
        <w:tc>
          <w:tcPr>
            <w:tcW w:w="351" w:type="dxa"/>
          </w:tcPr>
          <w:p w14:paraId="31736069" w14:textId="65BA598E" w:rsidR="00F34BD4" w:rsidRPr="00D62DB9" w:rsidRDefault="00CB598F">
            <w:pPr>
              <w:spacing w:line="360" w:lineRule="auto"/>
              <w:rPr>
                <w:lang w:eastAsia="pl-PL"/>
              </w:rPr>
            </w:pPr>
            <w:r>
              <w:rPr>
                <w:lang w:eastAsia="pl-PL"/>
              </w:rPr>
              <w:t>–</w:t>
            </w:r>
          </w:p>
        </w:tc>
        <w:tc>
          <w:tcPr>
            <w:tcW w:w="7281" w:type="dxa"/>
            <w:shd w:val="clear" w:color="auto" w:fill="auto"/>
          </w:tcPr>
          <w:p w14:paraId="3246704A" w14:textId="6A196D38" w:rsidR="00F34BD4" w:rsidRPr="00D62DB9" w:rsidRDefault="00F34BD4" w:rsidP="00CB598F">
            <w:pPr>
              <w:rPr>
                <w:lang w:val="en-GB" w:eastAsia="pl-PL"/>
              </w:rPr>
            </w:pPr>
            <w:r w:rsidRPr="00D62DB9">
              <w:rPr>
                <w:lang w:val="en-GB" w:eastAsia="pl-PL"/>
              </w:rPr>
              <w:t>roczne oszczędności [ktoe/rok]</w:t>
            </w:r>
          </w:p>
        </w:tc>
      </w:tr>
      <w:tr w:rsidR="00F34BD4" w:rsidRPr="000676E3" w14:paraId="5628627C" w14:textId="77777777">
        <w:tc>
          <w:tcPr>
            <w:tcW w:w="1614" w:type="dxa"/>
          </w:tcPr>
          <w:p w14:paraId="0A5ECC0C" w14:textId="77777777" w:rsidR="00F34BD4" w:rsidRPr="00D62DB9" w:rsidRDefault="00F34BD4">
            <w:pPr>
              <w:spacing w:line="360" w:lineRule="auto"/>
              <w:rPr>
                <w:lang w:eastAsia="pl-PL"/>
              </w:rPr>
            </w:pPr>
            <m:oMathPara>
              <m:oMath>
                <m:r>
                  <m:rPr>
                    <m:sty m:val="bi"/>
                  </m:rPr>
                  <w:rPr>
                    <w:rFonts w:ascii="Cambria Math" w:eastAsia="Times New Roman" w:hAnsi="Cambria Math" w:cstheme="minorHAnsi"/>
                    <w:lang w:eastAsia="pl-PL"/>
                  </w:rPr>
                  <m:t>Noeb</m:t>
                </m:r>
              </m:oMath>
            </m:oMathPara>
          </w:p>
        </w:tc>
        <w:tc>
          <w:tcPr>
            <w:tcW w:w="351" w:type="dxa"/>
          </w:tcPr>
          <w:p w14:paraId="71C69A1C" w14:textId="5005817C" w:rsidR="00F34BD4" w:rsidRPr="00D62DB9" w:rsidRDefault="00CB598F">
            <w:pPr>
              <w:spacing w:line="360" w:lineRule="auto"/>
              <w:rPr>
                <w:lang w:eastAsia="pl-PL"/>
              </w:rPr>
            </w:pPr>
            <w:r>
              <w:rPr>
                <w:lang w:eastAsia="pl-PL"/>
              </w:rPr>
              <w:t>–</w:t>
            </w:r>
          </w:p>
        </w:tc>
        <w:tc>
          <w:tcPr>
            <w:tcW w:w="7281" w:type="dxa"/>
            <w:shd w:val="clear" w:color="auto" w:fill="auto"/>
          </w:tcPr>
          <w:p w14:paraId="6B131563" w14:textId="27B115D2" w:rsidR="00F34BD4" w:rsidRPr="00D62DB9" w:rsidRDefault="00F34BD4" w:rsidP="00CB598F">
            <w:pPr>
              <w:rPr>
                <w:lang w:val="en-GB" w:eastAsia="pl-PL"/>
              </w:rPr>
            </w:pPr>
            <w:r w:rsidRPr="00D62DB9">
              <w:rPr>
                <w:lang w:val="en-GB" w:eastAsia="pl-PL"/>
              </w:rPr>
              <w:t>liczba nowych pojazdów elektrycznych</w:t>
            </w:r>
          </w:p>
        </w:tc>
      </w:tr>
      <w:tr w:rsidR="00F34BD4" w:rsidRPr="000676E3" w14:paraId="2014042A" w14:textId="77777777">
        <w:tc>
          <w:tcPr>
            <w:tcW w:w="1614" w:type="dxa"/>
          </w:tcPr>
          <w:p w14:paraId="6657220F" w14:textId="77777777" w:rsidR="00F34BD4" w:rsidRPr="00D62DB9" w:rsidRDefault="00F34BD4">
            <w:pPr>
              <w:spacing w:line="360" w:lineRule="auto"/>
              <w:rPr>
                <w:lang w:eastAsia="pl-PL"/>
              </w:rPr>
            </w:pPr>
            <m:oMathPara>
              <m:oMath>
                <m:r>
                  <m:rPr>
                    <m:sty m:val="bi"/>
                  </m:rPr>
                  <w:rPr>
                    <w:rFonts w:ascii="Cambria Math" w:eastAsia="Times New Roman" w:hAnsi="Cambria Math" w:cstheme="minorHAnsi"/>
                    <w:lang w:eastAsia="pl-PL"/>
                  </w:rPr>
                  <m:t>esj</m:t>
                </m:r>
              </m:oMath>
            </m:oMathPara>
          </w:p>
        </w:tc>
        <w:tc>
          <w:tcPr>
            <w:tcW w:w="351" w:type="dxa"/>
          </w:tcPr>
          <w:p w14:paraId="37C292AF" w14:textId="6E7BD949" w:rsidR="00F34BD4" w:rsidRPr="00D62DB9" w:rsidRDefault="00CB598F">
            <w:pPr>
              <w:spacing w:line="360" w:lineRule="auto"/>
              <w:rPr>
                <w:lang w:eastAsia="pl-PL"/>
              </w:rPr>
            </w:pPr>
            <w:r>
              <w:rPr>
                <w:lang w:eastAsia="pl-PL"/>
              </w:rPr>
              <w:t>–</w:t>
            </w:r>
          </w:p>
        </w:tc>
        <w:tc>
          <w:tcPr>
            <w:tcW w:w="7281" w:type="dxa"/>
            <w:shd w:val="clear" w:color="auto" w:fill="auto"/>
          </w:tcPr>
          <w:p w14:paraId="3E82195E" w14:textId="20BDCE85" w:rsidR="00F34BD4" w:rsidRPr="00D62DB9" w:rsidRDefault="00F34BD4" w:rsidP="00CB598F">
            <w:pPr>
              <w:rPr>
                <w:lang w:eastAsia="pl-PL"/>
              </w:rPr>
            </w:pPr>
            <w:r w:rsidRPr="00D62DB9">
              <w:rPr>
                <w:lang w:eastAsia="pl-PL"/>
              </w:rPr>
              <w:t>jednostkowa oszczędności energii finalnej pojazdu elektrycznego [ktoe/1 autobus]</w:t>
            </w:r>
          </w:p>
        </w:tc>
      </w:tr>
      <w:tr w:rsidR="00F34BD4" w:rsidRPr="000676E3" w14:paraId="6BE4EB30" w14:textId="77777777">
        <w:tc>
          <w:tcPr>
            <w:tcW w:w="1614" w:type="dxa"/>
          </w:tcPr>
          <w:p w14:paraId="3AF09101" w14:textId="77777777" w:rsidR="00F34BD4" w:rsidRPr="00D62DB9" w:rsidRDefault="00F34BD4">
            <w:pPr>
              <w:spacing w:line="360" w:lineRule="auto"/>
              <w:rPr>
                <w:lang w:eastAsia="pl-PL"/>
              </w:rPr>
            </w:pPr>
            <m:oMathPara>
              <m:oMath>
                <m:r>
                  <m:rPr>
                    <m:sty m:val="bi"/>
                  </m:rPr>
                  <w:rPr>
                    <w:rFonts w:ascii="Cambria Math" w:eastAsia="Times New Roman" w:hAnsi="Cambria Math" w:cstheme="minorHAnsi"/>
                    <w:lang w:eastAsia="pl-PL"/>
                  </w:rPr>
                  <m:t>NoH</m:t>
                </m:r>
                <m:r>
                  <m:rPr>
                    <m:sty m:val="bi"/>
                  </m:rPr>
                  <w:rPr>
                    <w:rFonts w:ascii="Cambria Math" w:eastAsia="Times New Roman" w:hAnsi="Cambria Math" w:cstheme="minorHAnsi"/>
                    <w:lang w:eastAsia="pl-PL"/>
                  </w:rPr>
                  <m:t>2</m:t>
                </m:r>
                <m:r>
                  <m:rPr>
                    <m:sty m:val="bi"/>
                  </m:rPr>
                  <w:rPr>
                    <w:rFonts w:ascii="Cambria Math" w:eastAsia="Times New Roman" w:hAnsi="Cambria Math" w:cstheme="minorHAnsi"/>
                    <w:lang w:eastAsia="pl-PL"/>
                  </w:rPr>
                  <m:t>b</m:t>
                </m:r>
              </m:oMath>
            </m:oMathPara>
          </w:p>
        </w:tc>
        <w:tc>
          <w:tcPr>
            <w:tcW w:w="351" w:type="dxa"/>
          </w:tcPr>
          <w:p w14:paraId="39F7B3B9" w14:textId="0AAD5BEC" w:rsidR="00F34BD4" w:rsidRPr="00D62DB9" w:rsidRDefault="00CB598F">
            <w:pPr>
              <w:spacing w:line="360" w:lineRule="auto"/>
              <w:rPr>
                <w:lang w:eastAsia="pl-PL"/>
              </w:rPr>
            </w:pPr>
            <w:r>
              <w:rPr>
                <w:lang w:eastAsia="pl-PL"/>
              </w:rPr>
              <w:t>–</w:t>
            </w:r>
          </w:p>
        </w:tc>
        <w:tc>
          <w:tcPr>
            <w:tcW w:w="7281" w:type="dxa"/>
            <w:shd w:val="clear" w:color="auto" w:fill="auto"/>
          </w:tcPr>
          <w:p w14:paraId="6EB68A4F" w14:textId="0FD6773E" w:rsidR="00F34BD4" w:rsidRPr="00D62DB9" w:rsidRDefault="00F34BD4" w:rsidP="00CB598F">
            <w:pPr>
              <w:rPr>
                <w:lang w:eastAsia="pl-PL"/>
              </w:rPr>
            </w:pPr>
            <w:r w:rsidRPr="00D62DB9">
              <w:rPr>
                <w:lang w:eastAsia="pl-PL"/>
              </w:rPr>
              <w:t>liczba nowych pojazdów zasilana paliwami alternatywnymi</w:t>
            </w:r>
          </w:p>
        </w:tc>
      </w:tr>
      <w:tr w:rsidR="00F34BD4" w:rsidRPr="000676E3" w14:paraId="4014E9CD" w14:textId="77777777">
        <w:tc>
          <w:tcPr>
            <w:tcW w:w="1614" w:type="dxa"/>
          </w:tcPr>
          <w:p w14:paraId="481F7F42" w14:textId="77777777" w:rsidR="00F34BD4" w:rsidRPr="00D62DB9" w:rsidRDefault="00F34BD4">
            <w:pPr>
              <w:spacing w:line="360" w:lineRule="auto"/>
              <w:rPr>
                <w:lang w:eastAsia="pl-PL"/>
              </w:rPr>
            </w:pPr>
            <m:oMathPara>
              <m:oMath>
                <m:r>
                  <m:rPr>
                    <m:sty m:val="bi"/>
                  </m:rPr>
                  <w:rPr>
                    <w:rFonts w:ascii="Cambria Math" w:eastAsia="Times New Roman" w:hAnsi="Cambria Math" w:cstheme="minorHAnsi"/>
                    <w:lang w:eastAsia="pl-PL"/>
                  </w:rPr>
                  <m:t>esjh</m:t>
                </m:r>
                <m:r>
                  <m:rPr>
                    <m:sty m:val="bi"/>
                  </m:rPr>
                  <w:rPr>
                    <w:rFonts w:ascii="Cambria Math" w:eastAsia="Times New Roman" w:hAnsi="Cambria Math" w:cstheme="minorHAnsi"/>
                    <w:lang w:eastAsia="pl-PL"/>
                  </w:rPr>
                  <m:t>2</m:t>
                </m:r>
                <m:r>
                  <m:rPr>
                    <m:sty m:val="bi"/>
                  </m:rPr>
                  <w:rPr>
                    <w:rFonts w:ascii="Cambria Math" w:eastAsia="Times New Roman" w:hAnsi="Cambria Math" w:cstheme="minorHAnsi"/>
                    <w:lang w:eastAsia="pl-PL"/>
                  </w:rPr>
                  <m:t>b</m:t>
                </m:r>
              </m:oMath>
            </m:oMathPara>
          </w:p>
        </w:tc>
        <w:tc>
          <w:tcPr>
            <w:tcW w:w="351" w:type="dxa"/>
          </w:tcPr>
          <w:p w14:paraId="7B61D353" w14:textId="2A1E5939" w:rsidR="00F34BD4" w:rsidRPr="00D62DB9" w:rsidRDefault="00CB598F" w:rsidP="00475054">
            <w:pPr>
              <w:spacing w:after="120" w:line="360" w:lineRule="auto"/>
              <w:rPr>
                <w:lang w:eastAsia="pl-PL"/>
              </w:rPr>
            </w:pPr>
            <w:r>
              <w:rPr>
                <w:lang w:eastAsia="pl-PL"/>
              </w:rPr>
              <w:t>–</w:t>
            </w:r>
          </w:p>
        </w:tc>
        <w:tc>
          <w:tcPr>
            <w:tcW w:w="7281" w:type="dxa"/>
            <w:shd w:val="clear" w:color="auto" w:fill="auto"/>
          </w:tcPr>
          <w:p w14:paraId="72F51AE0" w14:textId="3C4125EA" w:rsidR="00F34BD4" w:rsidRPr="00D62DB9" w:rsidRDefault="00F34BD4" w:rsidP="00475054">
            <w:pPr>
              <w:spacing w:after="120"/>
              <w:rPr>
                <w:lang w:eastAsia="pl-PL"/>
              </w:rPr>
            </w:pPr>
            <w:r w:rsidRPr="00D62DB9">
              <w:rPr>
                <w:lang w:eastAsia="pl-PL"/>
              </w:rPr>
              <w:t>jednostkowa oszczędności energii finalnej pojazdu zasilanego paliwem alternatywnym [ktoe/1 autobus]</w:t>
            </w:r>
          </w:p>
        </w:tc>
      </w:tr>
      <w:tr w:rsidR="00475054" w:rsidRPr="000676E3" w14:paraId="7AFC82BC" w14:textId="77777777">
        <w:tc>
          <w:tcPr>
            <w:tcW w:w="1614" w:type="dxa"/>
          </w:tcPr>
          <w:p w14:paraId="3149B04B" w14:textId="027C77E8" w:rsidR="00475054" w:rsidRDefault="00475054">
            <w:pPr>
              <w:spacing w:line="360" w:lineRule="auto"/>
              <w:rPr>
                <w:rFonts w:eastAsia="Calibri" w:cs="Times New Roman"/>
                <w:b/>
                <w:lang w:eastAsia="pl-PL"/>
              </w:rPr>
            </w:pPr>
            <m:oMathPara>
              <m:oMath>
                <m:r>
                  <m:rPr>
                    <m:sty m:val="bi"/>
                  </m:rPr>
                  <w:rPr>
                    <w:rFonts w:ascii="Cambria Math" w:eastAsia="Calibri" w:hAnsi="Cambria Math" w:cs="Times New Roman"/>
                    <w:lang w:eastAsia="pl-PL"/>
                  </w:rPr>
                  <m:t>other savings</m:t>
                </m:r>
              </m:oMath>
            </m:oMathPara>
          </w:p>
        </w:tc>
        <w:tc>
          <w:tcPr>
            <w:tcW w:w="351" w:type="dxa"/>
          </w:tcPr>
          <w:p w14:paraId="72FCFF24" w14:textId="186F41CD" w:rsidR="00475054" w:rsidRDefault="00475054">
            <w:pPr>
              <w:spacing w:line="360" w:lineRule="auto"/>
              <w:rPr>
                <w:lang w:eastAsia="pl-PL"/>
              </w:rPr>
            </w:pPr>
            <w:r>
              <w:rPr>
                <w:lang w:eastAsia="pl-PL"/>
              </w:rPr>
              <w:t>–</w:t>
            </w:r>
          </w:p>
        </w:tc>
        <w:tc>
          <w:tcPr>
            <w:tcW w:w="7281" w:type="dxa"/>
            <w:shd w:val="clear" w:color="auto" w:fill="auto"/>
          </w:tcPr>
          <w:p w14:paraId="6ED4F65F" w14:textId="7E08CBA3" w:rsidR="00475054" w:rsidRPr="00D62DB9" w:rsidRDefault="00475054" w:rsidP="00CB598F">
            <w:pPr>
              <w:rPr>
                <w:lang w:eastAsia="pl-PL"/>
              </w:rPr>
            </w:pPr>
            <w:r>
              <w:t xml:space="preserve">inne oszczędności energii finalnej wynikające z metody </w:t>
            </w:r>
            <w:r w:rsidR="003D28CA">
              <w:t>skalowanej</w:t>
            </w:r>
            <w:r>
              <w:t xml:space="preserve">, tj. </w:t>
            </w:r>
            <w:r w:rsidR="003D28CA" w:rsidRPr="003D28CA">
              <w:t>na podstawie własnych dostępnych metodyk obliczania oszczędności energii finalnej w zależności od realizowanego przedsięwzięcia na rzecz poprawy efektywności energetycznej</w:t>
            </w:r>
          </w:p>
        </w:tc>
      </w:tr>
    </w:tbl>
    <w:p w14:paraId="7D5A42FF" w14:textId="77777777" w:rsidR="00F34BD4" w:rsidRPr="00684624" w:rsidRDefault="00F34BD4" w:rsidP="00F34BD4">
      <w:pPr>
        <w:spacing w:after="0" w:line="360" w:lineRule="auto"/>
        <w:ind w:firstLine="709"/>
        <w:rPr>
          <w:highlight w:val="yellow"/>
          <w:u w:val="single"/>
        </w:rPr>
      </w:pPr>
    </w:p>
    <w:p w14:paraId="0AC93590" w14:textId="77777777" w:rsidR="00F34BD4" w:rsidRPr="00707A7A" w:rsidRDefault="00F34BD4" w:rsidP="00F34BD4">
      <w:pPr>
        <w:spacing w:after="0" w:line="360" w:lineRule="auto"/>
        <w:ind w:firstLine="709"/>
        <w:rPr>
          <w:b/>
          <w:bCs/>
          <w:i/>
          <w:iCs/>
          <w:color w:val="5B9BD5" w:themeColor="accent5"/>
        </w:rPr>
      </w:pPr>
      <w:r w:rsidRPr="001D4A88">
        <w:rPr>
          <w:rStyle w:val="zasadaZnak"/>
        </w:rPr>
        <w:t>Zasada</w:t>
      </w:r>
      <w:r w:rsidRPr="00707A7A">
        <w:rPr>
          <w:b/>
          <w:bCs/>
          <w:i/>
          <w:iCs/>
          <w:color w:val="5B9BD5" w:themeColor="accent5"/>
        </w:rPr>
        <w:t xml:space="preserve"> istotności</w:t>
      </w:r>
    </w:p>
    <w:p w14:paraId="641891C7" w14:textId="57178445" w:rsidR="00F34BD4" w:rsidRPr="000E33AE" w:rsidRDefault="00F34BD4" w:rsidP="00373FD3">
      <w:r w:rsidRPr="00075176">
        <w:t>Możliwość uzyskania dofinansowania motywuje inwestora do podjęcia decyzji</w:t>
      </w:r>
      <w:r w:rsidR="00767FC5">
        <w:t xml:space="preserve"> </w:t>
      </w:r>
      <w:r w:rsidRPr="00075176">
        <w:t>o realizacji przedsięwzięcia skutkującego oszczędnością energii, uzyskaną przy jak najmniejszym nakładzie inwestycyjnym.</w:t>
      </w:r>
    </w:p>
    <w:p w14:paraId="1D9D6F8A" w14:textId="77777777" w:rsidR="00F34BD4" w:rsidRPr="00373FD3" w:rsidRDefault="00F34BD4" w:rsidP="00373FD3">
      <w:r w:rsidRPr="00373FD3">
        <w:t xml:space="preserve">Oszczędności energii finalnej uzyskane w ramach tego środka alternatywnego są istotne dla osiągnięcia krajowego celu w zakresie oszczędności energii, określonego w art. 8 dyrektywy. Szczególne znaczenie należy przypisać efektowi skali. W ramach tego środka alternatywnego uzyskuje się istotne oszczędności </w:t>
      </w:r>
      <w:r w:rsidRPr="00373FD3">
        <w:lastRenderedPageBreak/>
        <w:t>energii finalnej podczas realizacji wielu przedsięwzięć służących poprawie efektywności energetycznej przynoszących stosunkowo niewielką ilość oszczędności energii.</w:t>
      </w:r>
    </w:p>
    <w:p w14:paraId="3BCCB85B" w14:textId="77777777" w:rsidR="00F34BD4" w:rsidRPr="00707A7A" w:rsidRDefault="00F34BD4" w:rsidP="001D4A88">
      <w:pPr>
        <w:pStyle w:val="zasada"/>
      </w:pPr>
      <w:r w:rsidRPr="00707A7A">
        <w:t xml:space="preserve">Zasada </w:t>
      </w:r>
      <w:r>
        <w:t>dodatkowości</w:t>
      </w:r>
    </w:p>
    <w:p w14:paraId="37C94FE1" w14:textId="77777777" w:rsidR="00F34BD4" w:rsidRDefault="00F34BD4" w:rsidP="00373FD3">
      <w:r>
        <w:t>U</w:t>
      </w:r>
      <w:r w:rsidRPr="00665104">
        <w:t>znane mogą zostać wyłącznie oszczędności energii przekraczające poziomy unijnych wymagań dotyczących wycofywania z obrotu określonych produktów związanych z energią w</w:t>
      </w:r>
      <w:r>
        <w:t> </w:t>
      </w:r>
      <w:r w:rsidRPr="00665104">
        <w:t xml:space="preserve">następstwie </w:t>
      </w:r>
      <w:r w:rsidRPr="0071320E">
        <w:t>wdrożenia środków wykonawczych na mocy dyrektywy 2009/125/WE</w:t>
      </w:r>
      <w:r w:rsidRPr="00373FD3">
        <w:footnoteReference w:id="11"/>
      </w:r>
      <w:r w:rsidRPr="0071320E">
        <w:t>.</w:t>
      </w:r>
      <w:r w:rsidRPr="00665104">
        <w:t xml:space="preserve"> W</w:t>
      </w:r>
      <w:r>
        <w:t> </w:t>
      </w:r>
      <w:r w:rsidRPr="00665104">
        <w:t xml:space="preserve">szczególności wymagania te zostały wprowadzone dla produktów związanych </w:t>
      </w:r>
      <w:r>
        <w:t xml:space="preserve">z wymianą silników elektrycznych. </w:t>
      </w:r>
      <w:r w:rsidRPr="00A40D2C">
        <w:t xml:space="preserve">W przypadku </w:t>
      </w:r>
      <w:r w:rsidRPr="00D94B5E">
        <w:t>pojazdów</w:t>
      </w:r>
      <w:r w:rsidRPr="00A40D2C">
        <w:t xml:space="preserve"> stosuje się minimalne poziomy wynikające z wdrożenia przepisów unijnych dotyczących wymogów ekoprojektu, które</w:t>
      </w:r>
      <w:r w:rsidRPr="00D94B5E">
        <w:t xml:space="preserve"> </w:t>
      </w:r>
      <w:r w:rsidRPr="00A40D2C">
        <w:t>są wyznaczane i</w:t>
      </w:r>
      <w:r w:rsidRPr="00D94B5E">
        <w:t> </w:t>
      </w:r>
      <w:r w:rsidRPr="00A40D2C">
        <w:t>stosowane jako poziomy referencyjne będące punktami wyjścia przy obliczaniu oszczędności energii.</w:t>
      </w:r>
      <w:r>
        <w:t xml:space="preserve"> </w:t>
      </w:r>
    </w:p>
    <w:p w14:paraId="410A35E4" w14:textId="77777777" w:rsidR="00F34BD4" w:rsidRPr="00AB73D9" w:rsidRDefault="00F34BD4" w:rsidP="00805E07">
      <w:pPr>
        <w:pStyle w:val="Nagwek4"/>
      </w:pPr>
      <w:r w:rsidRPr="00AB73D9">
        <w:t>Informacja o sposobie postępowania z ewentualnym dublowaniem się środków i indywidualnych działań w celu unikania podwójnego zliczania oszczędności energii</w:t>
      </w:r>
    </w:p>
    <w:p w14:paraId="3FC24CC9" w14:textId="1D8CCB1F" w:rsidR="00F34BD4" w:rsidRPr="00D62DB9" w:rsidRDefault="00F34BD4" w:rsidP="00373FD3">
      <w:r w:rsidRPr="00D62DB9">
        <w:t xml:space="preserve">Zgodnie z ustawą z dnia 20 maja 2016 r. </w:t>
      </w:r>
      <w:r w:rsidRPr="00373FD3">
        <w:t>o efektywności energetycznej</w:t>
      </w:r>
      <w:r w:rsidRPr="00D62DB9">
        <w:t xml:space="preserve"> instytucje zawierające z wnioskodawcami umowy o dofinansowanie przedsięwzięć służących poprawie efektywności energetycznej u odbiorcy końcowego zobowiązane są do wprowadzania do centralnego rejestru oszczędności energii finalnej za pomocą systemu teleinformatycznego obsługującego ten rejestr, do dnia 31 marca każdego </w:t>
      </w:r>
      <w:r w:rsidR="0011179A">
        <w:t>r</w:t>
      </w:r>
      <w:r w:rsidR="00C90700">
        <w:t>oku</w:t>
      </w:r>
      <w:r w:rsidRPr="00D62DB9">
        <w:t xml:space="preserve"> za poprzedni rok kalendarzowy, informacji o zrealizowanych przedsięwzięciach służących poprawie efektywności energetycznej oraz wysokości uzyskanej w wyniku ich realizacji oszczędności energii finalnej.</w:t>
      </w:r>
      <w:r w:rsidR="00767FC5">
        <w:t xml:space="preserve"> </w:t>
      </w:r>
      <w:r w:rsidRPr="00EF4FC0">
        <w:t>System następnie weryfikuje czy nie występuje tzw. podwójne zliczania</w:t>
      </w:r>
      <w:r>
        <w:t xml:space="preserve"> dla danej lokalizacji przedsięwzięcia</w:t>
      </w:r>
      <w:r w:rsidRPr="00EF4FC0">
        <w:t xml:space="preserve">. </w:t>
      </w:r>
    </w:p>
    <w:p w14:paraId="1C089682" w14:textId="77777777" w:rsidR="00F34BD4" w:rsidRDefault="00F34BD4" w:rsidP="00805E07">
      <w:pPr>
        <w:pStyle w:val="Nagwek4"/>
      </w:pPr>
      <w:r w:rsidRPr="00842530">
        <w:t>Uwzględnienie różnic klimatycznych między regionami i zastosowane podejście</w:t>
      </w:r>
    </w:p>
    <w:p w14:paraId="1082CAC0" w14:textId="77777777" w:rsidR="00F34BD4" w:rsidRPr="00D62DB9" w:rsidRDefault="00F34BD4" w:rsidP="00373FD3">
      <w:r w:rsidRPr="00D62DB9">
        <w:t xml:space="preserve">Z uwagi na specyfikę środka alternatywnego w postaci przedsięwzięć realizowanych w sektorze transportu, o zasięgu krajowym występujące różnice pomiędzy </w:t>
      </w:r>
      <w:r w:rsidRPr="00122A7D">
        <w:t>regionami</w:t>
      </w:r>
      <w:r w:rsidRPr="00D62DB9">
        <w:t xml:space="preserve"> nie są uwzględniane w obliczaniach oszczędności energii</w:t>
      </w:r>
      <w:r>
        <w:t>.</w:t>
      </w:r>
    </w:p>
    <w:p w14:paraId="04A8F335" w14:textId="47D66C0E" w:rsidR="00F34BD4" w:rsidRPr="00684624" w:rsidRDefault="00F34BD4" w:rsidP="00805E07">
      <w:pPr>
        <w:pStyle w:val="Nagwek4"/>
      </w:pPr>
      <w:r w:rsidRPr="00684624">
        <w:t xml:space="preserve">Oszczędność </w:t>
      </w:r>
      <w:r>
        <w:t xml:space="preserve">końcowego zużycia energii </w:t>
      </w:r>
      <w:r w:rsidRPr="00684624">
        <w:t>w okresie 2021</w:t>
      </w:r>
      <w:r w:rsidR="004B0F0A">
        <w:t>–20</w:t>
      </w:r>
      <w:r w:rsidRPr="00684624">
        <w:t>30</w:t>
      </w:r>
    </w:p>
    <w:p w14:paraId="6086E85B" w14:textId="53BAB14E" w:rsidR="00F34BD4" w:rsidRDefault="004A5C88" w:rsidP="00373FD3">
      <w:r>
        <w:fldChar w:fldCharType="begin"/>
      </w:r>
      <w:r>
        <w:instrText xml:space="preserve"> REF _Ref173760304 \h </w:instrText>
      </w:r>
      <w:r>
        <w:fldChar w:fldCharType="separate"/>
      </w:r>
      <w:r w:rsidR="00CC735D">
        <w:t xml:space="preserve">Tabela </w:t>
      </w:r>
      <w:r w:rsidR="00CC735D">
        <w:rPr>
          <w:noProof/>
        </w:rPr>
        <w:t>4</w:t>
      </w:r>
      <w:r>
        <w:fldChar w:fldCharType="end"/>
      </w:r>
      <w:r>
        <w:t xml:space="preserve"> </w:t>
      </w:r>
      <w:r w:rsidR="00F34BD4" w:rsidRPr="00D62DB9">
        <w:t>przedstawi</w:t>
      </w:r>
      <w:r>
        <w:t>a</w:t>
      </w:r>
      <w:r w:rsidR="00F34BD4" w:rsidRPr="00D62DB9">
        <w:t xml:space="preserve"> </w:t>
      </w:r>
      <w:r w:rsidR="00F34BD4">
        <w:t xml:space="preserve">roczne i </w:t>
      </w:r>
      <w:r w:rsidR="00F34BD4" w:rsidRPr="00D62DB9">
        <w:t>skumulowane oszczędności energii finalnej w okresie 2021</w:t>
      </w:r>
      <w:r w:rsidR="004B0F0A">
        <w:t>–20</w:t>
      </w:r>
      <w:r w:rsidR="00F34BD4" w:rsidRPr="00D62DB9">
        <w:t xml:space="preserve">30. Szacuje się, że </w:t>
      </w:r>
      <w:r w:rsidR="005E39FE">
        <w:t xml:space="preserve">środek </w:t>
      </w:r>
      <w:r w:rsidR="005E39FE">
        <w:rPr>
          <w:i/>
          <w:iCs/>
        </w:rPr>
        <w:t>R</w:t>
      </w:r>
      <w:r w:rsidR="00F34BD4" w:rsidRPr="004A5C88">
        <w:rPr>
          <w:i/>
          <w:iCs/>
        </w:rPr>
        <w:t xml:space="preserve">ozwój </w:t>
      </w:r>
      <w:r>
        <w:rPr>
          <w:i/>
          <w:iCs/>
        </w:rPr>
        <w:t>p</w:t>
      </w:r>
      <w:r w:rsidR="00F34BD4" w:rsidRPr="004A5C88">
        <w:rPr>
          <w:i/>
          <w:iCs/>
        </w:rPr>
        <w:t xml:space="preserve">ublicznego </w:t>
      </w:r>
      <w:r>
        <w:rPr>
          <w:i/>
          <w:iCs/>
        </w:rPr>
        <w:t>t</w:t>
      </w:r>
      <w:r w:rsidR="00F34BD4" w:rsidRPr="004A5C88">
        <w:rPr>
          <w:i/>
          <w:iCs/>
        </w:rPr>
        <w:t xml:space="preserve">ransportu </w:t>
      </w:r>
      <w:r>
        <w:rPr>
          <w:i/>
          <w:iCs/>
        </w:rPr>
        <w:t>z</w:t>
      </w:r>
      <w:r w:rsidR="00F34BD4" w:rsidRPr="004A5C88">
        <w:rPr>
          <w:i/>
          <w:iCs/>
        </w:rPr>
        <w:t xml:space="preserve">biorowego w </w:t>
      </w:r>
      <w:r>
        <w:rPr>
          <w:i/>
          <w:iCs/>
        </w:rPr>
        <w:t>m</w:t>
      </w:r>
      <w:r w:rsidR="00F34BD4" w:rsidRPr="004A5C88">
        <w:rPr>
          <w:i/>
          <w:iCs/>
        </w:rPr>
        <w:t>iastach</w:t>
      </w:r>
      <w:r w:rsidR="00F34BD4" w:rsidRPr="00373FD3">
        <w:t xml:space="preserve"> </w:t>
      </w:r>
      <w:r w:rsidR="00F34BD4" w:rsidRPr="00D62DB9">
        <w:t xml:space="preserve">przyniesie </w:t>
      </w:r>
      <w:r w:rsidR="00F34BD4">
        <w:t>6 622</w:t>
      </w:r>
      <w:r w:rsidR="00F34BD4" w:rsidRPr="00D62DB9">
        <w:t xml:space="preserve"> ktoe</w:t>
      </w:r>
      <w:r w:rsidR="00F34BD4">
        <w:t xml:space="preserve"> całkowitych skumulowanych</w:t>
      </w:r>
      <w:r w:rsidR="00F34BD4" w:rsidRPr="00D62DB9">
        <w:t xml:space="preserve"> oszczędności energii finalnej do 2030 </w:t>
      </w:r>
      <w:r w:rsidR="0011179A">
        <w:t>r.</w:t>
      </w:r>
      <w:r w:rsidR="00F34BD4" w:rsidRPr="00D62DB9">
        <w:t xml:space="preserve"> </w:t>
      </w:r>
    </w:p>
    <w:p w14:paraId="14347660" w14:textId="77777777" w:rsidR="00FA29F5" w:rsidRDefault="00FA29F5" w:rsidP="00CB598F">
      <w:pPr>
        <w:pStyle w:val="Legenda"/>
        <w:rPr>
          <w:rStyle w:val="rynqvb"/>
        </w:rPr>
      </w:pPr>
      <w:r>
        <w:rPr>
          <w:rStyle w:val="rynqvb"/>
        </w:rPr>
        <w:br w:type="page"/>
      </w:r>
    </w:p>
    <w:p w14:paraId="328CDC6D" w14:textId="72FA43F1" w:rsidR="00F34BD4" w:rsidRDefault="00F34BD4" w:rsidP="00CB598F">
      <w:pPr>
        <w:pStyle w:val="Legenda"/>
      </w:pPr>
      <w:r w:rsidRPr="00D62DB9">
        <w:rPr>
          <w:rStyle w:val="rynqvb"/>
        </w:rPr>
        <w:lastRenderedPageBreak/>
        <w:t xml:space="preserve"> </w:t>
      </w:r>
      <w:bookmarkStart w:id="20" w:name="_Ref173760304"/>
      <w:r w:rsidR="004A5C88">
        <w:t xml:space="preserve">Tabela </w:t>
      </w:r>
      <w:fldSimple w:instr=" SEQ Tabela \* ARABIC ">
        <w:r w:rsidR="00CC735D">
          <w:rPr>
            <w:noProof/>
          </w:rPr>
          <w:t>4</w:t>
        </w:r>
      </w:fldSimple>
      <w:bookmarkEnd w:id="20"/>
      <w:r w:rsidR="004A5C88">
        <w:t xml:space="preserve">. </w:t>
      </w:r>
      <w:r w:rsidRPr="00CB598F">
        <w:rPr>
          <w:rStyle w:val="rynqvb"/>
        </w:rPr>
        <w:t>Rozwój</w:t>
      </w:r>
      <w:r>
        <w:rPr>
          <w:rStyle w:val="rynqvb"/>
        </w:rPr>
        <w:t xml:space="preserve"> </w:t>
      </w:r>
      <w:r w:rsidR="005E39FE">
        <w:rPr>
          <w:rStyle w:val="rynqvb"/>
        </w:rPr>
        <w:t>p</w:t>
      </w:r>
      <w:r>
        <w:rPr>
          <w:rStyle w:val="rynqvb"/>
        </w:rPr>
        <w:t xml:space="preserve">ublicznego </w:t>
      </w:r>
      <w:r w:rsidR="005E39FE">
        <w:rPr>
          <w:rStyle w:val="rynqvb"/>
        </w:rPr>
        <w:t>t</w:t>
      </w:r>
      <w:r>
        <w:rPr>
          <w:rStyle w:val="rynqvb"/>
        </w:rPr>
        <w:t xml:space="preserve">ransportu </w:t>
      </w:r>
      <w:r w:rsidR="005E39FE">
        <w:rPr>
          <w:rStyle w:val="rynqvb"/>
        </w:rPr>
        <w:t>z</w:t>
      </w:r>
      <w:r>
        <w:rPr>
          <w:rStyle w:val="rynqvb"/>
        </w:rPr>
        <w:t xml:space="preserve">biorowego w </w:t>
      </w:r>
      <w:r w:rsidR="005E39FE">
        <w:rPr>
          <w:rStyle w:val="rynqvb"/>
        </w:rPr>
        <w:t>m</w:t>
      </w:r>
      <w:r>
        <w:rPr>
          <w:rStyle w:val="rynqvb"/>
        </w:rPr>
        <w:t>iastach: o</w:t>
      </w:r>
      <w:r w:rsidRPr="00E35197">
        <w:rPr>
          <w:rStyle w:val="rynqvb"/>
          <w:bCs/>
        </w:rPr>
        <w:t>szczędności</w:t>
      </w:r>
      <w:r>
        <w:rPr>
          <w:rStyle w:val="rynqvb"/>
          <w:bCs/>
        </w:rPr>
        <w:t xml:space="preserve"> końcowego zużycia</w:t>
      </w:r>
      <w:r w:rsidRPr="00E35197">
        <w:rPr>
          <w:rStyle w:val="rynqvb"/>
          <w:bCs/>
        </w:rPr>
        <w:t xml:space="preserve"> energii osiągnię</w:t>
      </w:r>
      <w:r>
        <w:rPr>
          <w:rStyle w:val="rynqvb"/>
          <w:bCs/>
        </w:rPr>
        <w:t xml:space="preserve">ta w 2021 </w:t>
      </w:r>
      <w:r w:rsidR="0011179A">
        <w:rPr>
          <w:rStyle w:val="rynqvb"/>
          <w:bCs/>
        </w:rPr>
        <w:t>r.</w:t>
      </w:r>
      <w:r>
        <w:rPr>
          <w:rStyle w:val="rynqvb"/>
          <w:bCs/>
        </w:rPr>
        <w:t xml:space="preserve"> oraz szacunkowe oszczędności</w:t>
      </w:r>
      <w:r w:rsidRPr="00E35197">
        <w:rPr>
          <w:rStyle w:val="rynqvb"/>
          <w:bCs/>
        </w:rPr>
        <w:t xml:space="preserve"> </w:t>
      </w:r>
      <w:r>
        <w:rPr>
          <w:rStyle w:val="rynqvb"/>
          <w:bCs/>
        </w:rPr>
        <w:t xml:space="preserve">do </w:t>
      </w:r>
      <w:r w:rsidRPr="004A5C88">
        <w:rPr>
          <w:rStyle w:val="rynqvb"/>
        </w:rPr>
        <w:t>osiągnięcia</w:t>
      </w:r>
      <w:r w:rsidRPr="00E35197">
        <w:rPr>
          <w:rStyle w:val="rynqvb"/>
          <w:bCs/>
        </w:rPr>
        <w:t xml:space="preserve"> latach 202</w:t>
      </w:r>
      <w:r>
        <w:rPr>
          <w:rStyle w:val="rynqvb"/>
          <w:bCs/>
        </w:rPr>
        <w:t>2</w:t>
      </w:r>
      <w:r w:rsidR="004B0F0A">
        <w:rPr>
          <w:rStyle w:val="rynqvb"/>
          <w:bCs/>
        </w:rPr>
        <w:t>–20</w:t>
      </w:r>
      <w:r w:rsidRPr="00E35197">
        <w:rPr>
          <w:rStyle w:val="rynqvb"/>
          <w:bCs/>
        </w:rPr>
        <w:t>30</w:t>
      </w:r>
      <w:r>
        <w:rPr>
          <w:rStyle w:val="rynqvb"/>
          <w:bCs/>
        </w:rPr>
        <w:t xml:space="preserve"> dla programu </w:t>
      </w:r>
      <w:r w:rsidRPr="00E35197">
        <w:rPr>
          <w:rStyle w:val="rynqvb"/>
          <w:bCs/>
        </w:rPr>
        <w:t>– roczne i skumulowane</w:t>
      </w:r>
      <w:r>
        <w:rPr>
          <w:rStyle w:val="rynqvb"/>
          <w:bCs/>
        </w:rPr>
        <w:t>.</w:t>
      </w:r>
    </w:p>
    <w:tbl>
      <w:tblPr>
        <w:tblpPr w:leftFromText="141" w:rightFromText="141" w:vertAnchor="text" w:horzAnchor="margin" w:tblpY="196"/>
        <w:tblW w:w="5020" w:type="pct"/>
        <w:tblCellMar>
          <w:left w:w="70" w:type="dxa"/>
          <w:right w:w="70" w:type="dxa"/>
        </w:tblCellMar>
        <w:tblLook w:val="04A0" w:firstRow="1" w:lastRow="0" w:firstColumn="1" w:lastColumn="0" w:noHBand="0" w:noVBand="1"/>
      </w:tblPr>
      <w:tblGrid>
        <w:gridCol w:w="1369"/>
        <w:gridCol w:w="614"/>
        <w:gridCol w:w="612"/>
        <w:gridCol w:w="612"/>
        <w:gridCol w:w="612"/>
        <w:gridCol w:w="612"/>
        <w:gridCol w:w="612"/>
        <w:gridCol w:w="610"/>
        <w:gridCol w:w="612"/>
        <w:gridCol w:w="612"/>
        <w:gridCol w:w="612"/>
        <w:gridCol w:w="1609"/>
      </w:tblGrid>
      <w:tr w:rsidR="00F34BD4" w:rsidRPr="00523F53" w14:paraId="1312D80D" w14:textId="77777777">
        <w:trPr>
          <w:trHeight w:val="297"/>
        </w:trPr>
        <w:tc>
          <w:tcPr>
            <w:tcW w:w="1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1149E" w14:textId="77777777" w:rsidR="00F34BD4" w:rsidRPr="00D94B5E" w:rsidRDefault="00F34BD4">
            <w:pPr>
              <w:spacing w:after="0"/>
              <w:jc w:val="center"/>
              <w:rPr>
                <w:color w:val="000000"/>
                <w:szCs w:val="20"/>
                <w:lang w:eastAsia="pl-PL"/>
              </w:rPr>
            </w:pPr>
            <w:r w:rsidRPr="00D94B5E">
              <w:rPr>
                <w:color w:val="000000"/>
                <w:szCs w:val="20"/>
                <w:lang w:eastAsia="pl-PL"/>
              </w:rPr>
              <w:t>Rok</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1BB0D521" w14:textId="77777777" w:rsidR="00F34BD4" w:rsidRPr="00D94B5E" w:rsidRDefault="00F34BD4">
            <w:pPr>
              <w:spacing w:after="0"/>
              <w:jc w:val="center"/>
              <w:rPr>
                <w:color w:val="000000"/>
                <w:szCs w:val="20"/>
                <w:lang w:eastAsia="pl-PL"/>
              </w:rPr>
            </w:pPr>
            <w:r w:rsidRPr="00D94B5E">
              <w:rPr>
                <w:color w:val="000000"/>
                <w:szCs w:val="20"/>
                <w:lang w:eastAsia="pl-PL"/>
              </w:rPr>
              <w:t>2021</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14:paraId="69ED23C2" w14:textId="77777777" w:rsidR="00F34BD4" w:rsidRPr="00D94B5E" w:rsidRDefault="00F34BD4">
            <w:pPr>
              <w:spacing w:after="0"/>
              <w:jc w:val="center"/>
              <w:rPr>
                <w:color w:val="000000"/>
                <w:szCs w:val="20"/>
                <w:lang w:eastAsia="pl-PL"/>
              </w:rPr>
            </w:pPr>
            <w:r w:rsidRPr="00D94B5E">
              <w:rPr>
                <w:color w:val="000000"/>
                <w:szCs w:val="20"/>
                <w:lang w:eastAsia="pl-PL"/>
              </w:rPr>
              <w:t>2022</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14:paraId="4981C256" w14:textId="77777777" w:rsidR="00F34BD4" w:rsidRPr="00D94B5E" w:rsidRDefault="00F34BD4">
            <w:pPr>
              <w:spacing w:after="0"/>
              <w:jc w:val="center"/>
              <w:rPr>
                <w:color w:val="000000"/>
                <w:szCs w:val="20"/>
                <w:lang w:eastAsia="pl-PL"/>
              </w:rPr>
            </w:pPr>
            <w:r w:rsidRPr="00D94B5E">
              <w:rPr>
                <w:color w:val="000000"/>
                <w:szCs w:val="20"/>
                <w:lang w:eastAsia="pl-PL"/>
              </w:rPr>
              <w:t>2023</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14:paraId="1209368F" w14:textId="77777777" w:rsidR="00F34BD4" w:rsidRPr="00D94B5E" w:rsidRDefault="00F34BD4">
            <w:pPr>
              <w:spacing w:after="0"/>
              <w:jc w:val="center"/>
              <w:rPr>
                <w:color w:val="000000"/>
                <w:szCs w:val="20"/>
                <w:lang w:eastAsia="pl-PL"/>
              </w:rPr>
            </w:pPr>
            <w:r w:rsidRPr="00D94B5E">
              <w:rPr>
                <w:color w:val="000000"/>
                <w:szCs w:val="20"/>
                <w:lang w:eastAsia="pl-PL"/>
              </w:rPr>
              <w:t>2024</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14:paraId="067ED336" w14:textId="77777777" w:rsidR="00F34BD4" w:rsidRPr="00D94B5E" w:rsidRDefault="00F34BD4">
            <w:pPr>
              <w:spacing w:after="0"/>
              <w:jc w:val="center"/>
              <w:rPr>
                <w:color w:val="000000"/>
                <w:szCs w:val="20"/>
                <w:lang w:eastAsia="pl-PL"/>
              </w:rPr>
            </w:pPr>
            <w:r w:rsidRPr="00D94B5E">
              <w:rPr>
                <w:color w:val="000000"/>
                <w:szCs w:val="20"/>
                <w:lang w:eastAsia="pl-PL"/>
              </w:rPr>
              <w:t>2025</w:t>
            </w:r>
          </w:p>
        </w:tc>
        <w:tc>
          <w:tcPr>
            <w:tcW w:w="612" w:type="dxa"/>
            <w:tcBorders>
              <w:top w:val="single" w:sz="4" w:space="0" w:color="auto"/>
              <w:left w:val="nil"/>
              <w:bottom w:val="single" w:sz="4" w:space="0" w:color="auto"/>
              <w:right w:val="single" w:sz="4" w:space="0" w:color="auto"/>
            </w:tcBorders>
            <w:shd w:val="clear" w:color="auto" w:fill="auto"/>
            <w:noWrap/>
            <w:vAlign w:val="center"/>
            <w:hideMark/>
          </w:tcPr>
          <w:p w14:paraId="4A796821" w14:textId="77777777" w:rsidR="00F34BD4" w:rsidRPr="00D94B5E" w:rsidRDefault="00F34BD4">
            <w:pPr>
              <w:spacing w:after="0"/>
              <w:jc w:val="center"/>
              <w:rPr>
                <w:color w:val="000000"/>
                <w:szCs w:val="20"/>
                <w:lang w:eastAsia="pl-PL"/>
              </w:rPr>
            </w:pPr>
            <w:r w:rsidRPr="00D94B5E">
              <w:rPr>
                <w:color w:val="000000"/>
                <w:szCs w:val="20"/>
                <w:lang w:eastAsia="pl-PL"/>
              </w:rPr>
              <w:t>2026</w:t>
            </w:r>
          </w:p>
        </w:tc>
        <w:tc>
          <w:tcPr>
            <w:tcW w:w="611" w:type="dxa"/>
            <w:tcBorders>
              <w:top w:val="single" w:sz="4" w:space="0" w:color="auto"/>
              <w:left w:val="single" w:sz="4" w:space="0" w:color="auto"/>
              <w:bottom w:val="single" w:sz="4" w:space="0" w:color="auto"/>
              <w:right w:val="single" w:sz="4" w:space="0" w:color="auto"/>
            </w:tcBorders>
            <w:vAlign w:val="center"/>
          </w:tcPr>
          <w:p w14:paraId="2E9C8598" w14:textId="77777777" w:rsidR="00F34BD4" w:rsidRPr="00D94B5E" w:rsidRDefault="00F34BD4">
            <w:pPr>
              <w:spacing w:after="0"/>
              <w:jc w:val="center"/>
              <w:rPr>
                <w:color w:val="000000"/>
                <w:szCs w:val="20"/>
                <w:lang w:eastAsia="pl-PL"/>
              </w:rPr>
            </w:pPr>
            <w:r w:rsidRPr="00D94B5E">
              <w:rPr>
                <w:color w:val="000000"/>
                <w:szCs w:val="20"/>
                <w:lang w:eastAsia="pl-PL"/>
              </w:rPr>
              <w:t>2027</w:t>
            </w:r>
          </w:p>
        </w:tc>
        <w:tc>
          <w:tcPr>
            <w:tcW w:w="612" w:type="dxa"/>
            <w:tcBorders>
              <w:top w:val="single" w:sz="4" w:space="0" w:color="auto"/>
              <w:left w:val="single" w:sz="4" w:space="0" w:color="auto"/>
              <w:bottom w:val="single" w:sz="4" w:space="0" w:color="auto"/>
              <w:right w:val="single" w:sz="4" w:space="0" w:color="auto"/>
            </w:tcBorders>
            <w:vAlign w:val="center"/>
          </w:tcPr>
          <w:p w14:paraId="45BDD642" w14:textId="77777777" w:rsidR="00F34BD4" w:rsidRPr="00D94B5E" w:rsidRDefault="00F34BD4">
            <w:pPr>
              <w:spacing w:after="0"/>
              <w:jc w:val="center"/>
              <w:rPr>
                <w:color w:val="000000"/>
                <w:szCs w:val="20"/>
                <w:lang w:eastAsia="pl-PL"/>
              </w:rPr>
            </w:pPr>
            <w:r w:rsidRPr="00D94B5E">
              <w:rPr>
                <w:color w:val="000000"/>
                <w:szCs w:val="20"/>
                <w:lang w:eastAsia="pl-PL"/>
              </w:rPr>
              <w:t>2028</w:t>
            </w:r>
          </w:p>
        </w:tc>
        <w:tc>
          <w:tcPr>
            <w:tcW w:w="612" w:type="dxa"/>
            <w:tcBorders>
              <w:top w:val="single" w:sz="4" w:space="0" w:color="auto"/>
              <w:left w:val="single" w:sz="4" w:space="0" w:color="auto"/>
              <w:bottom w:val="single" w:sz="4" w:space="0" w:color="auto"/>
              <w:right w:val="single" w:sz="4" w:space="0" w:color="auto"/>
            </w:tcBorders>
            <w:vAlign w:val="center"/>
          </w:tcPr>
          <w:p w14:paraId="1ED18B1A" w14:textId="77777777" w:rsidR="00F34BD4" w:rsidRPr="00D94B5E" w:rsidRDefault="00F34BD4">
            <w:pPr>
              <w:spacing w:after="0"/>
              <w:jc w:val="center"/>
              <w:rPr>
                <w:color w:val="000000"/>
                <w:szCs w:val="20"/>
                <w:lang w:eastAsia="pl-PL"/>
              </w:rPr>
            </w:pPr>
            <w:r w:rsidRPr="00D94B5E">
              <w:rPr>
                <w:color w:val="000000"/>
                <w:szCs w:val="20"/>
                <w:lang w:eastAsia="pl-PL"/>
              </w:rPr>
              <w:t>2029</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23837" w14:textId="77777777" w:rsidR="00F34BD4" w:rsidRPr="00D94B5E" w:rsidRDefault="00F34BD4">
            <w:pPr>
              <w:spacing w:after="0"/>
              <w:jc w:val="center"/>
              <w:rPr>
                <w:color w:val="000000"/>
                <w:szCs w:val="20"/>
                <w:lang w:eastAsia="pl-PL"/>
              </w:rPr>
            </w:pPr>
            <w:r w:rsidRPr="00D94B5E">
              <w:rPr>
                <w:color w:val="000000"/>
                <w:szCs w:val="20"/>
                <w:lang w:eastAsia="pl-PL"/>
              </w:rPr>
              <w:t>2030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372AC" w14:textId="77777777" w:rsidR="00F34BD4" w:rsidRPr="00D94B5E" w:rsidRDefault="00F34BD4">
            <w:pPr>
              <w:spacing w:after="0"/>
              <w:jc w:val="center"/>
              <w:rPr>
                <w:color w:val="000000"/>
                <w:szCs w:val="20"/>
                <w:lang w:eastAsia="pl-PL"/>
              </w:rPr>
            </w:pPr>
          </w:p>
        </w:tc>
      </w:tr>
      <w:tr w:rsidR="00F34BD4" w:rsidRPr="00523F53" w14:paraId="2FEE1D4B" w14:textId="77777777">
        <w:trPr>
          <w:trHeight w:val="297"/>
        </w:trPr>
        <w:tc>
          <w:tcPr>
            <w:tcW w:w="1369" w:type="dxa"/>
            <w:vMerge w:val="restart"/>
            <w:tcBorders>
              <w:top w:val="nil"/>
              <w:left w:val="single" w:sz="4" w:space="0" w:color="auto"/>
              <w:right w:val="single" w:sz="4" w:space="0" w:color="auto"/>
            </w:tcBorders>
            <w:shd w:val="clear" w:color="auto" w:fill="auto"/>
            <w:vAlign w:val="center"/>
            <w:hideMark/>
          </w:tcPr>
          <w:p w14:paraId="54F71A9A" w14:textId="77777777" w:rsidR="00F34BD4" w:rsidRPr="00D94B5E" w:rsidRDefault="00F34BD4">
            <w:pPr>
              <w:spacing w:after="0"/>
              <w:jc w:val="center"/>
              <w:rPr>
                <w:color w:val="000000"/>
                <w:szCs w:val="20"/>
                <w:lang w:eastAsia="pl-PL"/>
              </w:rPr>
            </w:pPr>
            <w:r w:rsidRPr="00D94B5E">
              <w:rPr>
                <w:color w:val="000000"/>
                <w:szCs w:val="20"/>
                <w:lang w:eastAsia="pl-PL"/>
              </w:rPr>
              <w:t>Oszczędności końcowego zużycia energii (ktoe)</w:t>
            </w:r>
            <w:r w:rsidRPr="00D94B5E" w:rsidDel="008E67E9">
              <w:rPr>
                <w:color w:val="000000"/>
                <w:szCs w:val="20"/>
                <w:lang w:eastAsia="pl-PL"/>
              </w:rPr>
              <w:t xml:space="preserve"> </w:t>
            </w:r>
          </w:p>
        </w:tc>
        <w:tc>
          <w:tcPr>
            <w:tcW w:w="614" w:type="dxa"/>
            <w:tcBorders>
              <w:top w:val="nil"/>
              <w:left w:val="nil"/>
              <w:bottom w:val="single" w:sz="4" w:space="0" w:color="auto"/>
              <w:right w:val="single" w:sz="4" w:space="0" w:color="auto"/>
            </w:tcBorders>
            <w:shd w:val="clear" w:color="auto" w:fill="auto"/>
            <w:noWrap/>
            <w:vAlign w:val="center"/>
          </w:tcPr>
          <w:p w14:paraId="26C46269"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57000F2A"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3852A0DD"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54F2199F"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66CDD2B5"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011963D1" w14:textId="77777777" w:rsidR="00F34BD4" w:rsidRPr="00D94B5E" w:rsidRDefault="00F34BD4">
            <w:pPr>
              <w:spacing w:after="0"/>
              <w:jc w:val="center"/>
              <w:rPr>
                <w:color w:val="000000"/>
                <w:szCs w:val="20"/>
                <w:lang w:eastAsia="pl-PL"/>
              </w:rPr>
            </w:pPr>
          </w:p>
        </w:tc>
        <w:tc>
          <w:tcPr>
            <w:tcW w:w="611" w:type="dxa"/>
            <w:tcBorders>
              <w:top w:val="single" w:sz="4" w:space="0" w:color="auto"/>
              <w:left w:val="single" w:sz="4" w:space="0" w:color="auto"/>
              <w:bottom w:val="single" w:sz="4" w:space="0" w:color="auto"/>
              <w:right w:val="single" w:sz="4" w:space="0" w:color="auto"/>
            </w:tcBorders>
            <w:vAlign w:val="center"/>
          </w:tcPr>
          <w:p w14:paraId="4616F848" w14:textId="77777777" w:rsidR="00F34BD4" w:rsidRPr="00D94B5E" w:rsidRDefault="00F34BD4">
            <w:pPr>
              <w:spacing w:after="0"/>
              <w:jc w:val="center"/>
              <w:rPr>
                <w:color w:val="000000"/>
                <w:szCs w:val="20"/>
                <w:lang w:eastAsia="pl-PL"/>
              </w:rPr>
            </w:pPr>
          </w:p>
        </w:tc>
        <w:tc>
          <w:tcPr>
            <w:tcW w:w="612" w:type="dxa"/>
            <w:tcBorders>
              <w:top w:val="single" w:sz="4" w:space="0" w:color="auto"/>
              <w:left w:val="single" w:sz="4" w:space="0" w:color="auto"/>
              <w:bottom w:val="single" w:sz="4" w:space="0" w:color="auto"/>
              <w:right w:val="single" w:sz="4" w:space="0" w:color="auto"/>
            </w:tcBorders>
            <w:vAlign w:val="center"/>
          </w:tcPr>
          <w:p w14:paraId="7A3FB433" w14:textId="77777777" w:rsidR="00F34BD4" w:rsidRPr="00D94B5E" w:rsidRDefault="00F34BD4">
            <w:pPr>
              <w:spacing w:after="0"/>
              <w:jc w:val="center"/>
              <w:rPr>
                <w:color w:val="000000"/>
                <w:szCs w:val="20"/>
                <w:lang w:eastAsia="pl-PL"/>
              </w:rPr>
            </w:pPr>
          </w:p>
        </w:tc>
        <w:tc>
          <w:tcPr>
            <w:tcW w:w="612" w:type="dxa"/>
            <w:tcBorders>
              <w:top w:val="single" w:sz="4" w:space="0" w:color="auto"/>
              <w:left w:val="single" w:sz="4" w:space="0" w:color="auto"/>
              <w:bottom w:val="single" w:sz="4" w:space="0" w:color="auto"/>
              <w:right w:val="single" w:sz="4" w:space="0" w:color="auto"/>
            </w:tcBorders>
            <w:vAlign w:val="center"/>
          </w:tcPr>
          <w:p w14:paraId="78F11038" w14:textId="77777777" w:rsidR="00F34BD4" w:rsidRPr="00D94B5E" w:rsidRDefault="00F34BD4">
            <w:pPr>
              <w:spacing w:after="0"/>
              <w:jc w:val="center"/>
              <w:rPr>
                <w:color w:val="000000"/>
                <w:szCs w:val="20"/>
                <w:lang w:eastAsia="pl-PL"/>
              </w:rPr>
            </w:pP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530832BF"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1609" w:type="dxa"/>
            <w:vMerge w:val="restart"/>
            <w:tcBorders>
              <w:top w:val="nil"/>
              <w:left w:val="single" w:sz="4" w:space="0" w:color="auto"/>
              <w:right w:val="single" w:sz="4" w:space="0" w:color="auto"/>
            </w:tcBorders>
            <w:shd w:val="clear" w:color="auto" w:fill="auto"/>
            <w:vAlign w:val="center"/>
            <w:hideMark/>
          </w:tcPr>
          <w:p w14:paraId="7C8FB3B5" w14:textId="77777777" w:rsidR="00F34BD4" w:rsidRPr="00D94B5E" w:rsidRDefault="00F34BD4">
            <w:pPr>
              <w:spacing w:after="0"/>
              <w:jc w:val="center"/>
              <w:rPr>
                <w:color w:val="000000"/>
                <w:szCs w:val="20"/>
                <w:lang w:eastAsia="pl-PL"/>
              </w:rPr>
            </w:pPr>
            <w:r>
              <w:rPr>
                <w:color w:val="000000"/>
                <w:szCs w:val="20"/>
                <w:lang w:eastAsia="pl-PL"/>
              </w:rPr>
              <w:t>Ca</w:t>
            </w:r>
            <w:r>
              <w:rPr>
                <w:color w:val="000000"/>
                <w:lang w:eastAsia="pl-PL"/>
              </w:rPr>
              <w:t>łkowite skumulowane</w:t>
            </w:r>
            <w:r w:rsidRPr="00D94B5E">
              <w:rPr>
                <w:color w:val="000000"/>
                <w:szCs w:val="20"/>
                <w:lang w:eastAsia="pl-PL"/>
              </w:rPr>
              <w:t xml:space="preserve"> oszczędności końcowego zużycia energii (do 2030)</w:t>
            </w:r>
          </w:p>
        </w:tc>
      </w:tr>
      <w:tr w:rsidR="00F34BD4" w:rsidRPr="00523F53" w14:paraId="59C3A5C1" w14:textId="77777777">
        <w:trPr>
          <w:trHeight w:val="297"/>
        </w:trPr>
        <w:tc>
          <w:tcPr>
            <w:tcW w:w="1369" w:type="dxa"/>
            <w:vMerge/>
            <w:tcBorders>
              <w:left w:val="single" w:sz="4" w:space="0" w:color="auto"/>
              <w:right w:val="single" w:sz="4" w:space="0" w:color="auto"/>
            </w:tcBorders>
            <w:shd w:val="clear" w:color="auto" w:fill="auto"/>
            <w:vAlign w:val="center"/>
            <w:hideMark/>
          </w:tcPr>
          <w:p w14:paraId="5CE68782" w14:textId="77777777" w:rsidR="00F34BD4" w:rsidRPr="00D94B5E" w:rsidRDefault="00F34BD4">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12E96816"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1F4AD003"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141AC987"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62B1E9A0"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5E5C980F"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214257BC" w14:textId="77777777" w:rsidR="00F34BD4" w:rsidRPr="00D94B5E" w:rsidRDefault="00F34BD4">
            <w:pPr>
              <w:spacing w:after="0"/>
              <w:jc w:val="center"/>
              <w:rPr>
                <w:color w:val="000000"/>
                <w:szCs w:val="20"/>
                <w:lang w:eastAsia="pl-PL"/>
              </w:rPr>
            </w:pPr>
          </w:p>
        </w:tc>
        <w:tc>
          <w:tcPr>
            <w:tcW w:w="611" w:type="dxa"/>
            <w:tcBorders>
              <w:top w:val="single" w:sz="4" w:space="0" w:color="auto"/>
              <w:left w:val="single" w:sz="4" w:space="0" w:color="auto"/>
              <w:bottom w:val="single" w:sz="4" w:space="0" w:color="auto"/>
              <w:right w:val="single" w:sz="4" w:space="0" w:color="auto"/>
            </w:tcBorders>
            <w:vAlign w:val="center"/>
          </w:tcPr>
          <w:p w14:paraId="092C8A70" w14:textId="77777777" w:rsidR="00F34BD4" w:rsidRPr="00D94B5E" w:rsidRDefault="00F34BD4">
            <w:pPr>
              <w:spacing w:after="0"/>
              <w:jc w:val="center"/>
              <w:rPr>
                <w:color w:val="000000"/>
                <w:szCs w:val="20"/>
                <w:lang w:eastAsia="pl-PL"/>
              </w:rPr>
            </w:pPr>
          </w:p>
        </w:tc>
        <w:tc>
          <w:tcPr>
            <w:tcW w:w="612" w:type="dxa"/>
            <w:tcBorders>
              <w:top w:val="single" w:sz="4" w:space="0" w:color="auto"/>
              <w:left w:val="single" w:sz="4" w:space="0" w:color="auto"/>
              <w:bottom w:val="single" w:sz="4" w:space="0" w:color="auto"/>
              <w:right w:val="single" w:sz="4" w:space="0" w:color="auto"/>
            </w:tcBorders>
          </w:tcPr>
          <w:p w14:paraId="0CC79493" w14:textId="77777777" w:rsidR="00F34BD4" w:rsidRPr="00D94B5E" w:rsidRDefault="00F34BD4">
            <w:pPr>
              <w:spacing w:after="0"/>
              <w:jc w:val="center"/>
              <w:rPr>
                <w:color w:val="000000"/>
                <w:szCs w:val="20"/>
                <w:lang w:eastAsia="pl-PL"/>
              </w:rPr>
            </w:pPr>
          </w:p>
        </w:tc>
        <w:tc>
          <w:tcPr>
            <w:tcW w:w="612" w:type="dxa"/>
            <w:tcBorders>
              <w:top w:val="single" w:sz="4" w:space="0" w:color="auto"/>
              <w:left w:val="single" w:sz="4" w:space="0" w:color="auto"/>
              <w:bottom w:val="single" w:sz="4" w:space="0" w:color="auto"/>
              <w:right w:val="single" w:sz="4" w:space="0" w:color="auto"/>
            </w:tcBorders>
          </w:tcPr>
          <w:p w14:paraId="5F9B937B"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6E75CBD8"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shd w:val="clear" w:color="auto" w:fill="auto"/>
            <w:vAlign w:val="center"/>
            <w:hideMark/>
          </w:tcPr>
          <w:p w14:paraId="381A0878" w14:textId="77777777" w:rsidR="00F34BD4" w:rsidRPr="00D94B5E" w:rsidRDefault="00F34BD4">
            <w:pPr>
              <w:spacing w:after="0"/>
              <w:jc w:val="center"/>
              <w:rPr>
                <w:color w:val="000000"/>
                <w:szCs w:val="20"/>
                <w:lang w:eastAsia="pl-PL"/>
              </w:rPr>
            </w:pPr>
          </w:p>
        </w:tc>
      </w:tr>
      <w:tr w:rsidR="00F34BD4" w:rsidRPr="00523F53" w14:paraId="4C968F8F" w14:textId="77777777">
        <w:trPr>
          <w:trHeight w:val="297"/>
        </w:trPr>
        <w:tc>
          <w:tcPr>
            <w:tcW w:w="1369" w:type="dxa"/>
            <w:vMerge/>
            <w:tcBorders>
              <w:left w:val="single" w:sz="4" w:space="0" w:color="auto"/>
              <w:right w:val="single" w:sz="4" w:space="0" w:color="auto"/>
            </w:tcBorders>
            <w:shd w:val="clear" w:color="auto" w:fill="auto"/>
            <w:vAlign w:val="center"/>
            <w:hideMark/>
          </w:tcPr>
          <w:p w14:paraId="41BAC5DD" w14:textId="77777777" w:rsidR="00F34BD4" w:rsidRPr="00D94B5E" w:rsidRDefault="00F34BD4">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35458694"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4748A6B2"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492FC6B7"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48E74255"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6AE88746"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759A84CF" w14:textId="77777777" w:rsidR="00F34BD4" w:rsidRPr="00D94B5E" w:rsidRDefault="00F34BD4">
            <w:pPr>
              <w:spacing w:after="0"/>
              <w:jc w:val="center"/>
              <w:rPr>
                <w:color w:val="000000"/>
                <w:szCs w:val="20"/>
                <w:lang w:eastAsia="pl-PL"/>
              </w:rPr>
            </w:pPr>
          </w:p>
        </w:tc>
        <w:tc>
          <w:tcPr>
            <w:tcW w:w="611" w:type="dxa"/>
            <w:tcBorders>
              <w:top w:val="single" w:sz="4" w:space="0" w:color="auto"/>
              <w:left w:val="single" w:sz="4" w:space="0" w:color="auto"/>
              <w:bottom w:val="single" w:sz="4" w:space="0" w:color="auto"/>
              <w:right w:val="single" w:sz="4" w:space="0" w:color="auto"/>
            </w:tcBorders>
            <w:vAlign w:val="center"/>
          </w:tcPr>
          <w:p w14:paraId="43E5E71E" w14:textId="77777777" w:rsidR="00F34BD4" w:rsidRPr="00D94B5E" w:rsidRDefault="00F34BD4">
            <w:pPr>
              <w:spacing w:after="0"/>
              <w:jc w:val="center"/>
              <w:rPr>
                <w:color w:val="000000"/>
                <w:szCs w:val="20"/>
                <w:lang w:eastAsia="pl-PL"/>
              </w:rPr>
            </w:pPr>
          </w:p>
        </w:tc>
        <w:tc>
          <w:tcPr>
            <w:tcW w:w="612" w:type="dxa"/>
            <w:tcBorders>
              <w:top w:val="single" w:sz="4" w:space="0" w:color="auto"/>
              <w:left w:val="single" w:sz="4" w:space="0" w:color="auto"/>
              <w:bottom w:val="single" w:sz="4" w:space="0" w:color="auto"/>
              <w:right w:val="single" w:sz="4" w:space="0" w:color="auto"/>
            </w:tcBorders>
          </w:tcPr>
          <w:p w14:paraId="65E055B8"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6A455C4B"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01F28B08"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shd w:val="clear" w:color="auto" w:fill="auto"/>
            <w:vAlign w:val="center"/>
            <w:hideMark/>
          </w:tcPr>
          <w:p w14:paraId="50CC66F4" w14:textId="77777777" w:rsidR="00F34BD4" w:rsidRPr="00D94B5E" w:rsidRDefault="00F34BD4">
            <w:pPr>
              <w:spacing w:after="0"/>
              <w:jc w:val="center"/>
              <w:rPr>
                <w:color w:val="000000"/>
                <w:szCs w:val="20"/>
                <w:lang w:eastAsia="pl-PL"/>
              </w:rPr>
            </w:pPr>
          </w:p>
        </w:tc>
      </w:tr>
      <w:tr w:rsidR="00F34BD4" w:rsidRPr="00523F53" w14:paraId="3A6B73BF" w14:textId="77777777">
        <w:trPr>
          <w:trHeight w:val="297"/>
        </w:trPr>
        <w:tc>
          <w:tcPr>
            <w:tcW w:w="1369" w:type="dxa"/>
            <w:vMerge/>
            <w:tcBorders>
              <w:left w:val="single" w:sz="4" w:space="0" w:color="auto"/>
              <w:right w:val="single" w:sz="4" w:space="0" w:color="auto"/>
            </w:tcBorders>
            <w:vAlign w:val="center"/>
            <w:hideMark/>
          </w:tcPr>
          <w:p w14:paraId="470E4787" w14:textId="77777777" w:rsidR="00F34BD4" w:rsidRPr="00D94B5E" w:rsidRDefault="00F34BD4">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09DAD313"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2AE028E4"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748D7403"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71A89857"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6BE9282E"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6AB7602C" w14:textId="77777777" w:rsidR="00F34BD4" w:rsidRPr="00D94B5E" w:rsidRDefault="00F34BD4">
            <w:pPr>
              <w:spacing w:after="0"/>
              <w:jc w:val="center"/>
              <w:rPr>
                <w:color w:val="000000"/>
                <w:szCs w:val="20"/>
                <w:lang w:eastAsia="pl-PL"/>
              </w:rPr>
            </w:pPr>
          </w:p>
        </w:tc>
        <w:tc>
          <w:tcPr>
            <w:tcW w:w="611" w:type="dxa"/>
            <w:tcBorders>
              <w:top w:val="single" w:sz="4" w:space="0" w:color="auto"/>
              <w:left w:val="single" w:sz="4" w:space="0" w:color="auto"/>
              <w:bottom w:val="single" w:sz="4" w:space="0" w:color="auto"/>
              <w:right w:val="single" w:sz="4" w:space="0" w:color="auto"/>
            </w:tcBorders>
          </w:tcPr>
          <w:p w14:paraId="17F174BE"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2518610F"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33505398"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2BA3AB36"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shd w:val="clear" w:color="auto" w:fill="auto"/>
            <w:vAlign w:val="center"/>
            <w:hideMark/>
          </w:tcPr>
          <w:p w14:paraId="40EC0AE9" w14:textId="77777777" w:rsidR="00F34BD4" w:rsidRPr="00D94B5E" w:rsidRDefault="00F34BD4">
            <w:pPr>
              <w:spacing w:after="0"/>
              <w:jc w:val="center"/>
              <w:rPr>
                <w:color w:val="000000"/>
                <w:szCs w:val="20"/>
                <w:lang w:eastAsia="pl-PL"/>
              </w:rPr>
            </w:pPr>
          </w:p>
        </w:tc>
      </w:tr>
      <w:tr w:rsidR="00F34BD4" w:rsidRPr="00523F53" w14:paraId="2F88E5E1" w14:textId="77777777">
        <w:trPr>
          <w:trHeight w:val="297"/>
        </w:trPr>
        <w:tc>
          <w:tcPr>
            <w:tcW w:w="1369" w:type="dxa"/>
            <w:vMerge/>
            <w:tcBorders>
              <w:left w:val="single" w:sz="4" w:space="0" w:color="auto"/>
              <w:right w:val="single" w:sz="4" w:space="0" w:color="auto"/>
            </w:tcBorders>
            <w:vAlign w:val="center"/>
            <w:hideMark/>
          </w:tcPr>
          <w:p w14:paraId="47443DD4" w14:textId="77777777" w:rsidR="00F34BD4" w:rsidRPr="00D94B5E" w:rsidRDefault="00F34BD4">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2004C6E2"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724E8FE9"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4AF3C63E"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bottom"/>
          </w:tcPr>
          <w:p w14:paraId="0509283F"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4B59A5B2"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tcPr>
          <w:p w14:paraId="493668F7"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1" w:type="dxa"/>
            <w:tcBorders>
              <w:top w:val="single" w:sz="4" w:space="0" w:color="auto"/>
              <w:left w:val="single" w:sz="4" w:space="0" w:color="auto"/>
              <w:bottom w:val="single" w:sz="4" w:space="0" w:color="auto"/>
              <w:right w:val="single" w:sz="4" w:space="0" w:color="auto"/>
            </w:tcBorders>
          </w:tcPr>
          <w:p w14:paraId="4765BAA0"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24B55F5F"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5D1891C8"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129D906F"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vAlign w:val="center"/>
            <w:hideMark/>
          </w:tcPr>
          <w:p w14:paraId="41BA9F95" w14:textId="77777777" w:rsidR="00F34BD4" w:rsidRPr="00D94B5E" w:rsidRDefault="00F34BD4">
            <w:pPr>
              <w:spacing w:after="0"/>
              <w:jc w:val="center"/>
              <w:rPr>
                <w:color w:val="000000"/>
                <w:szCs w:val="20"/>
                <w:lang w:eastAsia="pl-PL"/>
              </w:rPr>
            </w:pPr>
          </w:p>
        </w:tc>
      </w:tr>
      <w:tr w:rsidR="00F34BD4" w:rsidRPr="00523F53" w14:paraId="2718FC6E" w14:textId="77777777">
        <w:trPr>
          <w:trHeight w:val="297"/>
        </w:trPr>
        <w:tc>
          <w:tcPr>
            <w:tcW w:w="1369" w:type="dxa"/>
            <w:vMerge/>
            <w:tcBorders>
              <w:left w:val="single" w:sz="4" w:space="0" w:color="auto"/>
              <w:right w:val="single" w:sz="4" w:space="0" w:color="auto"/>
            </w:tcBorders>
            <w:vAlign w:val="center"/>
            <w:hideMark/>
          </w:tcPr>
          <w:p w14:paraId="31E7BEE8" w14:textId="77777777" w:rsidR="00F34BD4" w:rsidRPr="00D94B5E" w:rsidRDefault="00F34BD4">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22939FC7"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14655270"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0E184E8F"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558A7C72"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tcPr>
          <w:p w14:paraId="3CD4F99B"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51788121"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1" w:type="dxa"/>
            <w:tcBorders>
              <w:top w:val="single" w:sz="4" w:space="0" w:color="auto"/>
              <w:left w:val="single" w:sz="4" w:space="0" w:color="auto"/>
              <w:bottom w:val="single" w:sz="4" w:space="0" w:color="auto"/>
              <w:right w:val="single" w:sz="4" w:space="0" w:color="auto"/>
            </w:tcBorders>
          </w:tcPr>
          <w:p w14:paraId="16FEB651"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44A50769"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0A1A13A6"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25708C3E"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shd w:val="clear" w:color="auto" w:fill="auto"/>
            <w:vAlign w:val="center"/>
            <w:hideMark/>
          </w:tcPr>
          <w:p w14:paraId="69C0DE31" w14:textId="77777777" w:rsidR="00F34BD4" w:rsidRPr="00D94B5E" w:rsidRDefault="00F34BD4">
            <w:pPr>
              <w:spacing w:after="0"/>
              <w:jc w:val="center"/>
              <w:rPr>
                <w:color w:val="000000"/>
                <w:szCs w:val="20"/>
                <w:lang w:eastAsia="pl-PL"/>
              </w:rPr>
            </w:pPr>
          </w:p>
        </w:tc>
      </w:tr>
      <w:tr w:rsidR="00F34BD4" w:rsidRPr="00523F53" w14:paraId="0BA24A50" w14:textId="77777777">
        <w:trPr>
          <w:trHeight w:val="297"/>
        </w:trPr>
        <w:tc>
          <w:tcPr>
            <w:tcW w:w="1369" w:type="dxa"/>
            <w:vMerge/>
            <w:tcBorders>
              <w:left w:val="single" w:sz="4" w:space="0" w:color="auto"/>
              <w:right w:val="single" w:sz="4" w:space="0" w:color="auto"/>
            </w:tcBorders>
            <w:vAlign w:val="center"/>
            <w:hideMark/>
          </w:tcPr>
          <w:p w14:paraId="0498E0C1" w14:textId="77777777" w:rsidR="00F34BD4" w:rsidRPr="00D94B5E" w:rsidRDefault="00F34BD4">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77F308F4"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41AB655D"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vAlign w:val="center"/>
          </w:tcPr>
          <w:p w14:paraId="675C69D7"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tcPr>
          <w:p w14:paraId="5F553AC4"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63BC4CFD"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49E2734E"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1" w:type="dxa"/>
            <w:tcBorders>
              <w:top w:val="single" w:sz="4" w:space="0" w:color="auto"/>
              <w:left w:val="single" w:sz="4" w:space="0" w:color="auto"/>
              <w:bottom w:val="single" w:sz="4" w:space="0" w:color="auto"/>
              <w:right w:val="single" w:sz="4" w:space="0" w:color="auto"/>
            </w:tcBorders>
          </w:tcPr>
          <w:p w14:paraId="0F6E58AC"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174C7017"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6A74DF45"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20A64DC2"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vAlign w:val="center"/>
            <w:hideMark/>
          </w:tcPr>
          <w:p w14:paraId="2701D056" w14:textId="77777777" w:rsidR="00F34BD4" w:rsidRPr="00D94B5E" w:rsidRDefault="00F34BD4">
            <w:pPr>
              <w:spacing w:after="0"/>
              <w:jc w:val="center"/>
              <w:rPr>
                <w:color w:val="000000"/>
                <w:szCs w:val="20"/>
                <w:lang w:eastAsia="pl-PL"/>
              </w:rPr>
            </w:pPr>
          </w:p>
        </w:tc>
      </w:tr>
      <w:tr w:rsidR="00F34BD4" w:rsidRPr="00523F53" w14:paraId="3721715B" w14:textId="77777777">
        <w:trPr>
          <w:trHeight w:val="297"/>
        </w:trPr>
        <w:tc>
          <w:tcPr>
            <w:tcW w:w="1369" w:type="dxa"/>
            <w:vMerge/>
            <w:tcBorders>
              <w:left w:val="single" w:sz="4" w:space="0" w:color="auto"/>
              <w:right w:val="single" w:sz="4" w:space="0" w:color="auto"/>
            </w:tcBorders>
            <w:vAlign w:val="center"/>
          </w:tcPr>
          <w:p w14:paraId="6C099515" w14:textId="77777777" w:rsidR="00F34BD4" w:rsidRPr="00D94B5E" w:rsidRDefault="00F34BD4">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46A94568"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66D88D82" w14:textId="77777777" w:rsidR="00F34BD4" w:rsidRPr="00D94B5E" w:rsidRDefault="00F34BD4">
            <w:pPr>
              <w:spacing w:after="0"/>
              <w:jc w:val="center"/>
              <w:rPr>
                <w:color w:val="000000"/>
                <w:szCs w:val="20"/>
                <w:lang w:eastAsia="pl-PL"/>
              </w:rPr>
            </w:pPr>
          </w:p>
        </w:tc>
        <w:tc>
          <w:tcPr>
            <w:tcW w:w="612" w:type="dxa"/>
            <w:tcBorders>
              <w:top w:val="nil"/>
              <w:left w:val="nil"/>
              <w:bottom w:val="single" w:sz="4" w:space="0" w:color="auto"/>
              <w:right w:val="single" w:sz="4" w:space="0" w:color="auto"/>
            </w:tcBorders>
            <w:shd w:val="clear" w:color="auto" w:fill="auto"/>
            <w:noWrap/>
          </w:tcPr>
          <w:p w14:paraId="1CB98F31"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15B711E9"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2B36D995"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7245FCF9"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1" w:type="dxa"/>
            <w:tcBorders>
              <w:top w:val="single" w:sz="4" w:space="0" w:color="auto"/>
              <w:left w:val="single" w:sz="4" w:space="0" w:color="auto"/>
              <w:bottom w:val="single" w:sz="4" w:space="0" w:color="auto"/>
              <w:right w:val="single" w:sz="4" w:space="0" w:color="auto"/>
            </w:tcBorders>
          </w:tcPr>
          <w:p w14:paraId="0206C01E"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5804E27D"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4E71B9F7"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7BF8206E"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vAlign w:val="center"/>
          </w:tcPr>
          <w:p w14:paraId="790104C8" w14:textId="77777777" w:rsidR="00F34BD4" w:rsidRPr="00D94B5E" w:rsidRDefault="00F34BD4">
            <w:pPr>
              <w:spacing w:after="0"/>
              <w:jc w:val="center"/>
              <w:rPr>
                <w:color w:val="000000"/>
                <w:szCs w:val="20"/>
                <w:lang w:eastAsia="pl-PL"/>
              </w:rPr>
            </w:pPr>
          </w:p>
        </w:tc>
      </w:tr>
      <w:tr w:rsidR="00F34BD4" w:rsidRPr="00523F53" w14:paraId="1DD8B069" w14:textId="77777777">
        <w:trPr>
          <w:trHeight w:val="297"/>
        </w:trPr>
        <w:tc>
          <w:tcPr>
            <w:tcW w:w="1369" w:type="dxa"/>
            <w:vMerge/>
            <w:tcBorders>
              <w:left w:val="single" w:sz="4" w:space="0" w:color="auto"/>
              <w:right w:val="single" w:sz="4" w:space="0" w:color="auto"/>
            </w:tcBorders>
            <w:vAlign w:val="center"/>
          </w:tcPr>
          <w:p w14:paraId="19067DE9" w14:textId="77777777" w:rsidR="00F34BD4" w:rsidRPr="00D94B5E" w:rsidRDefault="00F34BD4">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291922EC" w14:textId="77777777" w:rsidR="00F34BD4" w:rsidRPr="00D94B5E" w:rsidRDefault="00F34BD4">
            <w:pPr>
              <w:spacing w:after="0"/>
              <w:jc w:val="center"/>
              <w:rPr>
                <w:color w:val="000000"/>
                <w:szCs w:val="20"/>
                <w:lang w:eastAsia="pl-PL"/>
              </w:rPr>
            </w:pPr>
            <w:r w:rsidRPr="00D94B5E">
              <w:rPr>
                <w:rFonts w:cs="Calibri"/>
                <w:color w:val="000000"/>
                <w:szCs w:val="20"/>
              </w:rPr>
              <w:t> </w:t>
            </w:r>
          </w:p>
        </w:tc>
        <w:tc>
          <w:tcPr>
            <w:tcW w:w="612" w:type="dxa"/>
            <w:tcBorders>
              <w:top w:val="nil"/>
              <w:left w:val="nil"/>
              <w:bottom w:val="single" w:sz="4" w:space="0" w:color="auto"/>
              <w:right w:val="single" w:sz="4" w:space="0" w:color="auto"/>
            </w:tcBorders>
            <w:shd w:val="clear" w:color="auto" w:fill="auto"/>
            <w:noWrap/>
            <w:vAlign w:val="center"/>
          </w:tcPr>
          <w:p w14:paraId="445D71F4"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4FE97CA6"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4B5FD26E"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3618B5E8"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nil"/>
              <w:left w:val="nil"/>
              <w:bottom w:val="single" w:sz="4" w:space="0" w:color="auto"/>
              <w:right w:val="single" w:sz="4" w:space="0" w:color="auto"/>
            </w:tcBorders>
            <w:shd w:val="clear" w:color="auto" w:fill="auto"/>
            <w:noWrap/>
          </w:tcPr>
          <w:p w14:paraId="6D0746FE"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1" w:type="dxa"/>
            <w:tcBorders>
              <w:top w:val="single" w:sz="4" w:space="0" w:color="auto"/>
              <w:left w:val="single" w:sz="4" w:space="0" w:color="auto"/>
              <w:bottom w:val="single" w:sz="4" w:space="0" w:color="auto"/>
              <w:right w:val="single" w:sz="4" w:space="0" w:color="auto"/>
            </w:tcBorders>
          </w:tcPr>
          <w:p w14:paraId="4B3B6393"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4067EE6C"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tcPr>
          <w:p w14:paraId="6E326DEA"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1FAF8B31" w14:textId="77777777" w:rsidR="00F34BD4" w:rsidRPr="00D94B5E" w:rsidRDefault="00F34BD4">
            <w:pPr>
              <w:spacing w:after="0"/>
              <w:jc w:val="center"/>
              <w:rPr>
                <w:color w:val="000000"/>
                <w:szCs w:val="20"/>
                <w:lang w:eastAsia="pl-PL"/>
              </w:rPr>
            </w:pPr>
            <w:r w:rsidRPr="00D94B5E">
              <w:rPr>
                <w:color w:val="000000"/>
                <w:szCs w:val="20"/>
                <w:lang w:eastAsia="pl-PL"/>
              </w:rPr>
              <w:t>130</w:t>
            </w:r>
          </w:p>
        </w:tc>
        <w:tc>
          <w:tcPr>
            <w:tcW w:w="1609" w:type="dxa"/>
            <w:vMerge/>
            <w:tcBorders>
              <w:left w:val="single" w:sz="4" w:space="0" w:color="auto"/>
              <w:right w:val="single" w:sz="4" w:space="0" w:color="auto"/>
            </w:tcBorders>
            <w:vAlign w:val="center"/>
          </w:tcPr>
          <w:p w14:paraId="2C7BA0E8" w14:textId="77777777" w:rsidR="00F34BD4" w:rsidRPr="00D94B5E" w:rsidRDefault="00F34BD4">
            <w:pPr>
              <w:spacing w:after="0"/>
              <w:jc w:val="center"/>
              <w:rPr>
                <w:color w:val="000000"/>
                <w:szCs w:val="20"/>
                <w:lang w:eastAsia="pl-PL"/>
              </w:rPr>
            </w:pPr>
          </w:p>
        </w:tc>
      </w:tr>
      <w:tr w:rsidR="00F34BD4" w:rsidRPr="00523F53" w14:paraId="490D9B41" w14:textId="77777777">
        <w:trPr>
          <w:trHeight w:val="297"/>
        </w:trPr>
        <w:tc>
          <w:tcPr>
            <w:tcW w:w="1369" w:type="dxa"/>
            <w:vMerge/>
            <w:tcBorders>
              <w:left w:val="single" w:sz="4" w:space="0" w:color="auto"/>
              <w:bottom w:val="single" w:sz="4" w:space="0" w:color="auto"/>
              <w:right w:val="single" w:sz="4" w:space="0" w:color="auto"/>
            </w:tcBorders>
            <w:vAlign w:val="center"/>
          </w:tcPr>
          <w:p w14:paraId="1CF4749A" w14:textId="77777777" w:rsidR="00F34BD4" w:rsidRPr="00D94B5E" w:rsidRDefault="00F34BD4">
            <w:pPr>
              <w:spacing w:after="0"/>
              <w:jc w:val="center"/>
              <w:rPr>
                <w:color w:val="000000"/>
                <w:szCs w:val="20"/>
                <w:lang w:eastAsia="pl-PL"/>
              </w:rPr>
            </w:pPr>
          </w:p>
        </w:tc>
        <w:tc>
          <w:tcPr>
            <w:tcW w:w="614" w:type="dxa"/>
            <w:tcBorders>
              <w:top w:val="nil"/>
              <w:left w:val="nil"/>
              <w:bottom w:val="single" w:sz="4" w:space="0" w:color="auto"/>
              <w:right w:val="single" w:sz="4" w:space="0" w:color="auto"/>
            </w:tcBorders>
            <w:shd w:val="clear" w:color="auto" w:fill="auto"/>
            <w:noWrap/>
            <w:vAlign w:val="center"/>
          </w:tcPr>
          <w:p w14:paraId="692A0438" w14:textId="77777777" w:rsidR="00F34BD4" w:rsidRPr="00D94B5E" w:rsidRDefault="00F34BD4">
            <w:pPr>
              <w:spacing w:after="0"/>
              <w:jc w:val="center"/>
              <w:rPr>
                <w:color w:val="000000"/>
                <w:szCs w:val="20"/>
                <w:lang w:eastAsia="pl-PL"/>
              </w:rPr>
            </w:pPr>
            <w:r w:rsidRPr="00D94B5E">
              <w:rPr>
                <w:color w:val="000000"/>
                <w:szCs w:val="20"/>
                <w:lang w:eastAsia="pl-PL"/>
              </w:rPr>
              <w:t>182</w:t>
            </w:r>
          </w:p>
        </w:tc>
        <w:tc>
          <w:tcPr>
            <w:tcW w:w="612" w:type="dxa"/>
            <w:tcBorders>
              <w:top w:val="nil"/>
              <w:left w:val="nil"/>
              <w:bottom w:val="single" w:sz="4" w:space="0" w:color="auto"/>
              <w:right w:val="single" w:sz="4" w:space="0" w:color="auto"/>
            </w:tcBorders>
            <w:shd w:val="clear" w:color="auto" w:fill="auto"/>
            <w:noWrap/>
          </w:tcPr>
          <w:p w14:paraId="0BF0D51A" w14:textId="77777777" w:rsidR="00F34BD4" w:rsidRPr="00D94B5E" w:rsidRDefault="00F34BD4">
            <w:pPr>
              <w:spacing w:after="0"/>
              <w:jc w:val="center"/>
              <w:rPr>
                <w:color w:val="000000"/>
                <w:szCs w:val="20"/>
                <w:lang w:eastAsia="pl-PL"/>
              </w:rPr>
            </w:pPr>
            <w:r w:rsidRPr="00D94B5E">
              <w:rPr>
                <w:color w:val="000000"/>
                <w:szCs w:val="20"/>
                <w:lang w:eastAsia="pl-PL"/>
              </w:rPr>
              <w:t>182</w:t>
            </w:r>
          </w:p>
        </w:tc>
        <w:tc>
          <w:tcPr>
            <w:tcW w:w="612" w:type="dxa"/>
            <w:tcBorders>
              <w:top w:val="nil"/>
              <w:left w:val="nil"/>
              <w:bottom w:val="single" w:sz="4" w:space="0" w:color="auto"/>
              <w:right w:val="single" w:sz="4" w:space="0" w:color="auto"/>
            </w:tcBorders>
            <w:shd w:val="clear" w:color="auto" w:fill="auto"/>
            <w:noWrap/>
          </w:tcPr>
          <w:p w14:paraId="312C0A7B" w14:textId="77777777" w:rsidR="00F34BD4" w:rsidRPr="00D94B5E" w:rsidRDefault="00F34BD4">
            <w:pPr>
              <w:spacing w:after="0"/>
              <w:jc w:val="center"/>
              <w:rPr>
                <w:color w:val="000000"/>
                <w:szCs w:val="20"/>
                <w:lang w:eastAsia="pl-PL"/>
              </w:rPr>
            </w:pPr>
            <w:r w:rsidRPr="00D94B5E">
              <w:rPr>
                <w:color w:val="000000"/>
                <w:szCs w:val="20"/>
                <w:lang w:eastAsia="pl-PL"/>
              </w:rPr>
              <w:t>67</w:t>
            </w:r>
          </w:p>
        </w:tc>
        <w:tc>
          <w:tcPr>
            <w:tcW w:w="612" w:type="dxa"/>
            <w:tcBorders>
              <w:top w:val="nil"/>
              <w:left w:val="nil"/>
              <w:bottom w:val="single" w:sz="4" w:space="0" w:color="auto"/>
              <w:right w:val="single" w:sz="4" w:space="0" w:color="auto"/>
            </w:tcBorders>
            <w:shd w:val="clear" w:color="auto" w:fill="auto"/>
            <w:noWrap/>
          </w:tcPr>
          <w:p w14:paraId="019AE7D4" w14:textId="77777777" w:rsidR="00F34BD4" w:rsidRPr="00D94B5E" w:rsidRDefault="00F34BD4">
            <w:pPr>
              <w:spacing w:after="0"/>
              <w:jc w:val="center"/>
              <w:rPr>
                <w:color w:val="000000"/>
                <w:szCs w:val="20"/>
                <w:lang w:eastAsia="pl-PL"/>
              </w:rPr>
            </w:pPr>
            <w:r w:rsidRPr="00D94B5E">
              <w:rPr>
                <w:color w:val="000000"/>
                <w:szCs w:val="20"/>
                <w:lang w:eastAsia="pl-PL"/>
              </w:rPr>
              <w:t>67</w:t>
            </w:r>
          </w:p>
        </w:tc>
        <w:tc>
          <w:tcPr>
            <w:tcW w:w="612" w:type="dxa"/>
            <w:tcBorders>
              <w:top w:val="nil"/>
              <w:left w:val="nil"/>
              <w:bottom w:val="single" w:sz="4" w:space="0" w:color="auto"/>
              <w:right w:val="single" w:sz="4" w:space="0" w:color="auto"/>
            </w:tcBorders>
            <w:shd w:val="clear" w:color="auto" w:fill="auto"/>
            <w:noWrap/>
          </w:tcPr>
          <w:p w14:paraId="2EBC6D02" w14:textId="77777777" w:rsidR="00F34BD4" w:rsidRPr="00D94B5E" w:rsidRDefault="00F34BD4">
            <w:pPr>
              <w:spacing w:after="0"/>
              <w:jc w:val="center"/>
              <w:rPr>
                <w:color w:val="000000"/>
                <w:szCs w:val="20"/>
                <w:lang w:eastAsia="pl-PL"/>
              </w:rPr>
            </w:pPr>
            <w:r w:rsidRPr="00D94B5E">
              <w:rPr>
                <w:color w:val="000000"/>
                <w:szCs w:val="20"/>
                <w:lang w:eastAsia="pl-PL"/>
              </w:rPr>
              <w:t>67</w:t>
            </w:r>
          </w:p>
        </w:tc>
        <w:tc>
          <w:tcPr>
            <w:tcW w:w="612" w:type="dxa"/>
            <w:tcBorders>
              <w:top w:val="nil"/>
              <w:left w:val="nil"/>
              <w:bottom w:val="single" w:sz="4" w:space="0" w:color="auto"/>
              <w:right w:val="single" w:sz="4" w:space="0" w:color="auto"/>
            </w:tcBorders>
            <w:shd w:val="clear" w:color="auto" w:fill="auto"/>
            <w:noWrap/>
          </w:tcPr>
          <w:p w14:paraId="0DAEBA07" w14:textId="77777777" w:rsidR="00F34BD4" w:rsidRPr="00D94B5E" w:rsidRDefault="00F34BD4">
            <w:pPr>
              <w:spacing w:after="0"/>
              <w:jc w:val="center"/>
              <w:rPr>
                <w:color w:val="000000"/>
                <w:szCs w:val="20"/>
                <w:lang w:eastAsia="pl-PL"/>
              </w:rPr>
            </w:pPr>
            <w:r w:rsidRPr="00D94B5E">
              <w:rPr>
                <w:color w:val="000000"/>
                <w:szCs w:val="20"/>
                <w:lang w:eastAsia="pl-PL"/>
              </w:rPr>
              <w:t>67</w:t>
            </w:r>
          </w:p>
        </w:tc>
        <w:tc>
          <w:tcPr>
            <w:tcW w:w="611" w:type="dxa"/>
            <w:tcBorders>
              <w:top w:val="single" w:sz="4" w:space="0" w:color="auto"/>
              <w:left w:val="single" w:sz="4" w:space="0" w:color="auto"/>
              <w:bottom w:val="single" w:sz="4" w:space="0" w:color="auto"/>
              <w:right w:val="single" w:sz="4" w:space="0" w:color="auto"/>
            </w:tcBorders>
          </w:tcPr>
          <w:p w14:paraId="0323446C" w14:textId="77777777" w:rsidR="00F34BD4" w:rsidRPr="00D94B5E" w:rsidRDefault="00F34BD4">
            <w:pPr>
              <w:spacing w:after="0"/>
              <w:jc w:val="center"/>
              <w:rPr>
                <w:color w:val="000000"/>
                <w:szCs w:val="20"/>
                <w:lang w:eastAsia="pl-PL"/>
              </w:rPr>
            </w:pPr>
            <w:r w:rsidRPr="00D94B5E">
              <w:rPr>
                <w:color w:val="000000"/>
                <w:szCs w:val="20"/>
                <w:lang w:eastAsia="pl-PL"/>
              </w:rPr>
              <w:t>67</w:t>
            </w:r>
          </w:p>
        </w:tc>
        <w:tc>
          <w:tcPr>
            <w:tcW w:w="612" w:type="dxa"/>
            <w:tcBorders>
              <w:top w:val="single" w:sz="4" w:space="0" w:color="auto"/>
              <w:left w:val="single" w:sz="4" w:space="0" w:color="auto"/>
              <w:bottom w:val="single" w:sz="4" w:space="0" w:color="auto"/>
              <w:right w:val="single" w:sz="4" w:space="0" w:color="auto"/>
            </w:tcBorders>
          </w:tcPr>
          <w:p w14:paraId="7B04A2F5" w14:textId="77777777" w:rsidR="00F34BD4" w:rsidRPr="00D94B5E" w:rsidRDefault="00F34BD4">
            <w:pPr>
              <w:spacing w:after="0"/>
              <w:jc w:val="center"/>
              <w:rPr>
                <w:color w:val="000000"/>
                <w:szCs w:val="20"/>
                <w:lang w:eastAsia="pl-PL"/>
              </w:rPr>
            </w:pPr>
            <w:r w:rsidRPr="00D94B5E">
              <w:rPr>
                <w:color w:val="000000"/>
                <w:szCs w:val="20"/>
                <w:lang w:eastAsia="pl-PL"/>
              </w:rPr>
              <w:t>67</w:t>
            </w:r>
          </w:p>
        </w:tc>
        <w:tc>
          <w:tcPr>
            <w:tcW w:w="612" w:type="dxa"/>
            <w:tcBorders>
              <w:top w:val="single" w:sz="4" w:space="0" w:color="auto"/>
              <w:left w:val="single" w:sz="4" w:space="0" w:color="auto"/>
              <w:bottom w:val="single" w:sz="4" w:space="0" w:color="auto"/>
              <w:right w:val="single" w:sz="4" w:space="0" w:color="auto"/>
            </w:tcBorders>
          </w:tcPr>
          <w:p w14:paraId="7BEC90A5" w14:textId="77777777" w:rsidR="00F34BD4" w:rsidRPr="00D94B5E" w:rsidRDefault="00F34BD4">
            <w:pPr>
              <w:spacing w:after="0"/>
              <w:jc w:val="center"/>
              <w:rPr>
                <w:color w:val="000000"/>
                <w:szCs w:val="20"/>
                <w:lang w:eastAsia="pl-PL"/>
              </w:rPr>
            </w:pPr>
            <w:r w:rsidRPr="00D94B5E">
              <w:rPr>
                <w:color w:val="000000"/>
                <w:szCs w:val="20"/>
                <w:lang w:eastAsia="pl-PL"/>
              </w:rPr>
              <w:t>3</w:t>
            </w:r>
          </w:p>
        </w:tc>
        <w:tc>
          <w:tcPr>
            <w:tcW w:w="612" w:type="dxa"/>
            <w:tcBorders>
              <w:top w:val="single" w:sz="4" w:space="0" w:color="auto"/>
              <w:left w:val="single" w:sz="4" w:space="0" w:color="auto"/>
              <w:bottom w:val="single" w:sz="4" w:space="0" w:color="auto"/>
              <w:right w:val="single" w:sz="4" w:space="0" w:color="auto"/>
            </w:tcBorders>
            <w:shd w:val="clear" w:color="auto" w:fill="auto"/>
            <w:noWrap/>
          </w:tcPr>
          <w:p w14:paraId="3D75F803" w14:textId="77777777" w:rsidR="00F34BD4" w:rsidRPr="00D94B5E" w:rsidRDefault="00F34BD4">
            <w:pPr>
              <w:spacing w:after="0"/>
              <w:jc w:val="center"/>
              <w:rPr>
                <w:color w:val="000000"/>
                <w:szCs w:val="20"/>
                <w:lang w:eastAsia="pl-PL"/>
              </w:rPr>
            </w:pPr>
            <w:r w:rsidRPr="00D94B5E">
              <w:rPr>
                <w:color w:val="000000"/>
                <w:szCs w:val="20"/>
                <w:lang w:eastAsia="pl-PL"/>
              </w:rPr>
              <w:t>3</w:t>
            </w:r>
          </w:p>
        </w:tc>
        <w:tc>
          <w:tcPr>
            <w:tcW w:w="1609" w:type="dxa"/>
            <w:vMerge/>
            <w:tcBorders>
              <w:left w:val="single" w:sz="4" w:space="0" w:color="auto"/>
              <w:bottom w:val="single" w:sz="4" w:space="0" w:color="auto"/>
              <w:right w:val="single" w:sz="4" w:space="0" w:color="auto"/>
            </w:tcBorders>
            <w:vAlign w:val="center"/>
          </w:tcPr>
          <w:p w14:paraId="71B85E7B" w14:textId="77777777" w:rsidR="00F34BD4" w:rsidRPr="00D94B5E" w:rsidRDefault="00F34BD4">
            <w:pPr>
              <w:spacing w:after="0"/>
              <w:jc w:val="center"/>
              <w:rPr>
                <w:color w:val="000000"/>
                <w:szCs w:val="20"/>
                <w:lang w:eastAsia="pl-PL"/>
              </w:rPr>
            </w:pPr>
          </w:p>
        </w:tc>
      </w:tr>
      <w:tr w:rsidR="00F34BD4" w:rsidRPr="00523F53" w14:paraId="0D820A66" w14:textId="77777777">
        <w:trPr>
          <w:trHeight w:val="297"/>
        </w:trPr>
        <w:tc>
          <w:tcPr>
            <w:tcW w:w="1369" w:type="dxa"/>
            <w:tcBorders>
              <w:top w:val="nil"/>
              <w:left w:val="single" w:sz="4" w:space="0" w:color="auto"/>
              <w:bottom w:val="single" w:sz="4" w:space="0" w:color="auto"/>
              <w:right w:val="single" w:sz="4" w:space="0" w:color="auto"/>
            </w:tcBorders>
            <w:shd w:val="clear" w:color="auto" w:fill="auto"/>
            <w:noWrap/>
            <w:vAlign w:val="center"/>
            <w:hideMark/>
          </w:tcPr>
          <w:p w14:paraId="2A09EF25" w14:textId="77777777" w:rsidR="00F34BD4" w:rsidRPr="00D94B5E" w:rsidRDefault="00F34BD4">
            <w:pPr>
              <w:spacing w:after="0"/>
              <w:jc w:val="center"/>
              <w:rPr>
                <w:color w:val="000000"/>
                <w:szCs w:val="20"/>
                <w:lang w:eastAsia="pl-PL"/>
              </w:rPr>
            </w:pPr>
            <w:r w:rsidRPr="00D94B5E">
              <w:rPr>
                <w:color w:val="000000"/>
                <w:szCs w:val="20"/>
                <w:lang w:eastAsia="pl-PL"/>
              </w:rPr>
              <w:t>Razem (ktoe)</w:t>
            </w:r>
          </w:p>
        </w:tc>
        <w:tc>
          <w:tcPr>
            <w:tcW w:w="614" w:type="dxa"/>
            <w:tcBorders>
              <w:top w:val="nil"/>
              <w:left w:val="nil"/>
              <w:bottom w:val="single" w:sz="4" w:space="0" w:color="auto"/>
              <w:right w:val="single" w:sz="4" w:space="0" w:color="auto"/>
            </w:tcBorders>
            <w:shd w:val="clear" w:color="auto" w:fill="auto"/>
            <w:noWrap/>
            <w:vAlign w:val="center"/>
          </w:tcPr>
          <w:p w14:paraId="5A2832CF" w14:textId="77777777" w:rsidR="00F34BD4" w:rsidRPr="00D94B5E" w:rsidRDefault="00F34BD4">
            <w:pPr>
              <w:spacing w:after="0"/>
              <w:jc w:val="center"/>
              <w:rPr>
                <w:b/>
                <w:bCs/>
                <w:color w:val="000000"/>
                <w:szCs w:val="20"/>
                <w:lang w:eastAsia="pl-PL"/>
              </w:rPr>
            </w:pPr>
            <w:r w:rsidRPr="00D94B5E">
              <w:rPr>
                <w:b/>
                <w:bCs/>
                <w:color w:val="000000"/>
                <w:szCs w:val="20"/>
                <w:lang w:eastAsia="pl-PL"/>
              </w:rPr>
              <w:t>182</w:t>
            </w:r>
          </w:p>
        </w:tc>
        <w:tc>
          <w:tcPr>
            <w:tcW w:w="612" w:type="dxa"/>
            <w:tcBorders>
              <w:top w:val="nil"/>
              <w:left w:val="nil"/>
              <w:bottom w:val="single" w:sz="4" w:space="0" w:color="auto"/>
              <w:right w:val="single" w:sz="4" w:space="0" w:color="auto"/>
            </w:tcBorders>
            <w:shd w:val="clear" w:color="auto" w:fill="auto"/>
            <w:noWrap/>
            <w:vAlign w:val="center"/>
          </w:tcPr>
          <w:p w14:paraId="53321D45" w14:textId="77777777" w:rsidR="00F34BD4" w:rsidRPr="00D94B5E" w:rsidRDefault="00F34BD4">
            <w:pPr>
              <w:spacing w:after="0"/>
              <w:jc w:val="center"/>
              <w:rPr>
                <w:b/>
                <w:bCs/>
                <w:color w:val="000000"/>
                <w:szCs w:val="20"/>
                <w:lang w:eastAsia="pl-PL"/>
              </w:rPr>
            </w:pPr>
            <w:r w:rsidRPr="00D94B5E">
              <w:rPr>
                <w:rFonts w:cs="Calibri"/>
                <w:b/>
                <w:bCs/>
                <w:color w:val="000000"/>
                <w:szCs w:val="20"/>
              </w:rPr>
              <w:t>312</w:t>
            </w:r>
          </w:p>
        </w:tc>
        <w:tc>
          <w:tcPr>
            <w:tcW w:w="612" w:type="dxa"/>
            <w:tcBorders>
              <w:top w:val="nil"/>
              <w:left w:val="nil"/>
              <w:bottom w:val="single" w:sz="4" w:space="0" w:color="auto"/>
              <w:right w:val="single" w:sz="4" w:space="0" w:color="auto"/>
            </w:tcBorders>
            <w:shd w:val="clear" w:color="auto" w:fill="auto"/>
            <w:noWrap/>
            <w:vAlign w:val="center"/>
          </w:tcPr>
          <w:p w14:paraId="4499B363" w14:textId="77777777" w:rsidR="00F34BD4" w:rsidRPr="00D94B5E" w:rsidRDefault="00F34BD4">
            <w:pPr>
              <w:spacing w:after="0"/>
              <w:jc w:val="center"/>
              <w:rPr>
                <w:b/>
                <w:bCs/>
                <w:color w:val="000000"/>
                <w:szCs w:val="20"/>
                <w:lang w:eastAsia="pl-PL"/>
              </w:rPr>
            </w:pPr>
            <w:r w:rsidRPr="00D94B5E">
              <w:rPr>
                <w:rFonts w:cs="Calibri"/>
                <w:b/>
                <w:bCs/>
                <w:color w:val="000000"/>
                <w:szCs w:val="20"/>
              </w:rPr>
              <w:t>327</w:t>
            </w:r>
          </w:p>
        </w:tc>
        <w:tc>
          <w:tcPr>
            <w:tcW w:w="612" w:type="dxa"/>
            <w:tcBorders>
              <w:top w:val="nil"/>
              <w:left w:val="nil"/>
              <w:bottom w:val="single" w:sz="4" w:space="0" w:color="auto"/>
              <w:right w:val="single" w:sz="4" w:space="0" w:color="auto"/>
            </w:tcBorders>
            <w:shd w:val="clear" w:color="auto" w:fill="auto"/>
            <w:noWrap/>
            <w:vAlign w:val="center"/>
          </w:tcPr>
          <w:p w14:paraId="5783B634" w14:textId="77777777" w:rsidR="00F34BD4" w:rsidRPr="00D94B5E" w:rsidRDefault="00F34BD4">
            <w:pPr>
              <w:spacing w:after="0"/>
              <w:jc w:val="center"/>
              <w:rPr>
                <w:b/>
                <w:bCs/>
                <w:color w:val="000000"/>
                <w:szCs w:val="20"/>
                <w:lang w:eastAsia="pl-PL"/>
              </w:rPr>
            </w:pPr>
            <w:r w:rsidRPr="00D94B5E">
              <w:rPr>
                <w:rFonts w:cs="Calibri"/>
                <w:b/>
                <w:bCs/>
                <w:color w:val="000000"/>
                <w:szCs w:val="20"/>
              </w:rPr>
              <w:t>457</w:t>
            </w:r>
          </w:p>
        </w:tc>
        <w:tc>
          <w:tcPr>
            <w:tcW w:w="612" w:type="dxa"/>
            <w:tcBorders>
              <w:top w:val="nil"/>
              <w:left w:val="nil"/>
              <w:bottom w:val="single" w:sz="4" w:space="0" w:color="auto"/>
              <w:right w:val="single" w:sz="4" w:space="0" w:color="auto"/>
            </w:tcBorders>
            <w:shd w:val="clear" w:color="auto" w:fill="auto"/>
            <w:noWrap/>
            <w:vAlign w:val="center"/>
          </w:tcPr>
          <w:p w14:paraId="72F1CF8A" w14:textId="77777777" w:rsidR="00F34BD4" w:rsidRPr="00D94B5E" w:rsidRDefault="00F34BD4">
            <w:pPr>
              <w:spacing w:after="0"/>
              <w:jc w:val="center"/>
              <w:rPr>
                <w:b/>
                <w:bCs/>
                <w:color w:val="000000"/>
                <w:szCs w:val="20"/>
                <w:lang w:eastAsia="pl-PL"/>
              </w:rPr>
            </w:pPr>
            <w:r w:rsidRPr="00D94B5E">
              <w:rPr>
                <w:rFonts w:cs="Calibri"/>
                <w:b/>
                <w:bCs/>
                <w:color w:val="000000"/>
                <w:szCs w:val="20"/>
              </w:rPr>
              <w:t>587</w:t>
            </w:r>
          </w:p>
        </w:tc>
        <w:tc>
          <w:tcPr>
            <w:tcW w:w="612" w:type="dxa"/>
            <w:tcBorders>
              <w:top w:val="nil"/>
              <w:left w:val="nil"/>
              <w:bottom w:val="single" w:sz="4" w:space="0" w:color="auto"/>
              <w:right w:val="single" w:sz="4" w:space="0" w:color="auto"/>
            </w:tcBorders>
            <w:shd w:val="clear" w:color="auto" w:fill="auto"/>
            <w:noWrap/>
            <w:vAlign w:val="center"/>
          </w:tcPr>
          <w:p w14:paraId="41B3DB7E" w14:textId="77777777" w:rsidR="00F34BD4" w:rsidRPr="00D94B5E" w:rsidRDefault="00F34BD4">
            <w:pPr>
              <w:spacing w:after="0"/>
              <w:jc w:val="center"/>
              <w:rPr>
                <w:b/>
                <w:bCs/>
                <w:color w:val="000000"/>
                <w:szCs w:val="20"/>
                <w:lang w:eastAsia="pl-PL"/>
              </w:rPr>
            </w:pPr>
            <w:r w:rsidRPr="00D94B5E">
              <w:rPr>
                <w:rFonts w:cs="Calibri"/>
                <w:b/>
                <w:bCs/>
                <w:color w:val="000000"/>
                <w:szCs w:val="20"/>
              </w:rPr>
              <w:t>717</w:t>
            </w:r>
          </w:p>
        </w:tc>
        <w:tc>
          <w:tcPr>
            <w:tcW w:w="611" w:type="dxa"/>
            <w:tcBorders>
              <w:top w:val="single" w:sz="4" w:space="0" w:color="auto"/>
              <w:left w:val="single" w:sz="4" w:space="0" w:color="auto"/>
              <w:bottom w:val="single" w:sz="4" w:space="0" w:color="auto"/>
              <w:right w:val="single" w:sz="4" w:space="0" w:color="auto"/>
            </w:tcBorders>
            <w:vAlign w:val="center"/>
          </w:tcPr>
          <w:p w14:paraId="2BF83C14" w14:textId="77777777" w:rsidR="00F34BD4" w:rsidRPr="00D94B5E" w:rsidRDefault="00F34BD4">
            <w:pPr>
              <w:spacing w:after="0"/>
              <w:jc w:val="center"/>
              <w:rPr>
                <w:b/>
                <w:bCs/>
                <w:color w:val="000000"/>
                <w:szCs w:val="20"/>
                <w:lang w:eastAsia="pl-PL"/>
              </w:rPr>
            </w:pPr>
            <w:r w:rsidRPr="00D94B5E">
              <w:rPr>
                <w:rFonts w:cs="Calibri"/>
                <w:b/>
                <w:bCs/>
                <w:color w:val="000000"/>
                <w:szCs w:val="20"/>
              </w:rPr>
              <w:t>847</w:t>
            </w:r>
          </w:p>
        </w:tc>
        <w:tc>
          <w:tcPr>
            <w:tcW w:w="612" w:type="dxa"/>
            <w:tcBorders>
              <w:top w:val="single" w:sz="4" w:space="0" w:color="auto"/>
              <w:left w:val="single" w:sz="4" w:space="0" w:color="auto"/>
              <w:bottom w:val="single" w:sz="4" w:space="0" w:color="auto"/>
              <w:right w:val="single" w:sz="4" w:space="0" w:color="auto"/>
            </w:tcBorders>
            <w:vAlign w:val="center"/>
          </w:tcPr>
          <w:p w14:paraId="6D2593CB" w14:textId="77777777" w:rsidR="00F34BD4" w:rsidRPr="00D94B5E" w:rsidRDefault="00F34BD4">
            <w:pPr>
              <w:spacing w:after="0"/>
              <w:jc w:val="center"/>
              <w:rPr>
                <w:b/>
                <w:bCs/>
                <w:color w:val="000000"/>
                <w:szCs w:val="20"/>
                <w:lang w:eastAsia="pl-PL"/>
              </w:rPr>
            </w:pPr>
            <w:r w:rsidRPr="00D94B5E">
              <w:rPr>
                <w:rFonts w:cs="Calibri"/>
                <w:b/>
                <w:bCs/>
                <w:color w:val="000000"/>
                <w:szCs w:val="20"/>
              </w:rPr>
              <w:t>977</w:t>
            </w:r>
          </w:p>
        </w:tc>
        <w:tc>
          <w:tcPr>
            <w:tcW w:w="612" w:type="dxa"/>
            <w:tcBorders>
              <w:top w:val="single" w:sz="4" w:space="0" w:color="auto"/>
              <w:left w:val="single" w:sz="4" w:space="0" w:color="auto"/>
              <w:bottom w:val="single" w:sz="4" w:space="0" w:color="auto"/>
              <w:right w:val="single" w:sz="4" w:space="0" w:color="auto"/>
            </w:tcBorders>
            <w:vAlign w:val="center"/>
          </w:tcPr>
          <w:p w14:paraId="55A3CC5B" w14:textId="77777777" w:rsidR="00F34BD4" w:rsidRPr="00D94B5E" w:rsidRDefault="00F34BD4">
            <w:pPr>
              <w:spacing w:after="0"/>
              <w:jc w:val="center"/>
              <w:rPr>
                <w:b/>
                <w:bCs/>
                <w:color w:val="000000"/>
                <w:szCs w:val="20"/>
                <w:lang w:eastAsia="pl-PL"/>
              </w:rPr>
            </w:pPr>
            <w:r w:rsidRPr="00D94B5E">
              <w:rPr>
                <w:rFonts w:cs="Calibri"/>
                <w:b/>
                <w:bCs/>
                <w:color w:val="000000"/>
                <w:szCs w:val="20"/>
              </w:rPr>
              <w:t>1043</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39169" w14:textId="77777777" w:rsidR="00F34BD4" w:rsidRPr="00D94B5E" w:rsidRDefault="00F34BD4">
            <w:pPr>
              <w:spacing w:after="0"/>
              <w:jc w:val="center"/>
              <w:rPr>
                <w:b/>
                <w:bCs/>
                <w:color w:val="000000"/>
                <w:szCs w:val="20"/>
                <w:lang w:eastAsia="pl-PL"/>
              </w:rPr>
            </w:pPr>
            <w:r w:rsidRPr="00D94B5E">
              <w:rPr>
                <w:rFonts w:cs="Calibri"/>
                <w:b/>
                <w:bCs/>
                <w:color w:val="000000"/>
                <w:szCs w:val="20"/>
              </w:rPr>
              <w:t>1173</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14:paraId="404E0E29" w14:textId="77777777" w:rsidR="00F34BD4" w:rsidRPr="00D94B5E" w:rsidRDefault="00F34BD4">
            <w:pPr>
              <w:spacing w:after="0"/>
              <w:jc w:val="center"/>
              <w:rPr>
                <w:b/>
                <w:bCs/>
                <w:color w:val="000000"/>
                <w:szCs w:val="20"/>
                <w:lang w:eastAsia="pl-PL"/>
              </w:rPr>
            </w:pPr>
            <w:r w:rsidRPr="00D94B5E">
              <w:rPr>
                <w:rFonts w:cs="Calibri"/>
                <w:b/>
                <w:bCs/>
                <w:color w:val="4472C4" w:themeColor="accent1"/>
                <w:szCs w:val="20"/>
              </w:rPr>
              <w:t>6 62</w:t>
            </w:r>
            <w:r>
              <w:rPr>
                <w:rFonts w:cs="Calibri"/>
                <w:b/>
                <w:bCs/>
                <w:color w:val="4472C4" w:themeColor="accent1"/>
                <w:szCs w:val="20"/>
              </w:rPr>
              <w:t>2</w:t>
            </w:r>
          </w:p>
        </w:tc>
      </w:tr>
    </w:tbl>
    <w:p w14:paraId="50D593D1" w14:textId="77777777" w:rsidR="00F34BD4" w:rsidRDefault="00F34BD4" w:rsidP="00F34BD4">
      <w:pPr>
        <w:spacing w:after="0" w:line="360" w:lineRule="auto"/>
      </w:pPr>
    </w:p>
    <w:p w14:paraId="00AAC744" w14:textId="1ECDFB10" w:rsidR="00F34BD4" w:rsidRDefault="00F34BD4" w:rsidP="00F34BD4">
      <w:r w:rsidRPr="00E35197">
        <w:t>Biorąc pod uwagę energochłonność autobusów elektrycznych i wodorowych oraz przewidywaną ilość innych inwestycji w sektorze transportu</w:t>
      </w:r>
      <w:r w:rsidR="00767FC5">
        <w:t xml:space="preserve"> </w:t>
      </w:r>
      <w:r w:rsidRPr="00E35197">
        <w:t>w latach 2021</w:t>
      </w:r>
      <w:r w:rsidR="004B0F0A">
        <w:t>–20</w:t>
      </w:r>
      <w:r w:rsidRPr="00E35197">
        <w:t xml:space="preserve">30 (tj. zabezpieczone wyznaczonym budżetem), przyjęto, że średnio roczna oszczędność energii </w:t>
      </w:r>
      <w:r>
        <w:t>w okresie 2022</w:t>
      </w:r>
      <w:r w:rsidR="004B0F0A">
        <w:t>–20</w:t>
      </w:r>
      <w:r>
        <w:t xml:space="preserve">30 </w:t>
      </w:r>
      <w:r w:rsidRPr="00E35197">
        <w:t>wynos</w:t>
      </w:r>
      <w:r>
        <w:t>ie</w:t>
      </w:r>
      <w:r w:rsidRPr="00E35197">
        <w:t xml:space="preserve"> 130 toe na rok.</w:t>
      </w:r>
      <w:r>
        <w:t xml:space="preserve"> </w:t>
      </w:r>
    </w:p>
    <w:p w14:paraId="32AB25F7" w14:textId="77777777" w:rsidR="00F34BD4" w:rsidRPr="004A2365" w:rsidRDefault="00F34BD4" w:rsidP="00805E07">
      <w:pPr>
        <w:pStyle w:val="Nagwek4"/>
      </w:pPr>
      <w:r w:rsidRPr="004A2365">
        <w:t>Monitorowanie i weryfikacja</w:t>
      </w:r>
    </w:p>
    <w:p w14:paraId="6ADC394A" w14:textId="3805C035" w:rsidR="00F34BD4" w:rsidRPr="00D62DB9" w:rsidRDefault="00F34BD4" w:rsidP="00373FD3">
      <w:r w:rsidRPr="00D62DB9">
        <w:t>Sprawozdania zawierające informacje dotyczące ilości zakupionego i zmodernizowanego taboru kolejowego oraz ilości zakupionych pojazdów zero- i niskoemisyjnych przeskładane jest ministrowi właściwemu ds. transportu.</w:t>
      </w:r>
      <w:r w:rsidR="00805E07">
        <w:t xml:space="preserve"> </w:t>
      </w:r>
      <w:r w:rsidRPr="00D62DB9">
        <w:t>Dodatkowo w przypadku dopłat realizowanych w ramach Funduszu rozwoju przewozów autobusowych o charakterze użyteczności publicznej wojewodowie przekazują roczne sprawozdania ministrowi właściwemu ds. transportu z realizacji zadań</w:t>
      </w:r>
      <w:r w:rsidR="00291573">
        <w:t>,</w:t>
      </w:r>
      <w:r w:rsidRPr="00D62DB9">
        <w:t xml:space="preserve"> na które zostało udzielone dofinansowanie w danym województwie, dotyczące </w:t>
      </w:r>
      <w:r w:rsidR="0011179A">
        <w:t>r</w:t>
      </w:r>
      <w:r w:rsidR="00C90700">
        <w:t>oku</w:t>
      </w:r>
      <w:r w:rsidRPr="00D62DB9">
        <w:t xml:space="preserve"> poprzedniego.</w:t>
      </w:r>
    </w:p>
    <w:p w14:paraId="1D8EB8F2" w14:textId="77777777" w:rsidR="00F34BD4" w:rsidRPr="00D62DB9" w:rsidRDefault="00F34BD4" w:rsidP="00373FD3">
      <w:r w:rsidRPr="00D62DB9">
        <w:t>Dane dotyczące wymiany taboru pojazdów transportu publicznego realizowanej w ramach działalności Centrum Unijnych Projektów Transportowych są raportowane i weryfikowane w centralnym systemie teleinformatycznym. W przypadku działań realizowanych w ramach funduszy celowych, sprawozdania roczne temat inwestycji są raportowane do ministra właściwego ds. transportu. </w:t>
      </w:r>
    </w:p>
    <w:p w14:paraId="0759CABF" w14:textId="77777777" w:rsidR="00F34BD4" w:rsidRDefault="00F34BD4" w:rsidP="00373FD3">
      <w:r w:rsidRPr="00D62DB9">
        <w:t>Ministerstwo właściwe ds. transportu w ramach przedkładanych corocznie, przez podmioty i instytucje, w których właściwości jest realizacja zadań na rzecz efektywności energetycznej (np. CUPT oraz JST), sprawozdań oraz intensywności finansowania weryfikuje zakres realizowanych zadań.</w:t>
      </w:r>
    </w:p>
    <w:p w14:paraId="1AC3C905" w14:textId="32D03B9E" w:rsidR="00F34BD4" w:rsidRDefault="00F34BD4" w:rsidP="00373FD3">
      <w:r>
        <w:t xml:space="preserve">Dodatkowo jednostkowe informacje o wysokości oszczędności energii finalnej raportowane do </w:t>
      </w:r>
      <w:r w:rsidRPr="00EF4FC0">
        <w:t>Centralnego Rejestru Oszczędności Energii Finalnej</w:t>
      </w:r>
      <w:r>
        <w:t xml:space="preserve"> są wer</w:t>
      </w:r>
      <w:r w:rsidRPr="00EF4FC0">
        <w:t>yfik</w:t>
      </w:r>
      <w:r>
        <w:t>owane</w:t>
      </w:r>
      <w:r w:rsidRPr="00EF4FC0">
        <w:t xml:space="preserve"> przez administratorów systemu. Każde przedsięwzięcie dodane w CROEF musi zostać sprawdzone pod względem merytorycznym</w:t>
      </w:r>
      <w:r>
        <w:t xml:space="preserve"> (tj. rodzaj przedsięwzięcia, ilość średniorocznych oszczędności, okres uzyskiwania oszczędności oraz potwierdzenie uzyskiwanych oszczędności energii finalnej)</w:t>
      </w:r>
      <w:r w:rsidRPr="00EF4FC0">
        <w:t xml:space="preserve"> przez administratora Ministerstwa Klimatu i</w:t>
      </w:r>
      <w:r w:rsidR="00291573">
        <w:t> </w:t>
      </w:r>
      <w:r w:rsidRPr="00EF4FC0">
        <w:t xml:space="preserve">Środowiska. </w:t>
      </w:r>
    </w:p>
    <w:p w14:paraId="6403912B" w14:textId="77777777" w:rsidR="00F34BD4" w:rsidRDefault="00F34BD4" w:rsidP="00F34BD4">
      <w:pPr>
        <w:spacing w:after="0" w:line="360" w:lineRule="auto"/>
        <w:ind w:firstLine="709"/>
      </w:pPr>
    </w:p>
    <w:p w14:paraId="77E4FBFB" w14:textId="77777777" w:rsidR="00F34BD4" w:rsidRDefault="00F34BD4" w:rsidP="00F34BD4">
      <w:r>
        <w:br w:type="page"/>
      </w:r>
    </w:p>
    <w:p w14:paraId="26A3B276" w14:textId="53802BA2" w:rsidR="00F34BD4" w:rsidRPr="00E832B0" w:rsidRDefault="00F34BD4" w:rsidP="00291640">
      <w:pPr>
        <w:pStyle w:val="Nagwek3"/>
      </w:pPr>
      <w:bookmarkStart w:id="21" w:name="_Toc202967818"/>
      <w:r w:rsidRPr="00EB07C7">
        <w:lastRenderedPageBreak/>
        <w:t xml:space="preserve">Poprawa </w:t>
      </w:r>
      <w:r w:rsidR="00805E07">
        <w:t>e</w:t>
      </w:r>
      <w:r w:rsidRPr="00EB07C7">
        <w:t xml:space="preserve">fektywności </w:t>
      </w:r>
      <w:r w:rsidR="00F11A8E">
        <w:t>e</w:t>
      </w:r>
      <w:r w:rsidRPr="00EB07C7">
        <w:t xml:space="preserve">nergetycznej </w:t>
      </w:r>
      <w:r w:rsidR="00F11A8E">
        <w:t>b</w:t>
      </w:r>
      <w:r w:rsidRPr="00EB07C7">
        <w:t xml:space="preserve">udynków </w:t>
      </w:r>
      <w:r w:rsidR="00F11A8E">
        <w:t>m</w:t>
      </w:r>
      <w:r w:rsidRPr="00E832B0">
        <w:t>ieszkalnych</w:t>
      </w:r>
      <w:bookmarkEnd w:id="21"/>
    </w:p>
    <w:p w14:paraId="71023075" w14:textId="77777777" w:rsidR="00F34BD4" w:rsidRPr="00EB07C7" w:rsidRDefault="00F34BD4" w:rsidP="00805E07">
      <w:pPr>
        <w:pStyle w:val="Nagwek4"/>
      </w:pPr>
      <w:r w:rsidRPr="00EB07C7">
        <w:t>Skrócony opis środka alternatywnego</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44"/>
        <w:gridCol w:w="7085"/>
      </w:tblGrid>
      <w:tr w:rsidR="00F34BD4" w:rsidRPr="004A2365" w14:paraId="27133B21" w14:textId="77777777" w:rsidTr="0011179A">
        <w:tc>
          <w:tcPr>
            <w:tcW w:w="1644" w:type="dxa"/>
            <w:vAlign w:val="center"/>
          </w:tcPr>
          <w:p w14:paraId="7C09DF4D"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 alternatywnego</w:t>
            </w:r>
          </w:p>
        </w:tc>
        <w:tc>
          <w:tcPr>
            <w:tcW w:w="7085" w:type="dxa"/>
            <w:vAlign w:val="center"/>
          </w:tcPr>
          <w:p w14:paraId="21C89545" w14:textId="08B8C67E" w:rsidR="00F34BD4" w:rsidRPr="002B0945" w:rsidRDefault="00F34BD4" w:rsidP="00FF3BC7">
            <w:pPr>
              <w:spacing w:line="276" w:lineRule="auto"/>
              <w:rPr>
                <w:b/>
                <w:bCs/>
              </w:rPr>
            </w:pPr>
            <w:r>
              <w:rPr>
                <w:b/>
                <w:bCs/>
              </w:rPr>
              <w:t xml:space="preserve">Poprawa </w:t>
            </w:r>
            <w:r w:rsidR="00F11A8E">
              <w:rPr>
                <w:b/>
                <w:bCs/>
              </w:rPr>
              <w:t>e</w:t>
            </w:r>
            <w:r>
              <w:rPr>
                <w:b/>
                <w:bCs/>
              </w:rPr>
              <w:t xml:space="preserve">fektywności </w:t>
            </w:r>
            <w:r w:rsidR="00F11A8E">
              <w:rPr>
                <w:b/>
                <w:bCs/>
              </w:rPr>
              <w:t>e</w:t>
            </w:r>
            <w:r>
              <w:rPr>
                <w:b/>
                <w:bCs/>
              </w:rPr>
              <w:t xml:space="preserve">nergetycznej </w:t>
            </w:r>
            <w:r w:rsidR="00F11A8E">
              <w:rPr>
                <w:b/>
                <w:bCs/>
              </w:rPr>
              <w:t>b</w:t>
            </w:r>
            <w:r>
              <w:rPr>
                <w:b/>
                <w:bCs/>
              </w:rPr>
              <w:t xml:space="preserve">udynków </w:t>
            </w:r>
            <w:r w:rsidR="00F11A8E">
              <w:rPr>
                <w:b/>
                <w:bCs/>
              </w:rPr>
              <w:t>m</w:t>
            </w:r>
            <w:r>
              <w:rPr>
                <w:b/>
                <w:bCs/>
              </w:rPr>
              <w:t>ieszkalnych</w:t>
            </w:r>
          </w:p>
        </w:tc>
      </w:tr>
      <w:tr w:rsidR="00F34BD4" w:rsidRPr="004A2365" w14:paraId="2923D77E" w14:textId="77777777" w:rsidTr="0011179A">
        <w:tc>
          <w:tcPr>
            <w:tcW w:w="1644" w:type="dxa"/>
            <w:vAlign w:val="center"/>
          </w:tcPr>
          <w:p w14:paraId="27D02A45"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77F26544" w14:textId="77777777" w:rsidR="00F34BD4" w:rsidRPr="004A2365" w:rsidRDefault="00F34BD4" w:rsidP="00FF3BC7">
            <w:pPr>
              <w:spacing w:line="276" w:lineRule="auto"/>
              <w:rPr>
                <w:rFonts w:cs="Times New Roman"/>
              </w:rPr>
            </w:pPr>
            <w:r w:rsidRPr="004A2365">
              <w:rPr>
                <w:rFonts w:cs="Times New Roman"/>
              </w:rPr>
              <w:t>Mechanizm finansowy</w:t>
            </w:r>
          </w:p>
        </w:tc>
      </w:tr>
      <w:tr w:rsidR="00F34BD4" w:rsidRPr="004A2365" w14:paraId="742658F2" w14:textId="77777777" w:rsidTr="0011179A">
        <w:tc>
          <w:tcPr>
            <w:tcW w:w="1644" w:type="dxa"/>
            <w:vAlign w:val="center"/>
          </w:tcPr>
          <w:p w14:paraId="5F0EC4EE"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Cel </w:t>
            </w:r>
          </w:p>
        </w:tc>
        <w:tc>
          <w:tcPr>
            <w:tcW w:w="7085" w:type="dxa"/>
            <w:vAlign w:val="center"/>
          </w:tcPr>
          <w:p w14:paraId="54A5B53A" w14:textId="77777777" w:rsidR="00F34BD4" w:rsidRPr="004A2365" w:rsidRDefault="00F34BD4" w:rsidP="00FF3BC7">
            <w:pPr>
              <w:spacing w:line="276" w:lineRule="auto"/>
            </w:pPr>
            <w:r w:rsidRPr="004A2365">
              <w:t>Poprawa efektywności energetycznej poprzez renowację istniejących budynków</w:t>
            </w:r>
            <w:r>
              <w:t>, poprawa efektywności energetycznej poprzez zwiększenie produkcji energii cieplnej z niskoemisyjnych źródeł ciepła</w:t>
            </w:r>
            <w:r w:rsidRPr="004A2365">
              <w:t>; zmniejszenie emisji pyłów i innych zanieczyszczeń do atmosfery</w:t>
            </w:r>
            <w:r>
              <w:t>.</w:t>
            </w:r>
          </w:p>
        </w:tc>
      </w:tr>
      <w:tr w:rsidR="00F34BD4" w:rsidRPr="004A2365" w14:paraId="0695FEB7" w14:textId="77777777" w:rsidTr="0011179A">
        <w:tc>
          <w:tcPr>
            <w:tcW w:w="1644" w:type="dxa"/>
            <w:vAlign w:val="center"/>
          </w:tcPr>
          <w:p w14:paraId="7E2F24CF"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 xml:space="preserve">Działania </w:t>
            </w:r>
          </w:p>
        </w:tc>
        <w:tc>
          <w:tcPr>
            <w:tcW w:w="7085" w:type="dxa"/>
            <w:vAlign w:val="center"/>
          </w:tcPr>
          <w:p w14:paraId="1657D0F7" w14:textId="77777777" w:rsidR="001035D8" w:rsidRPr="00A81D47" w:rsidRDefault="001035D8" w:rsidP="001035D8">
            <w:pPr>
              <w:numPr>
                <w:ilvl w:val="0"/>
                <w:numId w:val="10"/>
              </w:numPr>
              <w:spacing w:line="259" w:lineRule="auto"/>
            </w:pPr>
            <w:r w:rsidRPr="00A81D47">
              <w:t>Zakup i montaż efektywnego źródła ciepła wraz z niezbędnym osprzętem oraz/lub zbiornik c.w.u. z osprzętem;</w:t>
            </w:r>
          </w:p>
          <w:p w14:paraId="41F84C60" w14:textId="5B6D49B1" w:rsidR="001035D8" w:rsidRPr="00A81D47" w:rsidRDefault="001035D8" w:rsidP="001035D8">
            <w:pPr>
              <w:numPr>
                <w:ilvl w:val="0"/>
                <w:numId w:val="10"/>
              </w:numPr>
              <w:spacing w:line="259" w:lineRule="auto"/>
            </w:pPr>
            <w:r w:rsidRPr="00A81D47">
              <w:t xml:space="preserve">Zakup/montaż materiałów instalacyjnych i urządzeń wchodzących w skład instalacji centralnego ogrzewania (w tym kolektorów słonecznych i pomp ciepła </w:t>
            </w:r>
            <w:r w:rsidR="008F7A79">
              <w:t xml:space="preserve">do c.o. i </w:t>
            </w:r>
            <w:r w:rsidRPr="00A81D47">
              <w:t>do ciepłej wody użytkowej</w:t>
            </w:r>
            <w:r w:rsidR="008F7A79">
              <w:t xml:space="preserve"> oraz </w:t>
            </w:r>
            <w:r w:rsidR="00B778FA">
              <w:t>maga</w:t>
            </w:r>
            <w:r w:rsidR="00026E64">
              <w:t>zynów ciepła</w:t>
            </w:r>
            <w:r w:rsidRPr="00A81D47">
              <w:t>);</w:t>
            </w:r>
          </w:p>
          <w:p w14:paraId="6D96E500" w14:textId="4A96F8C1" w:rsidR="001035D8" w:rsidRPr="00A81D47" w:rsidRDefault="001035D8" w:rsidP="001035D8">
            <w:pPr>
              <w:numPr>
                <w:ilvl w:val="0"/>
                <w:numId w:val="10"/>
              </w:numPr>
              <w:spacing w:line="259" w:lineRule="auto"/>
            </w:pPr>
            <w:r w:rsidRPr="00A81D47">
              <w:t xml:space="preserve">Zakup/montaż materiałów instalacyjnych składających się na system wentylacji mechanicznej z odzyskiem ciepła </w:t>
            </w:r>
            <w:r w:rsidR="008F3996">
              <w:t xml:space="preserve">i wilgoci </w:t>
            </w:r>
            <w:r w:rsidRPr="00A81D47">
              <w:t>(wentylacja z centralą wentylacyjną, rekuperatory ścienne).</w:t>
            </w:r>
          </w:p>
          <w:p w14:paraId="50DC20F1" w14:textId="77777777" w:rsidR="001035D8" w:rsidRPr="00A81D47" w:rsidRDefault="001035D8" w:rsidP="001035D8">
            <w:pPr>
              <w:numPr>
                <w:ilvl w:val="0"/>
                <w:numId w:val="10"/>
              </w:numPr>
              <w:spacing w:line="259" w:lineRule="auto"/>
            </w:pPr>
            <w:r w:rsidRPr="00A81D47">
              <w:t>Zakup/montaż materiałów budowlanych wykorzystywanych do ocieplenia przegród budowlanych zewnętrznych i wewnętrznych oddzielających pomieszczenia ogrzewane od nieogrzewanych, stropów pod nieogrzewanymi poddaszami, stropów nad pomieszczeniami nieogrzewanymi i zamkniętymi przestrzeniami podpodłogowymi, płyt balkonowych, fundamentów itp. wchodzących w skład systemów dociepleń lub wykorzystywanych do zabezpieczenia przed zawilgoceniem.</w:t>
            </w:r>
          </w:p>
          <w:p w14:paraId="27E8A5C7" w14:textId="77777777" w:rsidR="001035D8" w:rsidRPr="00A81D47" w:rsidRDefault="001035D8" w:rsidP="001035D8">
            <w:pPr>
              <w:numPr>
                <w:ilvl w:val="0"/>
                <w:numId w:val="10"/>
              </w:numPr>
              <w:spacing w:line="259" w:lineRule="auto"/>
            </w:pPr>
            <w:r w:rsidRPr="00A81D47">
              <w:t xml:space="preserve">Zakup/montaż stolarki okiennej w tym okna/drzwi balkonowe, okna połaciowe, powierzchnie przezroczyste nieotwieralne wraz z systemami montażowymi. </w:t>
            </w:r>
          </w:p>
          <w:p w14:paraId="56F816F8" w14:textId="6817F191" w:rsidR="00F34BD4" w:rsidRPr="004A2365" w:rsidRDefault="001035D8" w:rsidP="001035D8">
            <w:pPr>
              <w:pStyle w:val="Akapitzlist"/>
              <w:numPr>
                <w:ilvl w:val="0"/>
                <w:numId w:val="10"/>
              </w:numPr>
              <w:spacing w:line="276" w:lineRule="auto"/>
              <w:rPr>
                <w:rFonts w:cs="Times New Roman"/>
              </w:rPr>
            </w:pPr>
            <w:r w:rsidRPr="00A81D47">
              <w:t>Zakup/montaż stolarki drzwiowej w tym drzwi zewnętrzne, drzwi oddzielających przestrzeń ogrzewaną od nieogrzewanej, drzwi/bramy garażowe</w:t>
            </w:r>
            <w:r>
              <w:t>.</w:t>
            </w:r>
          </w:p>
        </w:tc>
      </w:tr>
      <w:tr w:rsidR="00F34BD4" w:rsidRPr="004A2365" w14:paraId="66C9848C" w14:textId="77777777" w:rsidTr="0011179A">
        <w:tc>
          <w:tcPr>
            <w:tcW w:w="1644" w:type="dxa"/>
            <w:vAlign w:val="center"/>
          </w:tcPr>
          <w:p w14:paraId="4359650F"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Typ beneficjentów</w:t>
            </w:r>
          </w:p>
        </w:tc>
        <w:tc>
          <w:tcPr>
            <w:tcW w:w="7085" w:type="dxa"/>
            <w:vAlign w:val="center"/>
          </w:tcPr>
          <w:p w14:paraId="5786BB3A" w14:textId="034C6392" w:rsidR="00F34BD4" w:rsidRPr="004A2365" w:rsidRDefault="00F34BD4" w:rsidP="00FF3BC7">
            <w:pPr>
              <w:spacing w:line="276" w:lineRule="auto"/>
              <w:rPr>
                <w:rFonts w:cs="Times New Roman"/>
              </w:rPr>
            </w:pPr>
            <w:r w:rsidRPr="004A2365">
              <w:rPr>
                <w:rFonts w:cs="Times New Roman"/>
              </w:rPr>
              <w:t>Osoba fizyczna</w:t>
            </w:r>
            <w:r>
              <w:rPr>
                <w:rFonts w:cs="Times New Roman"/>
              </w:rPr>
              <w:t>, spółdzielnie mieszkaniowe</w:t>
            </w:r>
            <w:r w:rsidR="00767FC5">
              <w:rPr>
                <w:rFonts w:cs="Times New Roman"/>
              </w:rPr>
              <w:t>,</w:t>
            </w:r>
            <w:r>
              <w:rPr>
                <w:rFonts w:cs="Times New Roman"/>
              </w:rPr>
              <w:t xml:space="preserve"> wspólnota mieszkaniowa</w:t>
            </w:r>
            <w:r w:rsidRPr="004A2365">
              <w:rPr>
                <w:rFonts w:cs="Times New Roman"/>
              </w:rPr>
              <w:t xml:space="preserve"> </w:t>
            </w:r>
          </w:p>
        </w:tc>
      </w:tr>
      <w:tr w:rsidR="00F34BD4" w:rsidRPr="004A2365" w14:paraId="7ABA21F1" w14:textId="77777777" w:rsidTr="0011179A">
        <w:tc>
          <w:tcPr>
            <w:tcW w:w="1644" w:type="dxa"/>
            <w:vAlign w:val="center"/>
          </w:tcPr>
          <w:p w14:paraId="5BEEDEF3"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wdrażająca</w:t>
            </w:r>
          </w:p>
        </w:tc>
        <w:tc>
          <w:tcPr>
            <w:tcW w:w="7085" w:type="dxa"/>
            <w:vAlign w:val="center"/>
          </w:tcPr>
          <w:p w14:paraId="75EC0649" w14:textId="31BFEB86" w:rsidR="00F34BD4" w:rsidRPr="004A2365" w:rsidRDefault="00F34BD4" w:rsidP="00FF3BC7">
            <w:pPr>
              <w:spacing w:line="276" w:lineRule="auto"/>
              <w:rPr>
                <w:rFonts w:cs="Times New Roman"/>
              </w:rPr>
            </w:pPr>
            <w:r w:rsidRPr="004A2365">
              <w:rPr>
                <w:rFonts w:cs="Times New Roman"/>
              </w:rPr>
              <w:t>Narodowy Fundusz Ochrony Środowiska i Gospodarki Wodnej (NFOŚiGW)</w:t>
            </w:r>
            <w:r>
              <w:rPr>
                <w:rFonts w:cs="Times New Roman"/>
              </w:rPr>
              <w:t xml:space="preserve">, Wojewódzkie Fundusze Ochrony Środowiska i Gospodarki Wodnej (WFOŚiGW), </w:t>
            </w:r>
            <w:r w:rsidR="00F11A8E">
              <w:rPr>
                <w:rFonts w:cs="Times New Roman"/>
              </w:rPr>
              <w:t>j</w:t>
            </w:r>
            <w:r>
              <w:rPr>
                <w:rFonts w:cs="Times New Roman"/>
              </w:rPr>
              <w:t xml:space="preserve">ednostki </w:t>
            </w:r>
            <w:r w:rsidR="00F11A8E">
              <w:rPr>
                <w:rFonts w:cs="Times New Roman"/>
              </w:rPr>
              <w:t>s</w:t>
            </w:r>
            <w:r>
              <w:rPr>
                <w:rFonts w:cs="Times New Roman"/>
              </w:rPr>
              <w:t xml:space="preserve">amorządu </w:t>
            </w:r>
            <w:r w:rsidR="00F11A8E">
              <w:rPr>
                <w:rFonts w:cs="Times New Roman"/>
              </w:rPr>
              <w:t>t</w:t>
            </w:r>
            <w:r>
              <w:rPr>
                <w:rFonts w:cs="Times New Roman"/>
              </w:rPr>
              <w:t>erytorialnego (JST)</w:t>
            </w:r>
          </w:p>
        </w:tc>
      </w:tr>
      <w:tr w:rsidR="00F34BD4" w:rsidRPr="004A2365" w14:paraId="0CAC8996" w14:textId="77777777" w:rsidTr="0011179A">
        <w:tc>
          <w:tcPr>
            <w:tcW w:w="1644" w:type="dxa"/>
            <w:vAlign w:val="center"/>
          </w:tcPr>
          <w:p w14:paraId="51B50B78" w14:textId="77777777" w:rsidR="00F34BD4" w:rsidRPr="005F6322" w:rsidRDefault="00F34BD4" w:rsidP="00FF3BC7">
            <w:pPr>
              <w:spacing w:line="276" w:lineRule="auto"/>
              <w:jc w:val="center"/>
              <w:rPr>
                <w:rFonts w:cs="Times New Roman"/>
                <w:i/>
                <w:iCs/>
                <w:color w:val="5B9BD5" w:themeColor="accent5"/>
              </w:rPr>
            </w:pPr>
            <w:r w:rsidRPr="005F6322">
              <w:rPr>
                <w:rFonts w:cs="Times New Roman"/>
                <w:i/>
                <w:iCs/>
                <w:color w:val="5B9BD5" w:themeColor="accent5"/>
              </w:rPr>
              <w:t>Instytucja nadzorująca</w:t>
            </w:r>
          </w:p>
        </w:tc>
        <w:tc>
          <w:tcPr>
            <w:tcW w:w="7085" w:type="dxa"/>
            <w:vAlign w:val="center"/>
          </w:tcPr>
          <w:p w14:paraId="2985CA3F" w14:textId="77777777" w:rsidR="00F34BD4" w:rsidRPr="004A2365" w:rsidRDefault="00F34BD4" w:rsidP="00FF3BC7">
            <w:pPr>
              <w:spacing w:line="276" w:lineRule="auto"/>
              <w:rPr>
                <w:rFonts w:cs="Times New Roman"/>
              </w:rPr>
            </w:pPr>
            <w:r w:rsidRPr="004A2365">
              <w:rPr>
                <w:rFonts w:cs="Times New Roman"/>
              </w:rPr>
              <w:t>Ministerstwo Klimatu i Środowiska (MKiŚ)</w:t>
            </w:r>
            <w:r>
              <w:rPr>
                <w:rFonts w:cs="Times New Roman"/>
              </w:rPr>
              <w:t>, NFOŚiGW, JST</w:t>
            </w:r>
          </w:p>
        </w:tc>
      </w:tr>
      <w:tr w:rsidR="00F34BD4" w:rsidRPr="004A2365" w14:paraId="06FCFC24" w14:textId="77777777" w:rsidTr="0011179A">
        <w:tc>
          <w:tcPr>
            <w:tcW w:w="1644" w:type="dxa"/>
            <w:vAlign w:val="center"/>
          </w:tcPr>
          <w:p w14:paraId="522709E5" w14:textId="77777777" w:rsidR="00F34BD4" w:rsidRPr="005F6322" w:rsidRDefault="00F34BD4" w:rsidP="00FF3BC7">
            <w:pPr>
              <w:spacing w:line="276" w:lineRule="auto"/>
              <w:jc w:val="center"/>
              <w:rPr>
                <w:rFonts w:cs="Times New Roman"/>
                <w:i/>
                <w:iCs/>
                <w:color w:val="5B9BD5" w:themeColor="accent5"/>
              </w:rPr>
            </w:pPr>
          </w:p>
        </w:tc>
        <w:tc>
          <w:tcPr>
            <w:tcW w:w="7085" w:type="dxa"/>
            <w:vAlign w:val="center"/>
          </w:tcPr>
          <w:p w14:paraId="3EB37E31" w14:textId="77777777" w:rsidR="00F34BD4" w:rsidRPr="004A2365" w:rsidRDefault="00F34BD4" w:rsidP="00FF3BC7">
            <w:pPr>
              <w:spacing w:line="276" w:lineRule="auto"/>
              <w:rPr>
                <w:rFonts w:cs="Times New Roman"/>
              </w:rPr>
            </w:pPr>
          </w:p>
        </w:tc>
      </w:tr>
    </w:tbl>
    <w:p w14:paraId="6523E214" w14:textId="77777777" w:rsidR="00F34BD4" w:rsidRPr="004A2365" w:rsidRDefault="00F34BD4" w:rsidP="00805E07">
      <w:pPr>
        <w:pStyle w:val="Nagwek4"/>
      </w:pPr>
      <w:r>
        <w:lastRenderedPageBreak/>
        <w:t>Opis środka alternatywnego</w:t>
      </w:r>
    </w:p>
    <w:p w14:paraId="2CA4FDF9" w14:textId="553293A2" w:rsidR="00F34BD4" w:rsidRPr="004A2365" w:rsidRDefault="00F34BD4" w:rsidP="00373FD3">
      <w:r w:rsidRPr="004A2365">
        <w:t>Polity</w:t>
      </w:r>
      <w:r>
        <w:t>ka</w:t>
      </w:r>
      <w:r w:rsidRPr="004A2365">
        <w:t xml:space="preserve"> energetyczn</w:t>
      </w:r>
      <w:r>
        <w:t>a</w:t>
      </w:r>
      <w:r w:rsidRPr="004A2365">
        <w:t xml:space="preserve"> Polski </w:t>
      </w:r>
      <w:r w:rsidR="000754DF">
        <w:t xml:space="preserve">do </w:t>
      </w:r>
      <w:r w:rsidRPr="004A2365">
        <w:t>2040</w:t>
      </w:r>
      <w:r w:rsidR="000754DF">
        <w:t xml:space="preserve"> r.</w:t>
      </w:r>
      <w:r w:rsidRPr="00A87889">
        <w:rPr>
          <w:vertAlign w:val="superscript"/>
        </w:rPr>
        <w:footnoteReference w:id="12"/>
      </w:r>
      <w:r>
        <w:t xml:space="preserve"> </w:t>
      </w:r>
      <w:r w:rsidR="006833C0">
        <w:t xml:space="preserve"> wskazała konieczność realizacji </w:t>
      </w:r>
      <w:r>
        <w:t>dwóch celów szczegółowych</w:t>
      </w:r>
      <w:r w:rsidRPr="004A2365">
        <w:t xml:space="preserve">: </w:t>
      </w:r>
      <w:r w:rsidRPr="000754DF">
        <w:rPr>
          <w:i/>
          <w:iCs/>
        </w:rPr>
        <w:t>Rozwój ciepłownictwa i kogeneracji</w:t>
      </w:r>
      <w:r w:rsidRPr="00373FD3">
        <w:t xml:space="preserve"> </w:t>
      </w:r>
      <w:r w:rsidRPr="004A2365">
        <w:t xml:space="preserve">oraz </w:t>
      </w:r>
      <w:r w:rsidRPr="000754DF">
        <w:rPr>
          <w:i/>
          <w:iCs/>
        </w:rPr>
        <w:t>Poprawa efektywności energetycznej</w:t>
      </w:r>
      <w:r w:rsidRPr="004A2365">
        <w:t xml:space="preserve">. W ramach powyższych celów opisane są dwa problemy horyzontalne obserwowane w Polsce, tj. </w:t>
      </w:r>
      <w:r w:rsidRPr="009619FC">
        <w:t xml:space="preserve">ograniczenie emisji i ograniczenie wykorzystania paliw stałych w gospodarstwach domowych, </w:t>
      </w:r>
      <w:r w:rsidRPr="004A2365">
        <w:t xml:space="preserve">których skala może zostać zmniejszona poprzez </w:t>
      </w:r>
      <w:r>
        <w:t xml:space="preserve">wspieranie </w:t>
      </w:r>
      <w:r w:rsidRPr="004A2365">
        <w:t>działa</w:t>
      </w:r>
      <w:r>
        <w:t>ń</w:t>
      </w:r>
      <w:r w:rsidRPr="004A2365">
        <w:t xml:space="preserve"> na rzecz poprawy efektywności energetycznej. </w:t>
      </w:r>
    </w:p>
    <w:p w14:paraId="50AFF1BA" w14:textId="161D236C" w:rsidR="00F34BD4" w:rsidRDefault="00F34BD4" w:rsidP="00373FD3">
      <w:r w:rsidRPr="004A2365">
        <w:t xml:space="preserve">Mając na uwadze powyższe, </w:t>
      </w:r>
      <w:r>
        <w:t xml:space="preserve">od </w:t>
      </w:r>
      <w:r w:rsidRPr="004A2365">
        <w:t xml:space="preserve">2018 r. </w:t>
      </w:r>
      <w:r>
        <w:t>Narodowy Fundusz Ochrony Środowiska i Gospodarki Wodnej wdraża programy priorytetowe, które mają być ukierunkowane na poprawę efektywności energetycznej, a w rezultacie przyczyniać się do ograniczenia emisji i stopniowego odejście od stałych paliw kopalnych w</w:t>
      </w:r>
      <w:r w:rsidR="000754DF">
        <w:t> </w:t>
      </w:r>
      <w:r>
        <w:t xml:space="preserve">polskich gospodarstwach domowych. </w:t>
      </w:r>
    </w:p>
    <w:p w14:paraId="08D95639" w14:textId="77777777" w:rsidR="00F34BD4" w:rsidRDefault="00F34BD4" w:rsidP="00373FD3">
      <w:r>
        <w:t xml:space="preserve">Biorąc pod uwagę skalę wymian nieefektywnych źródeł ciepła inicjatywę przejęły również jednostki samorządu terytorialnego, które w ramach dotacji celowych przyznawanych na podstawie programów niskiej emisji, ograniczenia emisji i uchwał z zakresu ochrony środowiska realizują przedsięwzięcia służące poprawie efektywności energetycznej na terenie gminy, miasta lub powiatu. Dodatkowo JST, które objęte zostały ustawą tzw. uchwałą antysmogową mają możliwość skorzystania z dofinansowania w ramach środków programu STOP SMOG. </w:t>
      </w:r>
    </w:p>
    <w:p w14:paraId="14CD8088" w14:textId="77777777" w:rsidR="00F34BD4" w:rsidRDefault="00F34BD4" w:rsidP="00373FD3">
      <w:r>
        <w:t xml:space="preserve"> W ramach środka alternatywnego Beneficjent może zrealizować następujące przedsięwzięcia: </w:t>
      </w:r>
    </w:p>
    <w:p w14:paraId="224A1C81" w14:textId="77777777" w:rsidR="00A81D47" w:rsidRPr="00A81D47" w:rsidRDefault="00A81D47" w:rsidP="00A81D47">
      <w:pPr>
        <w:numPr>
          <w:ilvl w:val="0"/>
          <w:numId w:val="39"/>
        </w:numPr>
      </w:pPr>
      <w:r w:rsidRPr="00A81D47">
        <w:t>Zakup i montaż efektywnego źródła ciepła wraz z niezbędnym osprzętem oraz/lub zbiornik c.w.u. z osprzętem;</w:t>
      </w:r>
    </w:p>
    <w:p w14:paraId="10343504" w14:textId="47265165" w:rsidR="00A81D47" w:rsidRPr="00A81D47" w:rsidRDefault="00A81D47" w:rsidP="00A81D47">
      <w:pPr>
        <w:numPr>
          <w:ilvl w:val="0"/>
          <w:numId w:val="39"/>
        </w:numPr>
      </w:pPr>
      <w:r w:rsidRPr="00A81D47">
        <w:t>Zakup/montaż materiałów instalacyjnych i urządzeń wchodzących w skład instalacji centralnego ogrzewania (w tym kolektorów słonecznych i pomp ciepła</w:t>
      </w:r>
      <w:r w:rsidR="00712CC4">
        <w:t xml:space="preserve"> do c.o. i</w:t>
      </w:r>
      <w:r w:rsidRPr="00A81D47">
        <w:t xml:space="preserve"> do ciepłej wody użytkowej</w:t>
      </w:r>
      <w:r w:rsidR="003C0243">
        <w:t xml:space="preserve"> oraz magazynów ciepła</w:t>
      </w:r>
      <w:r w:rsidRPr="00A81D47">
        <w:t>);</w:t>
      </w:r>
    </w:p>
    <w:p w14:paraId="3DE29E1D" w14:textId="501C5FEF" w:rsidR="00A81D47" w:rsidRPr="00A81D47" w:rsidRDefault="00A81D47" w:rsidP="00A81D47">
      <w:pPr>
        <w:numPr>
          <w:ilvl w:val="0"/>
          <w:numId w:val="39"/>
        </w:numPr>
      </w:pPr>
      <w:r w:rsidRPr="00A81D47">
        <w:t xml:space="preserve">Zakup/montaż materiałów instalacyjnych składających się na system wentylacji mechanicznej z odzyskiem ciepła </w:t>
      </w:r>
      <w:r w:rsidR="00712CC4">
        <w:t xml:space="preserve">i wilgoci </w:t>
      </w:r>
      <w:r w:rsidRPr="00A81D47">
        <w:t>(wentylacja z centralą wentylacyjną, rekuperatory ścienne).</w:t>
      </w:r>
    </w:p>
    <w:p w14:paraId="39D89933" w14:textId="77777777" w:rsidR="00A81D47" w:rsidRPr="00A81D47" w:rsidRDefault="00A81D47" w:rsidP="00A81D47">
      <w:pPr>
        <w:numPr>
          <w:ilvl w:val="0"/>
          <w:numId w:val="39"/>
        </w:numPr>
      </w:pPr>
      <w:r w:rsidRPr="00A81D47">
        <w:t>Zakup/montaż materiałów budowlanych wykorzystywanych do ocieplenia przegród budowlanych zewnętrznych i wewnętrznych oddzielających pomieszczenia ogrzewane od nieogrzewanych, stropów pod nieogrzewanymi poddaszami, stropów nad pomieszczeniami nieogrzewanymi i zamkniętymi przestrzeniami podpodłogowymi, płyt balkonowych, fundamentów itp. wchodzących w skład systemów dociepleń lub wykorzystywanych do zabezpieczenia przed zawilgoceniem.</w:t>
      </w:r>
    </w:p>
    <w:p w14:paraId="457A0B20" w14:textId="77777777" w:rsidR="00A81D47" w:rsidRPr="00A81D47" w:rsidRDefault="00A81D47" w:rsidP="00A81D47">
      <w:pPr>
        <w:numPr>
          <w:ilvl w:val="0"/>
          <w:numId w:val="39"/>
        </w:numPr>
      </w:pPr>
      <w:r w:rsidRPr="00A81D47">
        <w:t xml:space="preserve">Zakup/montaż stolarki okiennej w tym okna/drzwi balkonowe, okna połaciowe, powierzchnie przezroczyste nieotwieralne wraz z systemami montażowymi. </w:t>
      </w:r>
    </w:p>
    <w:p w14:paraId="0472C4B3" w14:textId="1F527D77" w:rsidR="00A81D47" w:rsidRDefault="00A81D47" w:rsidP="00A81D47">
      <w:pPr>
        <w:pStyle w:val="Akapitzlist"/>
        <w:numPr>
          <w:ilvl w:val="0"/>
          <w:numId w:val="39"/>
        </w:numPr>
      </w:pPr>
      <w:r w:rsidRPr="00A81D47">
        <w:t>Zakup/montaż stolarki drzwiowej w tym drzwi zewnętrzne, drzwi oddzielających przestrzeń ogrzewaną od nieogrzewanej, drzwi/bramy garażowe</w:t>
      </w:r>
      <w:r>
        <w:t>.</w:t>
      </w:r>
    </w:p>
    <w:p w14:paraId="3B386E92" w14:textId="77777777" w:rsidR="00484C59" w:rsidRDefault="00484C59" w:rsidP="00A81D47"/>
    <w:p w14:paraId="3BA481EA" w14:textId="77777777" w:rsidR="00484C59" w:rsidRPr="00484C59" w:rsidRDefault="00484C59" w:rsidP="00484C59">
      <w:r w:rsidRPr="00484C59">
        <w:t xml:space="preserve">Szczególne znaczenie w wykonaniu tego działania jest możliwość skorzystania z dofinansowań porywających koszty dokumentacji technicznej, tj. audyt energetyczny, ekspertyzy i dokumentacje projektowe. </w:t>
      </w:r>
    </w:p>
    <w:p w14:paraId="3118C29A" w14:textId="77777777" w:rsidR="00484C59" w:rsidRPr="00484C59" w:rsidRDefault="00484C59" w:rsidP="00484C59">
      <w:r w:rsidRPr="00484C59">
        <w:t xml:space="preserve">Dodatkowo biorąc pod uwagę skalę wymian nieefektywnych źródeł ciepła inicjatywę przejęły również jednostki samorządu terytorialnego, które w dotacji celowych przyznawanych na podstawie programów niskiej emisji, ograniczenia emisji i uchwał z zakresu ochrony środowiska oraz centralnych programów </w:t>
      </w:r>
      <w:r w:rsidRPr="00484C59">
        <w:lastRenderedPageBreak/>
        <w:t xml:space="preserve">priorytetowych realizują przedsięwzięcia służące poprawie efektywności energetycznej na terenie gminy, miasta lub powiatu. </w:t>
      </w:r>
    </w:p>
    <w:p w14:paraId="5E7AB6E8" w14:textId="77777777" w:rsidR="00484C59" w:rsidRPr="00484C59" w:rsidRDefault="00484C59" w:rsidP="00484C59">
      <w:r w:rsidRPr="00484C59">
        <w:t>Pomimo faktu, że program realizowany jest w skali całego kraju to przyjmowanie wniosków o dofinansowanie i wydatkowanie dotacji realizowane są lokalnie, zatem dostępność informacji o dofinansowaniu jest orientowana lokalnie w punktach doradczych i informacyjnych blisko potencjalnego Beneficjenta.</w:t>
      </w:r>
    </w:p>
    <w:p w14:paraId="3B9FABCB" w14:textId="77777777" w:rsidR="00484C59" w:rsidRDefault="00484C59" w:rsidP="00867E2B">
      <w:pPr>
        <w:pStyle w:val="Bezodstpw"/>
      </w:pPr>
    </w:p>
    <w:p w14:paraId="1E7F81C8" w14:textId="7EFA06AF" w:rsidR="00F34BD4" w:rsidRDefault="00F34BD4" w:rsidP="00373FD3">
      <w:r w:rsidRPr="00164916">
        <w:t xml:space="preserve">Dodatkowo uruchomiona została platforma </w:t>
      </w:r>
      <w:r w:rsidRPr="00373FD3">
        <w:t>czystepowietrze</w:t>
      </w:r>
      <w:r w:rsidR="006D7683">
        <w:t>.gov</w:t>
      </w:r>
      <w:r w:rsidRPr="00373FD3">
        <w:t>.pl</w:t>
      </w:r>
      <w:r w:rsidRPr="00A87889">
        <w:rPr>
          <w:vertAlign w:val="superscript"/>
        </w:rPr>
        <w:footnoteReference w:id="13"/>
      </w:r>
      <w:r w:rsidRPr="00164916">
        <w:t xml:space="preserve">, gdzie </w:t>
      </w:r>
      <w:r>
        <w:t xml:space="preserve">można znaleźć wszystkie informacje na temat dostępnych programów, a dodatkowo platforma pozwala na składanie </w:t>
      </w:r>
      <w:r w:rsidRPr="00164916">
        <w:t>wniosk</w:t>
      </w:r>
      <w:r>
        <w:t>ów</w:t>
      </w:r>
      <w:r w:rsidRPr="00164916">
        <w:t xml:space="preserve"> o</w:t>
      </w:r>
      <w:r w:rsidR="00767FC5">
        <w:t> </w:t>
      </w:r>
      <w:r w:rsidRPr="00164916">
        <w:t xml:space="preserve">dofinansowanie </w:t>
      </w:r>
      <w:r>
        <w:t xml:space="preserve">drogą </w:t>
      </w:r>
      <w:r w:rsidRPr="00164916">
        <w:t xml:space="preserve">elektroniczną, co powoduje jeszcze większą chęć skorzystania z dofinansowania. </w:t>
      </w:r>
      <w:r>
        <w:t xml:space="preserve">Dopełnieniem jest również </w:t>
      </w:r>
      <w:r w:rsidRPr="00197F96">
        <w:rPr>
          <w:b/>
          <w:bCs/>
        </w:rPr>
        <w:t>Platforma Ekspertów Efektywności Energetycznej</w:t>
      </w:r>
      <w:r w:rsidRPr="00A87889">
        <w:rPr>
          <w:vertAlign w:val="superscript"/>
        </w:rPr>
        <w:footnoteReference w:id="14"/>
      </w:r>
      <w:r>
        <w:t xml:space="preserve">, której </w:t>
      </w:r>
      <w:r w:rsidRPr="003D24D7">
        <w:t xml:space="preserve">celem jest ułatwienie nawiązania kontaktu między osobami planującymi wymianę </w:t>
      </w:r>
      <w:r>
        <w:t>nieefektywnego źródła ciepła</w:t>
      </w:r>
      <w:r w:rsidRPr="003D24D7">
        <w:t xml:space="preserve"> w</w:t>
      </w:r>
      <w:r w:rsidR="00A87889">
        <w:t> </w:t>
      </w:r>
      <w:r w:rsidRPr="003D24D7">
        <w:t>swoim domu lub częściową bądź kompleksową termomodernizację budynku, a ekspertami w dziedzinie efektywności energetycznej budynku. Eksperci mogą pomóc w podjęciu racjonalnej decyzji opartej na technicznych i ekonomicznych przesłankach.</w:t>
      </w:r>
    </w:p>
    <w:p w14:paraId="4E7EC577" w14:textId="0B67890A" w:rsidR="00F34BD4" w:rsidRPr="0026334A" w:rsidRDefault="00F34BD4" w:rsidP="00805E07">
      <w:pPr>
        <w:pStyle w:val="Nagwek4"/>
      </w:pPr>
      <w:r w:rsidRPr="0026334A">
        <w:t xml:space="preserve">Zastosowane metody obliczeniowe, o których mowa w pkt 1 Załącznika V do dyrektywy </w:t>
      </w:r>
      <w:r w:rsidR="00C204DC">
        <w:t>2023/1791</w:t>
      </w:r>
    </w:p>
    <w:p w14:paraId="706A57E5" w14:textId="0F18BEF0" w:rsidR="00F34BD4" w:rsidRPr="001523A2" w:rsidRDefault="00F34BD4" w:rsidP="00373FD3">
      <w:r w:rsidRPr="00851BFF">
        <w:t xml:space="preserve">W zakresie realizacji umów z programu </w:t>
      </w:r>
      <w:r w:rsidRPr="00373FD3">
        <w:t xml:space="preserve">Poprawa Efektywności Energetycznej w Budynkach Mieszkalnych </w:t>
      </w:r>
      <w:r w:rsidRPr="00851BFF">
        <w:t xml:space="preserve">dane o uzyskanych oszczędnościach energii u odbiorców końcowych są gromadzone przez WFOŚiGW </w:t>
      </w:r>
      <w:r>
        <w:t>oraz przez JST</w:t>
      </w:r>
      <w:r w:rsidRPr="00851BFF">
        <w:t xml:space="preserve">. W związku z faktem, że program przewiduje realizację różnych przedsięwzięć, wykorzystywane są dwie możliwe metody obliczenia oszczędności </w:t>
      </w:r>
      <w:r w:rsidRPr="00284BA9">
        <w:t xml:space="preserve">energii: </w:t>
      </w:r>
      <w:r w:rsidRPr="001523A2">
        <w:t xml:space="preserve">oszczędność szacowna oraz oszczędność skalowana. </w:t>
      </w:r>
    </w:p>
    <w:p w14:paraId="3ABADB16" w14:textId="77777777" w:rsidR="00F34BD4" w:rsidRPr="00851BFF" w:rsidRDefault="00F34BD4" w:rsidP="00F34BD4">
      <w:pPr>
        <w:spacing w:after="0" w:line="360" w:lineRule="auto"/>
        <w:ind w:firstLine="709"/>
        <w:rPr>
          <w:b/>
          <w:bCs/>
          <w:i/>
          <w:iCs/>
          <w:color w:val="5B9BD5" w:themeColor="accent5"/>
        </w:rPr>
      </w:pPr>
      <w:r>
        <w:rPr>
          <w:b/>
          <w:bCs/>
          <w:i/>
          <w:iCs/>
          <w:color w:val="5B9BD5" w:themeColor="accent5"/>
        </w:rPr>
        <w:t>Oszczędność szacowana</w:t>
      </w:r>
    </w:p>
    <w:p w14:paraId="2D73AE3D" w14:textId="77777777" w:rsidR="00F34BD4" w:rsidRPr="00851BFF" w:rsidRDefault="00F34BD4" w:rsidP="00373FD3">
      <w:r w:rsidRPr="00F34BD4">
        <w:t>W ramach przeprowadzenia audytu energetycznego powstaje o</w:t>
      </w:r>
      <w:r w:rsidRPr="00851BFF">
        <w:t>pracowanie określające zakres oraz parametry techniczne i ekonomiczne przedsięwzięcia termomodernizacyjnego, ze wskazaniem rozwiązania optymalnego, w szczególności z punktu widzenia kosztów realizacji tego przedsięwzięcia oraz oszczędności energii. Audyt stanowi założenia do projektu budowlanego dotyczącego realizowanego przedsięwzięcia. Co więcej audyt określa efekt techniczny (oszczędności energii) i ekonomiczny przedsięwzięć termomodernizacyjnych, uwzględniane są straty energii (przenikanie i wentylacja), zapotrzebowanie na energię do ogrzewania, chłodzenia, oświetlenia oraz przygotowania ciepłej wody użytkowej oraz zyski słoneczne i bytowe</w:t>
      </w:r>
      <w:r>
        <w:t>.</w:t>
      </w:r>
    </w:p>
    <w:p w14:paraId="49F02C6E" w14:textId="77777777" w:rsidR="00F34BD4" w:rsidRPr="00851BFF" w:rsidRDefault="00F34BD4" w:rsidP="00F34BD4">
      <w:pPr>
        <w:spacing w:after="0" w:line="360" w:lineRule="auto"/>
        <w:ind w:firstLine="709"/>
        <w:rPr>
          <w:b/>
          <w:bCs/>
          <w:i/>
          <w:iCs/>
          <w:color w:val="5B9BD5" w:themeColor="accent5"/>
        </w:rPr>
      </w:pPr>
      <w:r w:rsidRPr="00851BFF">
        <w:rPr>
          <w:b/>
          <w:bCs/>
          <w:i/>
          <w:iCs/>
          <w:color w:val="5B9BD5" w:themeColor="accent5"/>
        </w:rPr>
        <w:t>Oszczędność skalowana</w:t>
      </w:r>
    </w:p>
    <w:p w14:paraId="1DE562BC" w14:textId="77777777" w:rsidR="00F34BD4" w:rsidRPr="00851BFF" w:rsidRDefault="00F34BD4" w:rsidP="00373FD3">
      <w:r w:rsidRPr="00851BFF">
        <w:t xml:space="preserve">W związku z faktem, że jest to program </w:t>
      </w:r>
      <w:r>
        <w:t xml:space="preserve">realizowany jest na skalę masowo - </w:t>
      </w:r>
      <w:r w:rsidRPr="00851BFF">
        <w:t>potencjalnie dotyczy milionów beneficjentów</w:t>
      </w:r>
      <w:r>
        <w:t>,</w:t>
      </w:r>
      <w:r w:rsidRPr="00851BFF">
        <w:t xml:space="preserve"> metodyka określania efektów jest szacunkowa na podstawie średnich wartości dla budynku referencyjnego. </w:t>
      </w:r>
    </w:p>
    <w:p w14:paraId="040999EC" w14:textId="77777777" w:rsidR="00F34BD4" w:rsidRPr="00DB3E40" w:rsidRDefault="00F34BD4" w:rsidP="00805E07">
      <w:pPr>
        <w:pStyle w:val="Nagwek4"/>
      </w:pPr>
      <w:r w:rsidRPr="00DB3E40">
        <w:t>Metoda wyrażania wielkości oszczędności energii (oszczędność energii pierwotnej lub finalnej)</w:t>
      </w:r>
    </w:p>
    <w:p w14:paraId="7F629B1E" w14:textId="77777777" w:rsidR="00F34BD4" w:rsidRPr="00DB3E40" w:rsidRDefault="00F34BD4" w:rsidP="00373FD3">
      <w:r w:rsidRPr="00DB3E40">
        <w:t>Wielkość zużycia energii określa się na podstawie audytu energetycznego budynku lub w uzasadnionych przypadkach uproszczonego audytu energetycznego budynku, tj. oblicz</w:t>
      </w:r>
      <w:r>
        <w:t>a się</w:t>
      </w:r>
      <w:r w:rsidRPr="00DB3E40">
        <w:t xml:space="preserve"> wskaźnik efektu ekologicznego. Na podstawie powyższych, określane są podstawowe parametry przedsięwzięcia służącego poprawie efektywności energetycznej, w tym średnioroczna oszczędność energii finalnej. </w:t>
      </w:r>
    </w:p>
    <w:p w14:paraId="04E5CA6F" w14:textId="77777777" w:rsidR="00F34BD4" w:rsidRPr="00DB3E40" w:rsidRDefault="00F34BD4" w:rsidP="00805E07">
      <w:pPr>
        <w:pStyle w:val="Nagwek4"/>
      </w:pPr>
      <w:r w:rsidRPr="00DB3E40">
        <w:lastRenderedPageBreak/>
        <w:t>Okres obowiązywania środków i tempo zmniejszania się oszczędności w tym okresie</w:t>
      </w:r>
    </w:p>
    <w:p w14:paraId="7E93B39A" w14:textId="57804534" w:rsidR="00F34BD4" w:rsidRPr="00DB3E40" w:rsidRDefault="00F34BD4" w:rsidP="00373FD3">
      <w:r w:rsidRPr="00DB3E40">
        <w:t>Zgodnie z Dodatkiem VIII</w:t>
      </w:r>
      <w:r w:rsidR="00933722">
        <w:t>.</w:t>
      </w:r>
      <w:r w:rsidRPr="00DB3E40">
        <w:t xml:space="preserve"> </w:t>
      </w:r>
      <w:r w:rsidRPr="00933722">
        <w:rPr>
          <w:i/>
          <w:iCs/>
        </w:rPr>
        <w:t>Okres obowiązywania środków i tempo zmniejszania się oszczędności w tym okresie</w:t>
      </w:r>
      <w:r w:rsidRPr="00373FD3">
        <w:t xml:space="preserve"> </w:t>
      </w:r>
      <w:r w:rsidRPr="00DB3E40">
        <w:t>do Zalece</w:t>
      </w:r>
      <w:r w:rsidR="00723E25">
        <w:t>nia</w:t>
      </w:r>
      <w:r w:rsidRPr="00DB3E40">
        <w:t xml:space="preserve"> Komisji </w:t>
      </w:r>
      <w:r w:rsidR="00723E25">
        <w:t>Europejskiej</w:t>
      </w:r>
      <w:r w:rsidR="00723E25" w:rsidRPr="00723E25">
        <w:t xml:space="preserve"> 2019/1658</w:t>
      </w:r>
      <w:r w:rsidR="00723E25">
        <w:t xml:space="preserve"> </w:t>
      </w:r>
      <w:r w:rsidRPr="00DB3E40">
        <w:t xml:space="preserve">określono orientacyjne czasy trwania środka. W ramach realizacji programu wykonywane są następujące zadania: </w:t>
      </w:r>
    </w:p>
    <w:p w14:paraId="035E0C64" w14:textId="44E08FC7" w:rsidR="00F34BD4" w:rsidRDefault="00F34BD4" w:rsidP="00767FC5">
      <w:pPr>
        <w:numPr>
          <w:ilvl w:val="0"/>
          <w:numId w:val="23"/>
        </w:numPr>
      </w:pPr>
      <w:r>
        <w:t xml:space="preserve">przedsięwzięcie niskoemisyjne zgodnie z art. 2 ust. 1b) ustawy z dnia 21 listopada 2008 </w:t>
      </w:r>
      <w:r w:rsidR="0011179A">
        <w:t>r.</w:t>
      </w:r>
      <w:r>
        <w:t xml:space="preserve"> o</w:t>
      </w:r>
      <w:r w:rsidR="00C90700">
        <w:t> </w:t>
      </w:r>
      <w:r>
        <w:t>wspieraniu termomodernizacji i remontów oraz o centralnej ewidencji emisyjności budynków (Dz. U. z 2022 r. poz. 438),</w:t>
      </w:r>
    </w:p>
    <w:p w14:paraId="4A0E0C1A" w14:textId="3829119E" w:rsidR="00F34BD4" w:rsidRPr="00DB3E40" w:rsidRDefault="00F34BD4" w:rsidP="00767FC5">
      <w:pPr>
        <w:numPr>
          <w:ilvl w:val="0"/>
          <w:numId w:val="23"/>
        </w:numPr>
      </w:pPr>
      <w:r w:rsidRPr="00DB3E40">
        <w:t xml:space="preserve">przedsięwzięcie termomodernizacyjne w rozumieniu </w:t>
      </w:r>
      <w:hyperlink r:id="rId22" w:history="1">
        <w:r w:rsidRPr="00DB3E40">
          <w:t>art. 2 pkt 2</w:t>
        </w:r>
      </w:hyperlink>
      <w:r w:rsidRPr="00DB3E40">
        <w:t xml:space="preserve"> ustawy z dnia 21 listopada 2008</w:t>
      </w:r>
      <w:r w:rsidR="00C90700">
        <w:t> </w:t>
      </w:r>
      <w:r w:rsidRPr="00DB3E40">
        <w:t xml:space="preserve">r. </w:t>
      </w:r>
      <w:r w:rsidRPr="00373FD3">
        <w:t>o wspieraniu termomodernizacji i remontów oraz o centralnej ewidencji emisyjności budynków</w:t>
      </w:r>
      <w:r w:rsidRPr="00DB3E40">
        <w:t xml:space="preserve">, </w:t>
      </w:r>
    </w:p>
    <w:p w14:paraId="17F32EFE" w14:textId="791F9D23" w:rsidR="00F34BD4" w:rsidRPr="00DB3E40" w:rsidRDefault="00F34BD4" w:rsidP="00767FC5">
      <w:pPr>
        <w:numPr>
          <w:ilvl w:val="0"/>
          <w:numId w:val="23"/>
        </w:numPr>
      </w:pPr>
      <w:r w:rsidRPr="00DB3E40">
        <w:t xml:space="preserve">przedsięwzięcie remontowe w rozumieniu </w:t>
      </w:r>
      <w:hyperlink r:id="rId23" w:history="1">
        <w:r w:rsidRPr="00DB3E40">
          <w:t>art. 2 pkt 3</w:t>
        </w:r>
      </w:hyperlink>
      <w:r w:rsidRPr="00DB3E40">
        <w:t xml:space="preserve"> ustawy z dnia 21 listopada 2008 r. </w:t>
      </w:r>
      <w:r w:rsidRPr="00373FD3">
        <w:t>o</w:t>
      </w:r>
      <w:r w:rsidR="00C90700">
        <w:t> </w:t>
      </w:r>
      <w:r w:rsidRPr="00373FD3">
        <w:t>wspieraniu termomodernizacji i remontów oraz o centralnej ewidencji emisyjności budynków</w:t>
      </w:r>
      <w:r w:rsidRPr="00DB3E40">
        <w:t xml:space="preserve">, </w:t>
      </w:r>
    </w:p>
    <w:p w14:paraId="675E8F2D" w14:textId="35CEE170" w:rsidR="00F34BD4" w:rsidRPr="00DB3E40" w:rsidRDefault="00F34BD4" w:rsidP="00767FC5">
      <w:pPr>
        <w:numPr>
          <w:ilvl w:val="0"/>
          <w:numId w:val="23"/>
        </w:numPr>
      </w:pPr>
      <w:r w:rsidRPr="00DB3E40">
        <w:t xml:space="preserve">przedsięwzięcie termomodernizacyjne finansowane ze środków, o których mowa w </w:t>
      </w:r>
      <w:hyperlink r:id="rId24" w:history="1">
        <w:r w:rsidRPr="00DB3E40">
          <w:t>art. 18 ust. 3 pkt 2-6</w:t>
        </w:r>
      </w:hyperlink>
      <w:r w:rsidRPr="00DB3E40">
        <w:t xml:space="preserve"> ustawy z dnia 20 maja 2016 r. </w:t>
      </w:r>
      <w:r w:rsidRPr="00373FD3">
        <w:t>o efektywności energetycznej</w:t>
      </w:r>
      <w:r w:rsidRPr="00DB3E40">
        <w:t xml:space="preserve"> (</w:t>
      </w:r>
      <w:r w:rsidR="006A3AA2" w:rsidRPr="006A3AA2">
        <w:t>Dz. U. z 2024 r. poz. 1047</w:t>
      </w:r>
      <w:r w:rsidRPr="00DB3E40">
        <w:t>).</w:t>
      </w:r>
    </w:p>
    <w:p w14:paraId="31A7A770" w14:textId="77777777" w:rsidR="00F34BD4" w:rsidRDefault="00F34BD4" w:rsidP="00373FD3">
      <w:r w:rsidRPr="00DB3E40">
        <w:t xml:space="preserve">Biorąc pod uwagę rodzaj przedsięwzięć realizowanych w ramach programu czas obowiązywania środków będzie nie dłuższy </w:t>
      </w:r>
      <w:r w:rsidRPr="00373FD3">
        <w:t>niż 25 lat</w:t>
      </w:r>
      <w:r w:rsidRPr="00DB3E40">
        <w:t xml:space="preserve">. </w:t>
      </w:r>
    </w:p>
    <w:p w14:paraId="07CF315B" w14:textId="77777777" w:rsidR="00F34BD4" w:rsidRPr="001644C2" w:rsidRDefault="00F34BD4" w:rsidP="00805E07">
      <w:pPr>
        <w:pStyle w:val="Nagwek4"/>
      </w:pPr>
      <w:r w:rsidRPr="001644C2">
        <w:t xml:space="preserve">Krótki opis metody obliczania oszczędności energii, w tym sposobów zapewniania dodatkowości i istotności oraz metod i poziomów referencyjnych stosowanych do oszczędności </w:t>
      </w:r>
      <w:r>
        <w:t>szacowanej</w:t>
      </w:r>
      <w:r w:rsidRPr="001644C2">
        <w:t xml:space="preserve"> i skalowanych</w:t>
      </w:r>
    </w:p>
    <w:p w14:paraId="32A53658" w14:textId="18F95672" w:rsidR="00F34BD4" w:rsidRDefault="00F34BD4" w:rsidP="00373FD3">
      <w:r>
        <w:t xml:space="preserve">Oszczędność energii finalnej obliczana </w:t>
      </w:r>
      <w:r w:rsidRPr="00956BE8">
        <w:t>na podstawie uproszczonej metodyki szacowania efektu ekologicznego, która</w:t>
      </w:r>
      <w:r>
        <w:t xml:space="preserve"> zostaje każdorazowo przygotowana na potrzeby danego priorytetowego oraz na podstawie Rozporządzenia </w:t>
      </w:r>
      <w:r w:rsidRPr="002A34FA">
        <w:t xml:space="preserve">Ministra Klimatu i Środowiska </w:t>
      </w:r>
      <w:r>
        <w:t xml:space="preserve">z dnia 22 listopada 2021 r. </w:t>
      </w:r>
      <w:r w:rsidRPr="00373FD3">
        <w:t xml:space="preserve">w sprawie wartości referencyjnych oszczędności energii finalnej dla przedsięwzięć służących poprawie efektywności energetycznej oraz w sprawie sposobu obliczania tych wartości </w:t>
      </w:r>
      <w:r>
        <w:t xml:space="preserve">(Dz. U. z 2021 r. poz. 2172). </w:t>
      </w:r>
      <w:r w:rsidRPr="00956BE8">
        <w:t xml:space="preserve">Stosowna metodyka została opracowana </w:t>
      </w:r>
      <w:r>
        <w:t xml:space="preserve">biorąc pod uwagę </w:t>
      </w:r>
      <w:r w:rsidRPr="00956BE8">
        <w:t>sprawnoś</w:t>
      </w:r>
      <w:r>
        <w:t>ć</w:t>
      </w:r>
      <w:r w:rsidRPr="00956BE8">
        <w:t xml:space="preserve"> sezonow</w:t>
      </w:r>
      <w:r>
        <w:t>ą</w:t>
      </w:r>
      <w:r w:rsidRPr="00956BE8">
        <w:t xml:space="preserve"> źródeł ciepła oraz współczynnik nakładu nieodnawialnej energii pierwotnej</w:t>
      </w:r>
      <w:r>
        <w:t>. Dane do szacunków</w:t>
      </w:r>
      <w:r w:rsidRPr="00956BE8">
        <w:t xml:space="preserve"> zostały przyjęte na podstawie dostępnej literatury </w:t>
      </w:r>
      <w:r>
        <w:t>oraz</w:t>
      </w:r>
      <w:r w:rsidRPr="00956BE8">
        <w:t xml:space="preserve"> Rozporządzenia Ministra Infrastruktury i Rozwoju z dnia 27 lutego 2015 r. </w:t>
      </w:r>
      <w:r w:rsidRPr="00373FD3">
        <w:t xml:space="preserve">w sprawie metodologii wyznaczania charakterystyki energetycznej budynku lub części budynku oraz świadectw charakterystyki energetycznej </w:t>
      </w:r>
      <w:r w:rsidRPr="006114CF">
        <w:t>(Dz. U. z 2015 r. poz. 376).</w:t>
      </w:r>
      <w:r w:rsidRPr="00373FD3">
        <w:t xml:space="preserve"> </w:t>
      </w:r>
      <w:r w:rsidRPr="00956BE8">
        <w:t>Na tej podstawie, dla każdego z przedsięwzięć realizowanego w ramach programu ustalone zostały uśrednione wskaźniki osiągnięcia celu (tj. zmniejszenie zużycia energii końcowej) w odniesieniu do 1m</w:t>
      </w:r>
      <w:r w:rsidRPr="00373FD3">
        <w:t>2</w:t>
      </w:r>
      <w:r w:rsidRPr="00956BE8">
        <w:t xml:space="preserve"> powierzchni lokalu</w:t>
      </w:r>
      <w:r>
        <w:t>. W</w:t>
      </w:r>
      <w:r w:rsidRPr="00956BE8">
        <w:t xml:space="preserve"> celu monitorowania postępu osiągania założonego celu </w:t>
      </w:r>
      <w:r>
        <w:t xml:space="preserve">oszczędności energii finalnej </w:t>
      </w:r>
      <w:r w:rsidRPr="00956BE8">
        <w:t xml:space="preserve">stosuje się następujący wzór: </w:t>
      </w:r>
    </w:p>
    <w:p w14:paraId="53FA6AFF" w14:textId="77777777" w:rsidR="00F34BD4" w:rsidRPr="00956BE8" w:rsidRDefault="00F34BD4" w:rsidP="00F34BD4">
      <w:pPr>
        <w:spacing w:after="0" w:line="360" w:lineRule="auto"/>
        <w:ind w:firstLine="709"/>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512"/>
        <w:gridCol w:w="562"/>
      </w:tblGrid>
      <w:tr w:rsidR="00F34BD4" w14:paraId="1A583779" w14:textId="77777777">
        <w:tc>
          <w:tcPr>
            <w:tcW w:w="988" w:type="dxa"/>
          </w:tcPr>
          <w:p w14:paraId="48E7982C" w14:textId="77777777" w:rsidR="00F34BD4" w:rsidRDefault="00F34BD4">
            <w:pPr>
              <w:spacing w:line="360" w:lineRule="auto"/>
            </w:pPr>
          </w:p>
        </w:tc>
        <w:tc>
          <w:tcPr>
            <w:tcW w:w="7512" w:type="dxa"/>
          </w:tcPr>
          <w:p w14:paraId="77C59A29" w14:textId="25A4F5D1" w:rsidR="00F34BD4" w:rsidRPr="00417968" w:rsidRDefault="00E3653D">
            <w:pPr>
              <w:spacing w:line="360" w:lineRule="auto"/>
              <w:ind w:firstLine="709"/>
              <w:rPr>
                <w:b/>
                <w:bCs/>
                <w:sz w:val="28"/>
                <w:szCs w:val="28"/>
              </w:rPr>
            </w:pPr>
            <m:oMathPara>
              <m:oMath>
                <m:sSub>
                  <m:sSubPr>
                    <m:ctrlPr>
                      <w:rPr>
                        <w:rFonts w:ascii="Cambria Math" w:hAnsi="Cambria Math"/>
                        <w:b/>
                        <w:bCs/>
                        <w:sz w:val="28"/>
                        <w:szCs w:val="28"/>
                      </w:rPr>
                    </m:ctrlPr>
                  </m:sSubPr>
                  <m:e>
                    <m:r>
                      <m:rPr>
                        <m:sty m:val="bi"/>
                      </m:rPr>
                      <w:rPr>
                        <w:rFonts w:ascii="Cambria Math" w:hAnsi="Cambria Math"/>
                        <w:sz w:val="28"/>
                        <w:szCs w:val="28"/>
                      </w:rPr>
                      <m:t>R</m:t>
                    </m:r>
                  </m:e>
                  <m:sub>
                    <m:r>
                      <m:rPr>
                        <m:sty m:val="bi"/>
                      </m:rPr>
                      <w:rPr>
                        <w:rFonts w:ascii="Cambria Math" w:hAnsi="Cambria Math"/>
                        <w:sz w:val="28"/>
                        <w:szCs w:val="28"/>
                      </w:rPr>
                      <m:t>f</m:t>
                    </m:r>
                  </m:sub>
                </m:sSub>
                <m:r>
                  <m:rPr>
                    <m:sty m:val="b"/>
                  </m:rPr>
                  <w:rPr>
                    <w:rFonts w:ascii="Cambria Math" w:hAnsi="Cambria Math"/>
                    <w:sz w:val="28"/>
                    <w:szCs w:val="28"/>
                  </w:rPr>
                  <m:t>=A∙ω</m:t>
                </m:r>
              </m:oMath>
            </m:oMathPara>
          </w:p>
        </w:tc>
        <w:tc>
          <w:tcPr>
            <w:tcW w:w="562" w:type="dxa"/>
          </w:tcPr>
          <w:p w14:paraId="72B8105A" w14:textId="77777777" w:rsidR="00F34BD4" w:rsidRDefault="00F34BD4">
            <w:pPr>
              <w:spacing w:line="360" w:lineRule="auto"/>
            </w:pPr>
            <w:r>
              <w:t>(4)</w:t>
            </w:r>
          </w:p>
        </w:tc>
      </w:tr>
    </w:tbl>
    <w:p w14:paraId="4554CA4A" w14:textId="77777777" w:rsidR="00F34BD4" w:rsidRPr="001644C2" w:rsidRDefault="00F34BD4" w:rsidP="00F34BD4">
      <w:pPr>
        <w:spacing w:after="0" w:line="360" w:lineRule="auto"/>
      </w:pPr>
      <w:r w:rsidRPr="001644C2">
        <w:t xml:space="preserve">gdzie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390"/>
        <w:gridCol w:w="7082"/>
      </w:tblGrid>
      <w:tr w:rsidR="00F34BD4" w14:paraId="684A260F" w14:textId="77777777">
        <w:tc>
          <w:tcPr>
            <w:tcW w:w="1590" w:type="dxa"/>
          </w:tcPr>
          <w:p w14:paraId="60E14E99" w14:textId="77777777" w:rsidR="00F34BD4" w:rsidRPr="005A569A" w:rsidRDefault="00E3653D">
            <w:pPr>
              <w:spacing w:line="360" w:lineRule="auto"/>
              <w:rPr>
                <w:rFonts w:eastAsia="Calibri" w:cs="Arial"/>
              </w:rPr>
            </w:pPr>
            <m:oMathPara>
              <m:oMathParaPr>
                <m:jc m:val="left"/>
              </m:oMathParaPr>
              <m:oMath>
                <m:sSub>
                  <m:sSubPr>
                    <m:ctrlPr>
                      <w:rPr>
                        <w:rFonts w:ascii="Cambria Math" w:hAnsi="Cambria Math"/>
                      </w:rPr>
                    </m:ctrlPr>
                  </m:sSubPr>
                  <m:e>
                    <m:r>
                      <w:rPr>
                        <w:rFonts w:ascii="Cambria Math" w:hAnsi="Cambria Math"/>
                      </w:rPr>
                      <m:t>R</m:t>
                    </m:r>
                  </m:e>
                  <m:sub>
                    <m:r>
                      <w:rPr>
                        <w:rFonts w:ascii="Cambria Math" w:hAnsi="Cambria Math"/>
                      </w:rPr>
                      <m:t>f</m:t>
                    </m:r>
                  </m:sub>
                </m:sSub>
              </m:oMath>
            </m:oMathPara>
          </w:p>
        </w:tc>
        <w:tc>
          <w:tcPr>
            <w:tcW w:w="390" w:type="dxa"/>
          </w:tcPr>
          <w:p w14:paraId="3E913BFE" w14:textId="1A40C188" w:rsidR="00F34BD4" w:rsidRDefault="00CB598F">
            <w:pPr>
              <w:spacing w:line="360" w:lineRule="auto"/>
            </w:pPr>
            <w:r>
              <w:t>–</w:t>
            </w:r>
          </w:p>
        </w:tc>
        <w:tc>
          <w:tcPr>
            <w:tcW w:w="7082" w:type="dxa"/>
          </w:tcPr>
          <w:p w14:paraId="64B75524" w14:textId="5F9953DA" w:rsidR="00F34BD4" w:rsidRPr="007356AA" w:rsidRDefault="00F34BD4" w:rsidP="00767FC5">
            <w:r w:rsidRPr="00E9324C">
              <w:t>wartość referencyjną oszczędności energii finalnej</w:t>
            </w:r>
            <w:r>
              <w:t xml:space="preserve"> [ktoe/rok]</w:t>
            </w:r>
          </w:p>
        </w:tc>
      </w:tr>
      <w:tr w:rsidR="00F34BD4" w14:paraId="3217C6AF" w14:textId="77777777">
        <w:tc>
          <w:tcPr>
            <w:tcW w:w="1590" w:type="dxa"/>
          </w:tcPr>
          <w:p w14:paraId="7FA3016F" w14:textId="77777777" w:rsidR="00F34BD4" w:rsidRPr="005F0FD1" w:rsidRDefault="00F34BD4">
            <w:pPr>
              <w:spacing w:line="360" w:lineRule="auto"/>
            </w:pPr>
            <m:oMathPara>
              <m:oMathParaPr>
                <m:jc m:val="left"/>
              </m:oMathParaPr>
              <m:oMath>
                <m:r>
                  <m:rPr>
                    <m:sty m:val="p"/>
                  </m:rPr>
                  <w:rPr>
                    <w:rFonts w:ascii="Cambria Math" w:hAnsi="Cambria Math"/>
                  </w:rPr>
                  <m:t>A</m:t>
                </m:r>
              </m:oMath>
            </m:oMathPara>
          </w:p>
        </w:tc>
        <w:tc>
          <w:tcPr>
            <w:tcW w:w="390" w:type="dxa"/>
          </w:tcPr>
          <w:p w14:paraId="2B7B066C" w14:textId="58C5D987" w:rsidR="00F34BD4" w:rsidRDefault="00CB598F">
            <w:pPr>
              <w:spacing w:line="360" w:lineRule="auto"/>
            </w:pPr>
            <w:r>
              <w:t>–</w:t>
            </w:r>
          </w:p>
        </w:tc>
        <w:tc>
          <w:tcPr>
            <w:tcW w:w="7082" w:type="dxa"/>
          </w:tcPr>
          <w:p w14:paraId="29B223E5" w14:textId="2D21B085" w:rsidR="00F34BD4" w:rsidRDefault="00F34BD4" w:rsidP="00767FC5">
            <w:r w:rsidRPr="007356AA">
              <w:t>powierzchnia o regulowanej temperaturze powietrza</w:t>
            </w:r>
            <w:r>
              <w:t xml:space="preserve"> [m</w:t>
            </w:r>
            <w:r>
              <w:rPr>
                <w:vertAlign w:val="superscript"/>
              </w:rPr>
              <w:t>2</w:t>
            </w:r>
            <w:r>
              <w:t>]</w:t>
            </w:r>
          </w:p>
        </w:tc>
      </w:tr>
      <w:tr w:rsidR="00F34BD4" w14:paraId="3371FD8C" w14:textId="77777777">
        <w:tc>
          <w:tcPr>
            <w:tcW w:w="1590" w:type="dxa"/>
          </w:tcPr>
          <w:p w14:paraId="552DEDC8" w14:textId="77777777" w:rsidR="00F34BD4" w:rsidRPr="005F0FD1" w:rsidRDefault="00F34BD4">
            <w:pPr>
              <w:spacing w:line="360" w:lineRule="auto"/>
              <w:rPr>
                <w:rFonts w:eastAsia="Calibri" w:cs="Arial"/>
              </w:rPr>
            </w:pPr>
            <m:oMathPara>
              <m:oMathParaPr>
                <m:jc m:val="left"/>
              </m:oMathParaPr>
              <m:oMath>
                <m:r>
                  <m:rPr>
                    <m:sty m:val="p"/>
                  </m:rPr>
                  <w:rPr>
                    <w:rFonts w:ascii="Cambria Math" w:hAnsi="Cambria Math"/>
                  </w:rPr>
                  <m:t>ω</m:t>
                </m:r>
              </m:oMath>
            </m:oMathPara>
          </w:p>
        </w:tc>
        <w:tc>
          <w:tcPr>
            <w:tcW w:w="390" w:type="dxa"/>
          </w:tcPr>
          <w:p w14:paraId="5E07F310" w14:textId="43DE06D7" w:rsidR="00F34BD4" w:rsidRDefault="00CB598F">
            <w:pPr>
              <w:spacing w:line="360" w:lineRule="auto"/>
            </w:pPr>
            <w:r>
              <w:t>–</w:t>
            </w:r>
          </w:p>
        </w:tc>
        <w:tc>
          <w:tcPr>
            <w:tcW w:w="7082" w:type="dxa"/>
          </w:tcPr>
          <w:p w14:paraId="72048BBE" w14:textId="43D9C8F6" w:rsidR="00F34BD4" w:rsidRDefault="00F34BD4" w:rsidP="00767FC5">
            <w:r w:rsidRPr="00981769">
              <w:t>współczynnik oszczędności energii finalnej dla przedsięwzięcia polegającego na wymianie w budynku mieszkalnym źródła ciepła</w:t>
            </w:r>
            <w:r>
              <w:t xml:space="preserve"> [toe/m</w:t>
            </w:r>
            <w:r>
              <w:rPr>
                <w:vertAlign w:val="superscript"/>
              </w:rPr>
              <w:t>2</w:t>
            </w:r>
            <w:r>
              <w:t>]</w:t>
            </w:r>
          </w:p>
        </w:tc>
      </w:tr>
    </w:tbl>
    <w:p w14:paraId="3718B1B6" w14:textId="77777777" w:rsidR="00F34BD4" w:rsidRPr="002A34FA" w:rsidRDefault="00F34BD4" w:rsidP="00F34BD4">
      <w:pPr>
        <w:spacing w:after="0" w:line="360" w:lineRule="auto"/>
        <w:ind w:firstLine="709"/>
      </w:pPr>
    </w:p>
    <w:p w14:paraId="49666264" w14:textId="562431D6" w:rsidR="00F34BD4" w:rsidRDefault="00F34BD4" w:rsidP="00373FD3">
      <w:r>
        <w:lastRenderedPageBreak/>
        <w:t xml:space="preserve">Biorąc pod uwagę fakt, że program zakłada również możliwość realizacji przedsięwzięcia na podstawie audytu energetycznego, w którym oszacowane zostają wskaźniki… ostatecznie oszczędność energii finalnej dla programu </w:t>
      </w:r>
      <w:r w:rsidRPr="00CB598F">
        <w:rPr>
          <w:i/>
          <w:iCs/>
        </w:rPr>
        <w:t xml:space="preserve">Poprawa </w:t>
      </w:r>
      <w:r w:rsidR="00291573">
        <w:rPr>
          <w:i/>
          <w:iCs/>
        </w:rPr>
        <w:t>e</w:t>
      </w:r>
      <w:r w:rsidRPr="00CB598F">
        <w:rPr>
          <w:i/>
          <w:iCs/>
        </w:rPr>
        <w:t xml:space="preserve">fektywności </w:t>
      </w:r>
      <w:r w:rsidR="00291573">
        <w:rPr>
          <w:i/>
          <w:iCs/>
        </w:rPr>
        <w:t>e</w:t>
      </w:r>
      <w:r w:rsidRPr="00CB598F">
        <w:rPr>
          <w:i/>
          <w:iCs/>
        </w:rPr>
        <w:t xml:space="preserve">nergetycznej </w:t>
      </w:r>
      <w:r w:rsidR="00291573">
        <w:rPr>
          <w:i/>
          <w:iCs/>
        </w:rPr>
        <w:t>b</w:t>
      </w:r>
      <w:r w:rsidRPr="00CB598F">
        <w:rPr>
          <w:i/>
          <w:iCs/>
        </w:rPr>
        <w:t xml:space="preserve">udynków </w:t>
      </w:r>
      <w:r w:rsidR="00291573">
        <w:rPr>
          <w:i/>
          <w:iCs/>
        </w:rPr>
        <w:t>m</w:t>
      </w:r>
      <w:r w:rsidRPr="00CB598F">
        <w:rPr>
          <w:i/>
          <w:iCs/>
        </w:rPr>
        <w:t>ieszkalnych</w:t>
      </w:r>
      <w:r>
        <w:t xml:space="preserve"> oblicza się ze wzoru: </w:t>
      </w:r>
    </w:p>
    <w:p w14:paraId="77D976E8" w14:textId="77777777" w:rsidR="00F34BD4" w:rsidRDefault="00F34BD4" w:rsidP="00F34BD4">
      <w:pPr>
        <w:spacing w:after="0" w:line="360"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512"/>
        <w:gridCol w:w="562"/>
      </w:tblGrid>
      <w:tr w:rsidR="00F34BD4" w14:paraId="0A7C504A" w14:textId="77777777">
        <w:tc>
          <w:tcPr>
            <w:tcW w:w="988" w:type="dxa"/>
          </w:tcPr>
          <w:p w14:paraId="6CB3A7A7" w14:textId="77777777" w:rsidR="00F34BD4" w:rsidRDefault="00F34BD4">
            <w:pPr>
              <w:spacing w:line="360" w:lineRule="auto"/>
            </w:pPr>
          </w:p>
          <w:p w14:paraId="433397CC" w14:textId="77777777" w:rsidR="00F34BD4" w:rsidRDefault="00F34BD4">
            <w:pPr>
              <w:spacing w:line="360" w:lineRule="auto"/>
            </w:pPr>
          </w:p>
        </w:tc>
        <w:tc>
          <w:tcPr>
            <w:tcW w:w="7512" w:type="dxa"/>
          </w:tcPr>
          <w:p w14:paraId="2D5336C4" w14:textId="0DBD5938" w:rsidR="00F34BD4" w:rsidRPr="00417968" w:rsidRDefault="00E3653D">
            <w:pPr>
              <w:spacing w:line="360" w:lineRule="auto"/>
              <w:ind w:firstLine="709"/>
              <w:rPr>
                <w:b/>
                <w:bCs/>
                <w:sz w:val="28"/>
                <w:szCs w:val="28"/>
              </w:rPr>
            </w:pPr>
            <m:oMathPara>
              <m:oMath>
                <m:sSub>
                  <m:sSubPr>
                    <m:ctrlPr>
                      <w:rPr>
                        <w:rFonts w:ascii="Cambria Math" w:hAnsi="Cambria Math"/>
                        <w:b/>
                        <w:bCs/>
                        <w:sz w:val="28"/>
                        <w:szCs w:val="28"/>
                      </w:rPr>
                    </m:ctrlPr>
                  </m:sSubPr>
                  <m:e>
                    <m:r>
                      <m:rPr>
                        <m:sty m:val="bi"/>
                      </m:rPr>
                      <w:rPr>
                        <w:rFonts w:ascii="Cambria Math" w:hAnsi="Cambria Math"/>
                        <w:sz w:val="28"/>
                        <w:szCs w:val="28"/>
                      </w:rPr>
                      <m:t>O</m:t>
                    </m:r>
                  </m:e>
                  <m:sub>
                    <m:r>
                      <m:rPr>
                        <m:sty m:val="bi"/>
                      </m:rPr>
                      <w:rPr>
                        <w:rFonts w:ascii="Cambria Math" w:hAnsi="Cambria Math"/>
                        <w:sz w:val="28"/>
                        <w:szCs w:val="28"/>
                      </w:rPr>
                      <m:t>PEEBM</m:t>
                    </m:r>
                  </m:sub>
                </m:sSub>
                <m:r>
                  <m:rPr>
                    <m:sty m:val="b"/>
                  </m:rPr>
                  <w:rPr>
                    <w:rFonts w:ascii="Cambria Math" w:hAnsi="Cambria Math"/>
                    <w:sz w:val="28"/>
                    <w:szCs w:val="28"/>
                  </w:rPr>
                  <m:t>=</m:t>
                </m:r>
                <m:sSub>
                  <m:sSubPr>
                    <m:ctrlPr>
                      <w:rPr>
                        <w:rFonts w:ascii="Cambria Math" w:hAnsi="Cambria Math"/>
                        <w:b/>
                        <w:bCs/>
                        <w:sz w:val="28"/>
                        <w:szCs w:val="28"/>
                      </w:rPr>
                    </m:ctrlPr>
                  </m:sSubPr>
                  <m:e>
                    <m:r>
                      <m:rPr>
                        <m:sty m:val="bi"/>
                      </m:rPr>
                      <w:rPr>
                        <w:rFonts w:ascii="Cambria Math" w:hAnsi="Cambria Math"/>
                        <w:sz w:val="28"/>
                        <w:szCs w:val="28"/>
                      </w:rPr>
                      <m:t>R</m:t>
                    </m:r>
                  </m:e>
                  <m:sub>
                    <m:r>
                      <m:rPr>
                        <m:sty m:val="bi"/>
                      </m:rPr>
                      <w:rPr>
                        <w:rFonts w:ascii="Cambria Math" w:hAnsi="Cambria Math"/>
                        <w:sz w:val="28"/>
                        <w:szCs w:val="28"/>
                      </w:rPr>
                      <m:t>f</m:t>
                    </m:r>
                  </m:sub>
                </m:sSub>
                <m:r>
                  <m:rPr>
                    <m:sty m:val="b"/>
                  </m:rPr>
                  <w:rPr>
                    <w:rFonts w:ascii="Cambria Math" w:hAnsi="Cambria Math"/>
                    <w:sz w:val="28"/>
                    <w:szCs w:val="28"/>
                  </w:rPr>
                  <m:t>+</m:t>
                </m:r>
                <m:r>
                  <m:rPr>
                    <m:sty m:val="bi"/>
                  </m:rPr>
                  <w:rPr>
                    <w:rFonts w:ascii="Cambria Math" w:hAnsi="Cambria Math"/>
                    <w:sz w:val="28"/>
                    <w:szCs w:val="28"/>
                  </w:rPr>
                  <m:t>other savings</m:t>
                </m:r>
              </m:oMath>
            </m:oMathPara>
          </w:p>
        </w:tc>
        <w:tc>
          <w:tcPr>
            <w:tcW w:w="562" w:type="dxa"/>
          </w:tcPr>
          <w:p w14:paraId="6C68C5E2" w14:textId="77777777" w:rsidR="00F34BD4" w:rsidRDefault="00F34BD4">
            <w:pPr>
              <w:spacing w:line="360" w:lineRule="auto"/>
            </w:pPr>
            <w:r>
              <w:t>(5)</w:t>
            </w:r>
          </w:p>
        </w:tc>
      </w:tr>
    </w:tbl>
    <w:p w14:paraId="5E20CA9F" w14:textId="77777777" w:rsidR="00F34BD4" w:rsidRPr="001644C2" w:rsidRDefault="00F34BD4" w:rsidP="00F34BD4">
      <w:pPr>
        <w:spacing w:after="0" w:line="360" w:lineRule="auto"/>
      </w:pPr>
      <w:r w:rsidRPr="001644C2">
        <w:t xml:space="preserve">gdzie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390"/>
        <w:gridCol w:w="7082"/>
      </w:tblGrid>
      <w:tr w:rsidR="00F34BD4" w14:paraId="5A90EC51" w14:textId="77777777">
        <w:tc>
          <w:tcPr>
            <w:tcW w:w="1590" w:type="dxa"/>
          </w:tcPr>
          <w:p w14:paraId="2B0A2841" w14:textId="77777777" w:rsidR="00F34BD4" w:rsidRPr="00417968" w:rsidRDefault="00E3653D">
            <w:pPr>
              <w:spacing w:line="360" w:lineRule="auto"/>
            </w:pPr>
            <m:oMathPara>
              <m:oMathParaPr>
                <m:jc m:val="left"/>
              </m:oMathParaPr>
              <m:oMath>
                <m:sSub>
                  <m:sSubPr>
                    <m:ctrlPr>
                      <w:rPr>
                        <w:rFonts w:ascii="Cambria Math" w:hAnsi="Cambria Math"/>
                      </w:rPr>
                    </m:ctrlPr>
                  </m:sSubPr>
                  <m:e>
                    <m:r>
                      <w:rPr>
                        <w:rFonts w:ascii="Cambria Math" w:hAnsi="Cambria Math"/>
                      </w:rPr>
                      <m:t>O</m:t>
                    </m:r>
                  </m:e>
                  <m:sub>
                    <m:r>
                      <w:rPr>
                        <w:rFonts w:ascii="Cambria Math" w:hAnsi="Cambria Math"/>
                      </w:rPr>
                      <m:t>PEEBM</m:t>
                    </m:r>
                  </m:sub>
                </m:sSub>
              </m:oMath>
            </m:oMathPara>
          </w:p>
        </w:tc>
        <w:tc>
          <w:tcPr>
            <w:tcW w:w="390" w:type="dxa"/>
          </w:tcPr>
          <w:p w14:paraId="3FB70E12" w14:textId="20BB0C98" w:rsidR="00F34BD4" w:rsidRDefault="00CB598F">
            <w:pPr>
              <w:spacing w:line="360" w:lineRule="auto"/>
            </w:pPr>
            <w:r>
              <w:t>–</w:t>
            </w:r>
          </w:p>
        </w:tc>
        <w:tc>
          <w:tcPr>
            <w:tcW w:w="7082" w:type="dxa"/>
          </w:tcPr>
          <w:p w14:paraId="6CA394D0" w14:textId="4598C59E" w:rsidR="00F34BD4" w:rsidRDefault="00F34BD4" w:rsidP="00767FC5">
            <w:r>
              <w:t>oszczędność energii finalnej [ktoe/rok]</w:t>
            </w:r>
          </w:p>
        </w:tc>
      </w:tr>
      <w:tr w:rsidR="00F34BD4" w14:paraId="6E0586F1" w14:textId="77777777">
        <w:tc>
          <w:tcPr>
            <w:tcW w:w="1590" w:type="dxa"/>
          </w:tcPr>
          <w:p w14:paraId="04C6C9E7" w14:textId="77777777" w:rsidR="00F34BD4" w:rsidRPr="00417968" w:rsidRDefault="00F34BD4">
            <w:pPr>
              <w:spacing w:line="360" w:lineRule="auto"/>
              <w:rPr>
                <w:rFonts w:eastAsia="Calibri" w:cs="Arial"/>
              </w:rPr>
            </w:pPr>
            <m:oMathPara>
              <m:oMathParaPr>
                <m:jc m:val="left"/>
              </m:oMathParaPr>
              <m:oMath>
                <m:r>
                  <w:rPr>
                    <w:rFonts w:ascii="Cambria Math" w:hAnsi="Cambria Math"/>
                  </w:rPr>
                  <m:t>other savings</m:t>
                </m:r>
              </m:oMath>
            </m:oMathPara>
          </w:p>
        </w:tc>
        <w:tc>
          <w:tcPr>
            <w:tcW w:w="390" w:type="dxa"/>
          </w:tcPr>
          <w:p w14:paraId="593C5AAA" w14:textId="13982E4B" w:rsidR="00F34BD4" w:rsidRDefault="00CB598F">
            <w:pPr>
              <w:spacing w:line="360" w:lineRule="auto"/>
            </w:pPr>
            <w:r>
              <w:t>–</w:t>
            </w:r>
          </w:p>
        </w:tc>
        <w:tc>
          <w:tcPr>
            <w:tcW w:w="7082" w:type="dxa"/>
          </w:tcPr>
          <w:p w14:paraId="7B6F0AFD" w14:textId="10E2274D" w:rsidR="00F34BD4" w:rsidRDefault="00F34BD4" w:rsidP="00767FC5">
            <w:r>
              <w:t>inne oszczędności energii finalnej wynikające z metody szacowanej, tj. z</w:t>
            </w:r>
            <w:r w:rsidR="00767FC5">
              <w:t> </w:t>
            </w:r>
            <w:r>
              <w:t>audytów energetycznych lub efektywności energetycznej przeprowadzanych w ramach realizacji przedsięwzięcia</w:t>
            </w:r>
          </w:p>
        </w:tc>
      </w:tr>
    </w:tbl>
    <w:p w14:paraId="6516AF47" w14:textId="77777777" w:rsidR="00F34BD4" w:rsidRPr="001644C2" w:rsidRDefault="00F34BD4" w:rsidP="00F34BD4">
      <w:pPr>
        <w:spacing w:after="0" w:line="360" w:lineRule="auto"/>
        <w:ind w:firstLine="709"/>
      </w:pPr>
    </w:p>
    <w:p w14:paraId="324F2E01" w14:textId="1945FBD3" w:rsidR="00F34BD4" w:rsidRPr="004E2B0D" w:rsidRDefault="00F34BD4" w:rsidP="00373FD3">
      <w:r w:rsidRPr="004E2B0D">
        <w:t>Wartości szacunkowe określone na podstawie Metodyki szacowania efektu przekazanej przez NFOŚiGW</w:t>
      </w:r>
      <w:r>
        <w:t xml:space="preserve"> są na bieżąco aktualizowane w ramach wybiórczych kontroli trwałości</w:t>
      </w:r>
      <w:r w:rsidRPr="004E2B0D">
        <w:t xml:space="preserve"> przedsięwzięcia. </w:t>
      </w:r>
      <w:r>
        <w:t>Regulamin programu przewiduje</w:t>
      </w:r>
      <w:r w:rsidR="00767FC5">
        <w:t>,</w:t>
      </w:r>
      <w:r>
        <w:t xml:space="preserve"> aby finansowana w ramach przedsięwzięcia instalacja była użytkowana minimum od 3 do 5 lat w zależności od rodzaju inwestycji. W tym okresie NFOŚiGW przeprowadza wybiórcze kontrole mające na celu aktualizacje oszacowanych wartości wskaźników efektów ekologicznych, w tym oszczędności energii finalnej. </w:t>
      </w:r>
    </w:p>
    <w:p w14:paraId="22A4B5D4" w14:textId="77777777" w:rsidR="00F34BD4" w:rsidRPr="00707A7A" w:rsidRDefault="00F34BD4" w:rsidP="00767FC5">
      <w:pPr>
        <w:keepNext/>
        <w:spacing w:before="360" w:after="0" w:line="360" w:lineRule="auto"/>
        <w:rPr>
          <w:b/>
          <w:bCs/>
          <w:i/>
          <w:iCs/>
          <w:color w:val="5B9BD5" w:themeColor="accent5"/>
        </w:rPr>
      </w:pPr>
      <w:r w:rsidRPr="001D4A88">
        <w:rPr>
          <w:rStyle w:val="zasadaZnak"/>
        </w:rPr>
        <w:t>Zasada</w:t>
      </w:r>
      <w:r w:rsidRPr="00707A7A">
        <w:rPr>
          <w:b/>
          <w:bCs/>
          <w:i/>
          <w:iCs/>
          <w:color w:val="5B9BD5" w:themeColor="accent5"/>
        </w:rPr>
        <w:t xml:space="preserve"> istotności</w:t>
      </w:r>
    </w:p>
    <w:p w14:paraId="23E05B36" w14:textId="77777777" w:rsidR="00F34BD4" w:rsidRDefault="00F34BD4" w:rsidP="00373FD3">
      <w:r>
        <w:t>Dofinansowanie</w:t>
      </w:r>
      <w:r w:rsidRPr="00707A7A">
        <w:t xml:space="preserve"> ma znaczący wpływ na decyzję o wykonaniu przedsięwzięcia służącego poprawie efektywności energetycznej, </w:t>
      </w:r>
      <w:r>
        <w:t>d</w:t>
      </w:r>
      <w:r w:rsidRPr="00707A7A">
        <w:t>ziałania beneficjenta wynikają ze wsparcia finansowego oferowanego w ramach program</w:t>
      </w:r>
      <w:r>
        <w:t>ów priorytetowych i dotacji celowych JST. Co więcej, program jest skierowany również dla beneficjentów mieszkających w budyniach wielorodzinnych od 3 do 20 lokali. W Polsce istnieje duży potencjał termomodernizacji budynków wielorodzinnych, zatem możliwość skorzystania z dofinansowania formie dotacji będzie brana pod uwagę w momencie podejmowania decyzji dotyczącej opłacalności realizacji przedsięwzięć na rzecz poprawy efektywności energetycznej.</w:t>
      </w:r>
    </w:p>
    <w:p w14:paraId="7117EE3F" w14:textId="77777777" w:rsidR="00F34BD4" w:rsidRPr="00707A7A" w:rsidRDefault="00F34BD4" w:rsidP="00373FD3">
      <w:r>
        <w:t xml:space="preserve">Dodatkowo, </w:t>
      </w:r>
      <w:r w:rsidRPr="00707A7A">
        <w:t>beneficjent zachęcany jest aby w pierwszej kolejności wykonać audyt energetyczny budynku</w:t>
      </w:r>
      <w:r>
        <w:t xml:space="preserve"> </w:t>
      </w:r>
      <w:r w:rsidRPr="00707A7A">
        <w:t xml:space="preserve">ze względu na fakt, że audyt jako koszt kwalifikowany, może uzyskać intensywność dofinansowania na poziomie 100%. </w:t>
      </w:r>
      <w:r>
        <w:t xml:space="preserve">Audyt energetyczny budynku powinien wskazywać na rozwiązania najbardziej efektywne kosztowo przedsięwzięcia służące poprawie efektywności energetycznej. </w:t>
      </w:r>
    </w:p>
    <w:p w14:paraId="3E1BD99A" w14:textId="77777777" w:rsidR="00F34BD4" w:rsidRPr="00373FD3" w:rsidRDefault="00F34BD4" w:rsidP="00373FD3">
      <w:r w:rsidRPr="00373FD3">
        <w:t>Oszczędności energii finalnej uzyskane w ramach tego środka alternatywnego są istotne dla osiągnięcia krajowego celu w zakresie oszczędności energii, określonego w art. 8 dyrektywy. Szczególne znaczenie należy przypisać efektowi skali. W ramach tego środka alternatywnego uzyskuje się istotne oszczędności energii finalnej podczas realizacji wielu przedsięwzięć służących poprawie efektywności energetycznej przynoszących stosunkowo niewielką ilość oszczędności energii.</w:t>
      </w:r>
    </w:p>
    <w:p w14:paraId="4D77C661" w14:textId="77777777" w:rsidR="00F34BD4" w:rsidRPr="008D7F37" w:rsidRDefault="00F34BD4" w:rsidP="001D4A88">
      <w:pPr>
        <w:pStyle w:val="zasada"/>
      </w:pPr>
      <w:r w:rsidRPr="008D7F37">
        <w:t>Zasada dodatkowości</w:t>
      </w:r>
    </w:p>
    <w:p w14:paraId="0702647D" w14:textId="0C5CD344" w:rsidR="00F34BD4" w:rsidRDefault="00F34BD4" w:rsidP="00373FD3">
      <w:r w:rsidRPr="008D7F37">
        <w:t xml:space="preserve">Zgodnie z pkt. 2 lit </w:t>
      </w:r>
      <w:r>
        <w:t>c</w:t>
      </w:r>
      <w:r w:rsidRPr="008D7F37">
        <w:t xml:space="preserve"> Załącznika V </w:t>
      </w:r>
      <w:r w:rsidR="001F2A0A">
        <w:t xml:space="preserve">do dyrektywy 2023/1791 </w:t>
      </w:r>
      <w:r w:rsidRPr="008D7F37">
        <w:t xml:space="preserve">oszczędności związane z renowacją istniejących budynków mogą być zaliczone jako oszczędność energii na użytek art. </w:t>
      </w:r>
      <w:r>
        <w:t>8</w:t>
      </w:r>
      <w:r w:rsidRPr="008D7F37">
        <w:t xml:space="preserve"> ust. 1 pod warunkiem spełnienia kryterium istotności. Co więcej, audyt energetyczny wskazuje przede wszystkim na celowość podejmowania w pierwszej kolejności racjonalnych działań poprawy charakterystyki energetycznej budynku w celu zmniejszenia zapotrzebowania na energię do ogrzewania budynku i przygotowania ciepłej wody użytkowej. Cel ten jest osiągany poprzez dodatkową izolację cieplną przegród zewnętrznych budynku, likwidację mostków cieplnych, ograniczenie strat na wentylację, uszczelnianie powłok oddzielających budynek od otoczenia zewnętrznego, częściową lub całkowitą wymianę stolarki okiennej lub drzwiowej. Inwestor, stymulowany możliwością uzyskania dofinasowanie ze środków programu, realizuje te zadania w pierwszej kolejności.</w:t>
      </w:r>
      <w:r w:rsidR="00767FC5">
        <w:t xml:space="preserve"> </w:t>
      </w:r>
      <w:r>
        <w:t>W</w:t>
      </w:r>
      <w:r w:rsidRPr="00E3177A">
        <w:t xml:space="preserve"> wyniku realizacji przedsięwzięcia </w:t>
      </w:r>
      <w:r w:rsidRPr="00E3177A">
        <w:lastRenderedPageBreak/>
        <w:t xml:space="preserve">termomodernizacyjnego, w jego zakresie, muszą być spełnione minimalne aktualne standardy dla nowego budynku o niemal zerowym zużyciu energii, zdefiniowane i określone w rozporządzeniu Ministra Infrastruktury z dnia 12 kwietnia 2002 r. </w:t>
      </w:r>
      <w:r w:rsidRPr="00373FD3">
        <w:t>w sprawie warunków technicznych, jakim powinny odpowiadać budynki i ich usytuowanie</w:t>
      </w:r>
      <w:r w:rsidRPr="00E3177A">
        <w:t>.</w:t>
      </w:r>
    </w:p>
    <w:p w14:paraId="01D5BC72" w14:textId="33B94405" w:rsidR="00F34BD4" w:rsidRDefault="00F34BD4" w:rsidP="00373FD3">
      <w:r>
        <w:t>Dodatkowo w przypadku inwestycji mających na celu:</w:t>
      </w:r>
      <w:r w:rsidR="00767FC5">
        <w:t xml:space="preserve"> </w:t>
      </w:r>
      <w:r w:rsidRPr="00665104">
        <w:t>modernizacj</w:t>
      </w:r>
      <w:r>
        <w:t>ę</w:t>
      </w:r>
      <w:r w:rsidRPr="00665104">
        <w:t xml:space="preserve"> instalacji oświetlenia </w:t>
      </w:r>
      <w:r>
        <w:t>cz</w:t>
      </w:r>
      <w:r w:rsidRPr="00665104">
        <w:t>y wymian</w:t>
      </w:r>
      <w:r>
        <w:t>ę</w:t>
      </w:r>
      <w:r w:rsidRPr="00665104">
        <w:t xml:space="preserve"> kotłów/źródeł ciepła w instalacjach ogrzewczych</w:t>
      </w:r>
      <w:r>
        <w:t xml:space="preserve"> u</w:t>
      </w:r>
      <w:r w:rsidRPr="00665104">
        <w:t xml:space="preserve">znane mogą zostać wyłącznie oszczędności energii przekraczające poziomy unijnych wymagań dotyczących wycofywania z obrotu określonych produktów związanych z energią w następstwie </w:t>
      </w:r>
      <w:r w:rsidRPr="0071320E">
        <w:t>wdrożenia środków wykonawczych na mocy dyrektywy 2009/125/WE</w:t>
      </w:r>
      <w:r w:rsidRPr="00373FD3">
        <w:fldChar w:fldCharType="begin"/>
      </w:r>
      <w:r w:rsidRPr="00373FD3">
        <w:instrText xml:space="preserve"> NOTEREF _Ref135213769 \h  \* MERGEFORMAT </w:instrText>
      </w:r>
      <w:r w:rsidRPr="00373FD3">
        <w:fldChar w:fldCharType="separate"/>
      </w:r>
      <w:r w:rsidR="00CC735D">
        <w:t>6</w:t>
      </w:r>
      <w:r w:rsidRPr="00373FD3">
        <w:fldChar w:fldCharType="end"/>
      </w:r>
      <w:r w:rsidRPr="0071320E">
        <w:t>.</w:t>
      </w:r>
      <w:r w:rsidRPr="00665104">
        <w:t xml:space="preserve"> W przypadku tych przedsięwzięć minimalne poziomy wynikające z wdrożenia przepisów unijnych dotyczących wymogów ekoprojektu są wyznaczane i stosowane jako poziomy referencyjne będące punktami wyjścia przy obliczaniu oszczędności energii.</w:t>
      </w:r>
    </w:p>
    <w:p w14:paraId="7FAB1B41" w14:textId="77777777" w:rsidR="00F34BD4" w:rsidRPr="00AB73D9" w:rsidRDefault="00F34BD4" w:rsidP="00805E07">
      <w:pPr>
        <w:pStyle w:val="Nagwek4"/>
      </w:pPr>
      <w:r w:rsidRPr="00AB73D9">
        <w:t>Informacja o sposobie postępowania z ewentualnym dublowaniem się środków i indywidualnych działań w celu unikania podwójnego zliczania oszczędności energii</w:t>
      </w:r>
    </w:p>
    <w:p w14:paraId="62419582" w14:textId="77777777" w:rsidR="00F34BD4" w:rsidRPr="00AB73D9" w:rsidRDefault="00F34BD4" w:rsidP="00373FD3">
      <w:r w:rsidRPr="00AB73D9">
        <w:t>Dane zawarte we wniosku o dofinansowanie składanego do WFOŚiGW jednoznacznie identyfikują miejsce, sposób i termin przeprowadzenia danego przedsięwzięcia. Wyklucza to możliwość wydania dofinansowania dla tego samego przedsięwzięcia dla dwóch różnych podmiotów, zatem nie mogą być zgłaszane oszczędności energii wynikające z działania indywidualnego przez więcej niż jedną stronę zobowiązan</w:t>
      </w:r>
      <w:r w:rsidRPr="00AA6D86">
        <w:t>ą</w:t>
      </w:r>
      <w:r w:rsidRPr="00075176">
        <w:t>.</w:t>
      </w:r>
    </w:p>
    <w:p w14:paraId="0911879A" w14:textId="6557DD8B" w:rsidR="00F34BD4" w:rsidRPr="00AB73D9" w:rsidRDefault="00F34BD4" w:rsidP="00373FD3">
      <w:r w:rsidRPr="00AB73D9">
        <w:t>W przypadku gdy Beneficjent programu otrzymał dofinansowanie z innych programów finansowanych ze środków publicznych, w tym w szczególności</w:t>
      </w:r>
      <w:r>
        <w:t>:</w:t>
      </w:r>
      <w:r w:rsidRPr="00AB73D9">
        <w:t xml:space="preserve"> </w:t>
      </w:r>
      <w:r>
        <w:t xml:space="preserve">z </w:t>
      </w:r>
      <w:r w:rsidRPr="00AB73D9">
        <w:t xml:space="preserve">gminnych programów ograniczania niskiej emisji, </w:t>
      </w:r>
      <w:r>
        <w:t>w ramach regionalnych programów operacyjnych 2014</w:t>
      </w:r>
      <w:r w:rsidR="004B0F0A">
        <w:t>–20</w:t>
      </w:r>
      <w:r>
        <w:t>20 oraz innych programów priorytetowych NFOŚiGW, wnioskodawca</w:t>
      </w:r>
      <w:r w:rsidRPr="00AB73D9">
        <w:t xml:space="preserve"> może otrzymać dofinansowanie z programu tylko na zakres przedsięwzięcia, na który nie otrzymał dofinansowania w ramach innych programów.</w:t>
      </w:r>
    </w:p>
    <w:p w14:paraId="008BDD97" w14:textId="17C5822F" w:rsidR="00F34BD4" w:rsidRDefault="00F34BD4" w:rsidP="00373FD3">
      <w:r>
        <w:t>C</w:t>
      </w:r>
      <w:r w:rsidRPr="00AB73D9">
        <w:t xml:space="preserve">elem zliczania </w:t>
      </w:r>
      <w:r>
        <w:t xml:space="preserve">oszczędności wynikających z tzw. </w:t>
      </w:r>
      <w:r w:rsidRPr="00AB73D9">
        <w:t xml:space="preserve">środków alternatywnych, powołany został Centralny Rejestr Oszczędności Energii Finalnej, w którym raportowane są wszystkie przedsięwzięcia realizowane w ramach </w:t>
      </w:r>
      <w:r>
        <w:t>programu Poprawy Efektywności Energetycznej w Budynkach Mieszkalnych</w:t>
      </w:r>
      <w:r w:rsidRPr="00AB73D9">
        <w:t xml:space="preserve">. </w:t>
      </w:r>
      <w:r>
        <w:t xml:space="preserve">Instytucje </w:t>
      </w:r>
      <w:r w:rsidRPr="00EF4FC0">
        <w:t>podpisując</w:t>
      </w:r>
      <w:r>
        <w:t>e</w:t>
      </w:r>
      <w:r w:rsidRPr="00EF4FC0">
        <w:t xml:space="preserve"> umow</w:t>
      </w:r>
      <w:r>
        <w:t>ę</w:t>
      </w:r>
      <w:r w:rsidRPr="00EF4FC0">
        <w:t xml:space="preserve"> o dofinansowanie z odbiorcą końcowym </w:t>
      </w:r>
      <w:r>
        <w:t>są</w:t>
      </w:r>
      <w:r w:rsidRPr="00EF4FC0">
        <w:t xml:space="preserve"> zobowiązane do przekazania jednostkowych danych na temat przedsięwzięcia do 31 marca każdego </w:t>
      </w:r>
      <w:r w:rsidR="0011179A">
        <w:t>r</w:t>
      </w:r>
      <w:r w:rsidR="00C90700">
        <w:t>oku</w:t>
      </w:r>
      <w:r w:rsidRPr="00EF4FC0">
        <w:t>, po zakończonej inwestycji</w:t>
      </w:r>
      <w:r>
        <w:t xml:space="preserve">. </w:t>
      </w:r>
      <w:r w:rsidRPr="00EF4FC0">
        <w:t>System następnie weryfikuje czy nie występuje tzw. podwójne zliczania</w:t>
      </w:r>
      <w:r>
        <w:t xml:space="preserve"> dla danej lokalizacji przedsięwzięcia</w:t>
      </w:r>
      <w:r w:rsidRPr="00EF4FC0">
        <w:t xml:space="preserve">. </w:t>
      </w:r>
    </w:p>
    <w:p w14:paraId="10C097A4" w14:textId="77777777" w:rsidR="00F34BD4" w:rsidRPr="00842530" w:rsidRDefault="00F34BD4" w:rsidP="00805E07">
      <w:pPr>
        <w:pStyle w:val="Nagwek4"/>
      </w:pPr>
      <w:r w:rsidRPr="00842530">
        <w:t>Uwzględnienie różnic klimatycznych między regionami i zastosowane podejście</w:t>
      </w:r>
    </w:p>
    <w:p w14:paraId="47862161" w14:textId="4F4A2308" w:rsidR="00F34BD4" w:rsidRDefault="00F34BD4" w:rsidP="00373FD3">
      <w:r w:rsidRPr="00842530">
        <w:t>W przypadku szacowanej metody obliczania oszczędności energii nie uwzględnia się różnic klimatycznych między regionami. Natomiast w przypadku inwestycji realizowanych w związku z wykonaniem audytu energetycznego, uwzględnione zostają czynniki zewnętrzne takie jak różnice klimatyczne. Wynika to z</w:t>
      </w:r>
      <w:r w:rsidR="00767FC5">
        <w:t> </w:t>
      </w:r>
      <w:r w:rsidRPr="00842530">
        <w:t xml:space="preserve">faktu, że audyt energetyczny budynku uwzględnia czynniki zewnętrzne wpływające na zużycie energii, które dotyczą, m.in. lokalizacji (strefa klimatyczna Polski) i usytuowania budynku, a także warunków eksploatacyjnych. </w:t>
      </w:r>
    </w:p>
    <w:p w14:paraId="4B0777E0" w14:textId="497A9970" w:rsidR="00F34BD4" w:rsidRPr="00684624" w:rsidRDefault="00F34BD4" w:rsidP="00805E07">
      <w:pPr>
        <w:pStyle w:val="Nagwek4"/>
      </w:pPr>
      <w:r w:rsidRPr="00684624">
        <w:t xml:space="preserve">Oszczędność </w:t>
      </w:r>
      <w:r>
        <w:t xml:space="preserve">końcowego zużycia </w:t>
      </w:r>
      <w:r w:rsidRPr="00684624">
        <w:t>energii w okresie 2021</w:t>
      </w:r>
      <w:r w:rsidR="004B0F0A">
        <w:t>–20</w:t>
      </w:r>
      <w:r w:rsidRPr="00684624">
        <w:t>30</w:t>
      </w:r>
    </w:p>
    <w:p w14:paraId="788EB50C" w14:textId="285CF800" w:rsidR="00F34BD4" w:rsidRDefault="00F34BD4" w:rsidP="00373FD3">
      <w:r w:rsidRPr="00684624">
        <w:t xml:space="preserve">Realizacja </w:t>
      </w:r>
      <w:r>
        <w:t>p</w:t>
      </w:r>
      <w:r w:rsidRPr="00684624">
        <w:t>rogram</w:t>
      </w:r>
      <w:r>
        <w:t xml:space="preserve">u </w:t>
      </w:r>
      <w:r w:rsidR="004A5C88">
        <w:rPr>
          <w:i/>
          <w:iCs/>
        </w:rPr>
        <w:t>P</w:t>
      </w:r>
      <w:r w:rsidRPr="004A5C88">
        <w:rPr>
          <w:i/>
          <w:iCs/>
        </w:rPr>
        <w:t xml:space="preserve">oprawa </w:t>
      </w:r>
      <w:r w:rsidR="004A5C88">
        <w:rPr>
          <w:i/>
          <w:iCs/>
        </w:rPr>
        <w:t>e</w:t>
      </w:r>
      <w:r w:rsidRPr="004A5C88">
        <w:rPr>
          <w:i/>
          <w:iCs/>
        </w:rPr>
        <w:t xml:space="preserve">fektywności </w:t>
      </w:r>
      <w:r w:rsidR="004A5C88">
        <w:rPr>
          <w:i/>
          <w:iCs/>
        </w:rPr>
        <w:t>e</w:t>
      </w:r>
      <w:r w:rsidRPr="004A5C88">
        <w:rPr>
          <w:i/>
          <w:iCs/>
        </w:rPr>
        <w:t xml:space="preserve">nergetycznej </w:t>
      </w:r>
      <w:r w:rsidR="004A5C88">
        <w:rPr>
          <w:i/>
          <w:iCs/>
        </w:rPr>
        <w:t>b</w:t>
      </w:r>
      <w:r w:rsidRPr="004A5C88">
        <w:rPr>
          <w:i/>
          <w:iCs/>
        </w:rPr>
        <w:t xml:space="preserve">udynków </w:t>
      </w:r>
      <w:r w:rsidR="004A5C88">
        <w:rPr>
          <w:i/>
          <w:iCs/>
        </w:rPr>
        <w:t>m</w:t>
      </w:r>
      <w:r w:rsidRPr="004A5C88">
        <w:rPr>
          <w:i/>
          <w:iCs/>
        </w:rPr>
        <w:t>ieszkalnych</w:t>
      </w:r>
      <w:r>
        <w:t xml:space="preserve"> </w:t>
      </w:r>
      <w:r w:rsidRPr="00684624">
        <w:t xml:space="preserve">przyczyni się do uzyskania nowych średniorocznych oszczędności </w:t>
      </w:r>
      <w:r>
        <w:t>końcowego zużycia energii</w:t>
      </w:r>
      <w:r w:rsidRPr="00684624">
        <w:t xml:space="preserve">, w wysokości </w:t>
      </w:r>
      <w:r>
        <w:t xml:space="preserve">60 </w:t>
      </w:r>
      <w:r w:rsidRPr="00684624">
        <w:t>ktoe</w:t>
      </w:r>
      <w:r>
        <w:t xml:space="preserve"> w</w:t>
      </w:r>
      <w:r w:rsidR="00767FC5">
        <w:t> </w:t>
      </w:r>
      <w:r>
        <w:t>2022</w:t>
      </w:r>
      <w:r w:rsidR="00C90700">
        <w:t> </w:t>
      </w:r>
      <w:r w:rsidR="0011179A">
        <w:t>r.</w:t>
      </w:r>
      <w:r>
        <w:t xml:space="preserve"> oraz 90 ktoe w okresie od 2023</w:t>
      </w:r>
      <w:r w:rsidR="004B0F0A">
        <w:t>–20</w:t>
      </w:r>
      <w:r>
        <w:t>30</w:t>
      </w:r>
      <w:r w:rsidRPr="00684624">
        <w:t xml:space="preserve">. </w:t>
      </w:r>
      <w:r w:rsidR="004A5C88">
        <w:fldChar w:fldCharType="begin"/>
      </w:r>
      <w:r w:rsidR="004A5C88">
        <w:instrText xml:space="preserve"> REF _Ref173760380 \h </w:instrText>
      </w:r>
      <w:r w:rsidR="004A5C88">
        <w:fldChar w:fldCharType="separate"/>
      </w:r>
      <w:r w:rsidR="00CC735D">
        <w:t xml:space="preserve">Tabela </w:t>
      </w:r>
      <w:r w:rsidR="00CC735D">
        <w:rPr>
          <w:noProof/>
        </w:rPr>
        <w:t>5</w:t>
      </w:r>
      <w:r w:rsidR="004A5C88">
        <w:fldChar w:fldCharType="end"/>
      </w:r>
      <w:r w:rsidR="004A5C88">
        <w:t xml:space="preserve"> </w:t>
      </w:r>
      <w:r w:rsidRPr="00684624">
        <w:t>przedstawi</w:t>
      </w:r>
      <w:r w:rsidR="004A5C88">
        <w:t>a</w:t>
      </w:r>
      <w:r w:rsidRPr="00684624">
        <w:t xml:space="preserve"> </w:t>
      </w:r>
      <w:r>
        <w:t xml:space="preserve">roczne i skumulowane </w:t>
      </w:r>
      <w:r w:rsidRPr="00684624">
        <w:t>oszczędności</w:t>
      </w:r>
      <w:r>
        <w:t xml:space="preserve"> końcowego zużycia</w:t>
      </w:r>
      <w:r w:rsidRPr="00684624">
        <w:t xml:space="preserve"> energii w okresie 2021</w:t>
      </w:r>
      <w:r w:rsidR="004B0F0A">
        <w:t>–20</w:t>
      </w:r>
      <w:r w:rsidRPr="00684624">
        <w:t>30</w:t>
      </w:r>
      <w:r>
        <w:t>.</w:t>
      </w:r>
    </w:p>
    <w:p w14:paraId="15C4840C" w14:textId="503580AC" w:rsidR="00F34BD4" w:rsidRDefault="004A5C88" w:rsidP="00CB598F">
      <w:pPr>
        <w:pStyle w:val="Legenda"/>
      </w:pPr>
      <w:bookmarkStart w:id="22" w:name="_Ref173760380"/>
      <w:r>
        <w:lastRenderedPageBreak/>
        <w:t xml:space="preserve">Tabela </w:t>
      </w:r>
      <w:fldSimple w:instr=" SEQ Tabela \* ARABIC ">
        <w:r w:rsidR="00CC735D">
          <w:rPr>
            <w:noProof/>
          </w:rPr>
          <w:t>5</w:t>
        </w:r>
      </w:fldSimple>
      <w:bookmarkEnd w:id="22"/>
      <w:r>
        <w:t xml:space="preserve">. </w:t>
      </w:r>
      <w:r w:rsidR="00F34BD4" w:rsidRPr="00CB598F">
        <w:rPr>
          <w:rStyle w:val="rynqvb"/>
        </w:rPr>
        <w:t>Poprawa</w:t>
      </w:r>
      <w:r w:rsidR="00F34BD4">
        <w:rPr>
          <w:rStyle w:val="rynqvb"/>
          <w:bCs/>
        </w:rPr>
        <w:t xml:space="preserve"> </w:t>
      </w:r>
      <w:r w:rsidR="00CB598F">
        <w:rPr>
          <w:rStyle w:val="rynqvb"/>
          <w:bCs/>
        </w:rPr>
        <w:t>e</w:t>
      </w:r>
      <w:r w:rsidR="00F34BD4">
        <w:rPr>
          <w:rStyle w:val="rynqvb"/>
          <w:bCs/>
        </w:rPr>
        <w:t xml:space="preserve">fektywności </w:t>
      </w:r>
      <w:r w:rsidR="00CB598F">
        <w:rPr>
          <w:rStyle w:val="rynqvb"/>
          <w:bCs/>
        </w:rPr>
        <w:t>e</w:t>
      </w:r>
      <w:r w:rsidR="00F34BD4">
        <w:rPr>
          <w:rStyle w:val="rynqvb"/>
          <w:bCs/>
        </w:rPr>
        <w:t xml:space="preserve">nergetycznej </w:t>
      </w:r>
      <w:r w:rsidR="00CB598F">
        <w:rPr>
          <w:rStyle w:val="rynqvb"/>
          <w:bCs/>
        </w:rPr>
        <w:t>b</w:t>
      </w:r>
      <w:r w:rsidR="00F34BD4">
        <w:rPr>
          <w:rStyle w:val="rynqvb"/>
          <w:bCs/>
        </w:rPr>
        <w:t xml:space="preserve">udynków </w:t>
      </w:r>
      <w:r w:rsidR="00CB598F">
        <w:rPr>
          <w:rStyle w:val="rynqvb"/>
          <w:bCs/>
        </w:rPr>
        <w:t>m</w:t>
      </w:r>
      <w:r w:rsidR="00F34BD4">
        <w:rPr>
          <w:rStyle w:val="rynqvb"/>
          <w:bCs/>
        </w:rPr>
        <w:t>ieszkalnych: o</w:t>
      </w:r>
      <w:r w:rsidR="00F34BD4" w:rsidRPr="00E35197">
        <w:rPr>
          <w:rStyle w:val="rynqvb"/>
          <w:bCs/>
        </w:rPr>
        <w:t>szczędności</w:t>
      </w:r>
      <w:r w:rsidR="00F34BD4">
        <w:rPr>
          <w:rStyle w:val="rynqvb"/>
          <w:bCs/>
        </w:rPr>
        <w:t xml:space="preserve"> końcowego zużycia</w:t>
      </w:r>
      <w:r w:rsidR="00F34BD4" w:rsidRPr="00E35197">
        <w:rPr>
          <w:rStyle w:val="rynqvb"/>
          <w:bCs/>
        </w:rPr>
        <w:t xml:space="preserve"> energii osiągnię</w:t>
      </w:r>
      <w:r w:rsidR="00F34BD4">
        <w:rPr>
          <w:rStyle w:val="rynqvb"/>
          <w:bCs/>
        </w:rPr>
        <w:t xml:space="preserve">te w 2021 </w:t>
      </w:r>
      <w:r w:rsidR="0011179A">
        <w:rPr>
          <w:rStyle w:val="rynqvb"/>
          <w:bCs/>
        </w:rPr>
        <w:t>r.</w:t>
      </w:r>
      <w:r w:rsidR="00F34BD4">
        <w:rPr>
          <w:rStyle w:val="rynqvb"/>
          <w:bCs/>
        </w:rPr>
        <w:t xml:space="preserve"> oraz szacunkowe oszczędności</w:t>
      </w:r>
      <w:r w:rsidR="00F34BD4" w:rsidRPr="00E35197">
        <w:rPr>
          <w:rStyle w:val="rynqvb"/>
          <w:bCs/>
        </w:rPr>
        <w:t xml:space="preserve"> </w:t>
      </w:r>
      <w:r w:rsidR="00F34BD4">
        <w:rPr>
          <w:rStyle w:val="rynqvb"/>
          <w:bCs/>
        </w:rPr>
        <w:t>do osiągnięcia</w:t>
      </w:r>
      <w:r w:rsidR="00F34BD4" w:rsidRPr="00E35197">
        <w:rPr>
          <w:rStyle w:val="rynqvb"/>
          <w:bCs/>
        </w:rPr>
        <w:t xml:space="preserve"> latach 202</w:t>
      </w:r>
      <w:r w:rsidR="00F34BD4">
        <w:rPr>
          <w:rStyle w:val="rynqvb"/>
          <w:bCs/>
        </w:rPr>
        <w:t>2</w:t>
      </w:r>
      <w:r w:rsidR="004B0F0A">
        <w:rPr>
          <w:rStyle w:val="rynqvb"/>
          <w:bCs/>
        </w:rPr>
        <w:t>–20</w:t>
      </w:r>
      <w:r w:rsidR="00F34BD4" w:rsidRPr="00E35197">
        <w:rPr>
          <w:rStyle w:val="rynqvb"/>
          <w:bCs/>
        </w:rPr>
        <w:t>30 – roczne i skumulowane</w:t>
      </w:r>
    </w:p>
    <w:tbl>
      <w:tblPr>
        <w:tblpPr w:leftFromText="141" w:rightFromText="141" w:vertAnchor="text" w:horzAnchor="margin" w:tblpY="196"/>
        <w:tblW w:w="5041" w:type="pct"/>
        <w:tblCellMar>
          <w:left w:w="70" w:type="dxa"/>
          <w:right w:w="70" w:type="dxa"/>
        </w:tblCellMar>
        <w:tblLook w:val="04A0" w:firstRow="1" w:lastRow="0" w:firstColumn="1" w:lastColumn="0" w:noHBand="0" w:noVBand="1"/>
      </w:tblPr>
      <w:tblGrid>
        <w:gridCol w:w="1396"/>
        <w:gridCol w:w="670"/>
        <w:gridCol w:w="624"/>
        <w:gridCol w:w="624"/>
        <w:gridCol w:w="624"/>
        <w:gridCol w:w="656"/>
        <w:gridCol w:w="656"/>
        <w:gridCol w:w="623"/>
        <w:gridCol w:w="624"/>
        <w:gridCol w:w="624"/>
        <w:gridCol w:w="656"/>
        <w:gridCol w:w="1359"/>
      </w:tblGrid>
      <w:tr w:rsidR="00F34BD4" w:rsidRPr="0082517C" w14:paraId="52294ACF" w14:textId="77777777">
        <w:trPr>
          <w:trHeight w:val="282"/>
        </w:trPr>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A8F69" w14:textId="77777777" w:rsidR="00F34BD4" w:rsidRPr="00D94B5E" w:rsidRDefault="00F34BD4">
            <w:pPr>
              <w:spacing w:after="0"/>
              <w:jc w:val="center"/>
              <w:rPr>
                <w:color w:val="000000"/>
                <w:szCs w:val="20"/>
                <w:lang w:eastAsia="pl-PL"/>
              </w:rPr>
            </w:pPr>
            <w:r w:rsidRPr="00D94B5E">
              <w:rPr>
                <w:color w:val="000000"/>
                <w:szCs w:val="20"/>
                <w:lang w:eastAsia="pl-PL"/>
              </w:rPr>
              <w:t>Rok</w:t>
            </w:r>
          </w:p>
        </w:tc>
        <w:tc>
          <w:tcPr>
            <w:tcW w:w="670" w:type="dxa"/>
            <w:tcBorders>
              <w:top w:val="single" w:sz="4" w:space="0" w:color="auto"/>
              <w:left w:val="nil"/>
              <w:bottom w:val="single" w:sz="4" w:space="0" w:color="auto"/>
              <w:right w:val="single" w:sz="4" w:space="0" w:color="auto"/>
            </w:tcBorders>
            <w:shd w:val="clear" w:color="auto" w:fill="auto"/>
            <w:noWrap/>
            <w:vAlign w:val="center"/>
            <w:hideMark/>
          </w:tcPr>
          <w:p w14:paraId="432C7AD2" w14:textId="77777777" w:rsidR="00F34BD4" w:rsidRPr="00D94B5E" w:rsidRDefault="00F34BD4">
            <w:pPr>
              <w:spacing w:after="0"/>
              <w:jc w:val="center"/>
              <w:rPr>
                <w:color w:val="000000"/>
                <w:szCs w:val="20"/>
                <w:lang w:eastAsia="pl-PL"/>
              </w:rPr>
            </w:pPr>
            <w:r w:rsidRPr="00D94B5E">
              <w:rPr>
                <w:color w:val="000000"/>
                <w:szCs w:val="20"/>
                <w:lang w:eastAsia="pl-PL"/>
              </w:rPr>
              <w:t>2021</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1C70B5AA" w14:textId="77777777" w:rsidR="00F34BD4" w:rsidRPr="00D94B5E" w:rsidRDefault="00F34BD4">
            <w:pPr>
              <w:spacing w:after="0"/>
              <w:jc w:val="center"/>
              <w:rPr>
                <w:color w:val="000000"/>
                <w:szCs w:val="20"/>
                <w:lang w:eastAsia="pl-PL"/>
              </w:rPr>
            </w:pPr>
            <w:r w:rsidRPr="00D94B5E">
              <w:rPr>
                <w:color w:val="000000"/>
                <w:szCs w:val="20"/>
                <w:lang w:eastAsia="pl-PL"/>
              </w:rPr>
              <w:t>2022</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2AF5F966" w14:textId="77777777" w:rsidR="00F34BD4" w:rsidRPr="00D94B5E" w:rsidRDefault="00F34BD4">
            <w:pPr>
              <w:spacing w:after="0"/>
              <w:jc w:val="center"/>
              <w:rPr>
                <w:color w:val="000000"/>
                <w:szCs w:val="20"/>
                <w:lang w:eastAsia="pl-PL"/>
              </w:rPr>
            </w:pPr>
            <w:r w:rsidRPr="00D94B5E">
              <w:rPr>
                <w:color w:val="000000"/>
                <w:szCs w:val="20"/>
                <w:lang w:eastAsia="pl-PL"/>
              </w:rPr>
              <w:t>2023</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14:paraId="396D9233" w14:textId="77777777" w:rsidR="00F34BD4" w:rsidRPr="00D94B5E" w:rsidRDefault="00F34BD4">
            <w:pPr>
              <w:spacing w:after="0"/>
              <w:jc w:val="center"/>
              <w:rPr>
                <w:color w:val="000000"/>
                <w:szCs w:val="20"/>
                <w:lang w:eastAsia="pl-PL"/>
              </w:rPr>
            </w:pPr>
            <w:r w:rsidRPr="00D94B5E">
              <w:rPr>
                <w:color w:val="000000"/>
                <w:szCs w:val="20"/>
                <w:lang w:eastAsia="pl-PL"/>
              </w:rPr>
              <w:t>2024</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3B8E87B1" w14:textId="77777777" w:rsidR="00F34BD4" w:rsidRPr="00D94B5E" w:rsidRDefault="00F34BD4">
            <w:pPr>
              <w:spacing w:after="0"/>
              <w:jc w:val="center"/>
              <w:rPr>
                <w:color w:val="000000"/>
                <w:szCs w:val="20"/>
                <w:lang w:eastAsia="pl-PL"/>
              </w:rPr>
            </w:pPr>
            <w:r w:rsidRPr="00D94B5E">
              <w:rPr>
                <w:color w:val="000000"/>
                <w:szCs w:val="20"/>
                <w:lang w:eastAsia="pl-PL"/>
              </w:rPr>
              <w:t>2025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65F870FB" w14:textId="77777777" w:rsidR="00F34BD4" w:rsidRPr="00D94B5E" w:rsidRDefault="00F34BD4">
            <w:pPr>
              <w:spacing w:after="0"/>
              <w:jc w:val="center"/>
              <w:rPr>
                <w:color w:val="000000"/>
                <w:szCs w:val="20"/>
                <w:lang w:eastAsia="pl-PL"/>
              </w:rPr>
            </w:pPr>
            <w:r w:rsidRPr="00D94B5E">
              <w:rPr>
                <w:color w:val="000000"/>
                <w:szCs w:val="20"/>
                <w:lang w:eastAsia="pl-PL"/>
              </w:rPr>
              <w:t>2026</w:t>
            </w:r>
          </w:p>
        </w:tc>
        <w:tc>
          <w:tcPr>
            <w:tcW w:w="624" w:type="dxa"/>
            <w:tcBorders>
              <w:top w:val="single" w:sz="4" w:space="0" w:color="auto"/>
              <w:left w:val="single" w:sz="4" w:space="0" w:color="auto"/>
              <w:bottom w:val="single" w:sz="4" w:space="0" w:color="auto"/>
              <w:right w:val="single" w:sz="4" w:space="0" w:color="auto"/>
            </w:tcBorders>
            <w:vAlign w:val="center"/>
          </w:tcPr>
          <w:p w14:paraId="07134BAB" w14:textId="77777777" w:rsidR="00F34BD4" w:rsidRPr="00D94B5E" w:rsidRDefault="00F34BD4">
            <w:pPr>
              <w:spacing w:after="0"/>
              <w:jc w:val="center"/>
              <w:rPr>
                <w:color w:val="000000"/>
                <w:szCs w:val="20"/>
                <w:lang w:eastAsia="pl-PL"/>
              </w:rPr>
            </w:pPr>
            <w:r w:rsidRPr="00D94B5E">
              <w:rPr>
                <w:color w:val="000000"/>
                <w:szCs w:val="20"/>
                <w:lang w:eastAsia="pl-PL"/>
              </w:rPr>
              <w:t>2027</w:t>
            </w:r>
          </w:p>
        </w:tc>
        <w:tc>
          <w:tcPr>
            <w:tcW w:w="624" w:type="dxa"/>
            <w:tcBorders>
              <w:top w:val="single" w:sz="4" w:space="0" w:color="auto"/>
              <w:left w:val="single" w:sz="4" w:space="0" w:color="auto"/>
              <w:bottom w:val="single" w:sz="4" w:space="0" w:color="auto"/>
              <w:right w:val="single" w:sz="4" w:space="0" w:color="auto"/>
            </w:tcBorders>
            <w:vAlign w:val="center"/>
          </w:tcPr>
          <w:p w14:paraId="0A4A839D" w14:textId="77777777" w:rsidR="00F34BD4" w:rsidRPr="00D94B5E" w:rsidRDefault="00F34BD4">
            <w:pPr>
              <w:spacing w:after="0"/>
              <w:jc w:val="center"/>
              <w:rPr>
                <w:color w:val="000000"/>
                <w:szCs w:val="20"/>
                <w:lang w:eastAsia="pl-PL"/>
              </w:rPr>
            </w:pPr>
            <w:r w:rsidRPr="00D94B5E">
              <w:rPr>
                <w:color w:val="000000"/>
                <w:szCs w:val="20"/>
                <w:lang w:eastAsia="pl-PL"/>
              </w:rPr>
              <w:t>2028</w:t>
            </w:r>
          </w:p>
        </w:tc>
        <w:tc>
          <w:tcPr>
            <w:tcW w:w="624" w:type="dxa"/>
            <w:tcBorders>
              <w:top w:val="single" w:sz="4" w:space="0" w:color="auto"/>
              <w:left w:val="single" w:sz="4" w:space="0" w:color="auto"/>
              <w:bottom w:val="single" w:sz="4" w:space="0" w:color="auto"/>
              <w:right w:val="single" w:sz="4" w:space="0" w:color="auto"/>
            </w:tcBorders>
            <w:vAlign w:val="center"/>
          </w:tcPr>
          <w:p w14:paraId="67A7E31E" w14:textId="77777777" w:rsidR="00F34BD4" w:rsidRPr="00D94B5E" w:rsidRDefault="00F34BD4">
            <w:pPr>
              <w:spacing w:after="0"/>
              <w:jc w:val="center"/>
              <w:rPr>
                <w:color w:val="000000"/>
                <w:szCs w:val="20"/>
                <w:lang w:eastAsia="pl-PL"/>
              </w:rPr>
            </w:pPr>
            <w:r w:rsidRPr="00D94B5E">
              <w:rPr>
                <w:color w:val="000000"/>
                <w:szCs w:val="20"/>
                <w:lang w:eastAsia="pl-PL"/>
              </w:rPr>
              <w:t>2029</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0E1DF" w14:textId="77777777" w:rsidR="00F34BD4" w:rsidRPr="00D94B5E" w:rsidRDefault="00F34BD4">
            <w:pPr>
              <w:spacing w:after="0"/>
              <w:jc w:val="center"/>
              <w:rPr>
                <w:color w:val="000000"/>
                <w:szCs w:val="20"/>
                <w:lang w:eastAsia="pl-PL"/>
              </w:rPr>
            </w:pPr>
            <w:r w:rsidRPr="00D94B5E">
              <w:rPr>
                <w:color w:val="000000"/>
                <w:szCs w:val="20"/>
                <w:lang w:eastAsia="pl-PL"/>
              </w:rPr>
              <w:t>2030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5F809" w14:textId="77777777" w:rsidR="00F34BD4" w:rsidRPr="00D94B5E" w:rsidRDefault="00F34BD4">
            <w:pPr>
              <w:spacing w:after="0"/>
              <w:jc w:val="center"/>
              <w:rPr>
                <w:color w:val="000000"/>
                <w:szCs w:val="20"/>
                <w:lang w:eastAsia="pl-PL"/>
              </w:rPr>
            </w:pPr>
          </w:p>
        </w:tc>
      </w:tr>
      <w:tr w:rsidR="00F34BD4" w:rsidRPr="0082517C" w14:paraId="77FEC1ED" w14:textId="77777777">
        <w:trPr>
          <w:trHeight w:val="282"/>
        </w:trPr>
        <w:tc>
          <w:tcPr>
            <w:tcW w:w="1396" w:type="dxa"/>
            <w:vMerge w:val="restart"/>
            <w:tcBorders>
              <w:top w:val="nil"/>
              <w:left w:val="single" w:sz="4" w:space="0" w:color="auto"/>
              <w:right w:val="single" w:sz="4" w:space="0" w:color="auto"/>
            </w:tcBorders>
            <w:shd w:val="clear" w:color="auto" w:fill="auto"/>
            <w:vAlign w:val="center"/>
            <w:hideMark/>
          </w:tcPr>
          <w:p w14:paraId="1527C35D" w14:textId="77777777" w:rsidR="00F34BD4" w:rsidRPr="0082517C" w:rsidRDefault="00F34BD4">
            <w:pPr>
              <w:spacing w:after="0"/>
              <w:jc w:val="center"/>
              <w:rPr>
                <w:color w:val="000000"/>
                <w:szCs w:val="20"/>
                <w:lang w:eastAsia="pl-PL"/>
              </w:rPr>
            </w:pPr>
            <w:r w:rsidRPr="00D94B5E">
              <w:rPr>
                <w:color w:val="000000"/>
                <w:szCs w:val="20"/>
                <w:lang w:eastAsia="pl-PL"/>
              </w:rPr>
              <w:t xml:space="preserve">Oszczędności </w:t>
            </w:r>
            <w:r w:rsidRPr="0082517C">
              <w:rPr>
                <w:color w:val="000000"/>
                <w:szCs w:val="20"/>
                <w:lang w:eastAsia="pl-PL"/>
              </w:rPr>
              <w:t>końcowego zużycia energii (ktoe)</w:t>
            </w:r>
          </w:p>
        </w:tc>
        <w:tc>
          <w:tcPr>
            <w:tcW w:w="670" w:type="dxa"/>
            <w:tcBorders>
              <w:top w:val="nil"/>
              <w:left w:val="nil"/>
              <w:bottom w:val="single" w:sz="4" w:space="0" w:color="auto"/>
              <w:right w:val="single" w:sz="4" w:space="0" w:color="auto"/>
            </w:tcBorders>
            <w:shd w:val="clear" w:color="auto" w:fill="auto"/>
            <w:noWrap/>
            <w:vAlign w:val="center"/>
          </w:tcPr>
          <w:p w14:paraId="317E8A4C" w14:textId="77777777" w:rsidR="00F34BD4" w:rsidRPr="0082517C" w:rsidRDefault="00F34BD4">
            <w:pPr>
              <w:spacing w:after="0"/>
              <w:jc w:val="center"/>
              <w:rPr>
                <w:color w:val="000000"/>
                <w:szCs w:val="20"/>
                <w:lang w:eastAsia="pl-PL"/>
              </w:rPr>
            </w:pPr>
            <w:r w:rsidRPr="0082517C">
              <w:rPr>
                <w:rFonts w:cs="Calibri"/>
                <w:color w:val="000000"/>
                <w:szCs w:val="20"/>
              </w:rPr>
              <w:t> </w:t>
            </w:r>
          </w:p>
        </w:tc>
        <w:tc>
          <w:tcPr>
            <w:tcW w:w="624" w:type="dxa"/>
            <w:tcBorders>
              <w:top w:val="nil"/>
              <w:left w:val="nil"/>
              <w:bottom w:val="single" w:sz="4" w:space="0" w:color="auto"/>
              <w:right w:val="single" w:sz="4" w:space="0" w:color="auto"/>
            </w:tcBorders>
            <w:shd w:val="clear" w:color="auto" w:fill="auto"/>
            <w:noWrap/>
            <w:vAlign w:val="center"/>
          </w:tcPr>
          <w:p w14:paraId="5E8C5256" w14:textId="77777777" w:rsidR="00F34BD4" w:rsidRPr="0082517C" w:rsidRDefault="00F34BD4">
            <w:pPr>
              <w:spacing w:after="0"/>
              <w:jc w:val="center"/>
              <w:rPr>
                <w:color w:val="000000"/>
                <w:szCs w:val="20"/>
                <w:lang w:eastAsia="pl-PL"/>
              </w:rPr>
            </w:pPr>
            <w:r w:rsidRPr="0082517C">
              <w:rPr>
                <w:rFonts w:cs="Calibri"/>
                <w:color w:val="000000"/>
                <w:szCs w:val="20"/>
              </w:rPr>
              <w:t> </w:t>
            </w:r>
          </w:p>
        </w:tc>
        <w:tc>
          <w:tcPr>
            <w:tcW w:w="624" w:type="dxa"/>
            <w:tcBorders>
              <w:top w:val="nil"/>
              <w:left w:val="nil"/>
              <w:bottom w:val="single" w:sz="4" w:space="0" w:color="auto"/>
              <w:right w:val="single" w:sz="4" w:space="0" w:color="auto"/>
            </w:tcBorders>
            <w:shd w:val="clear" w:color="auto" w:fill="auto"/>
            <w:noWrap/>
            <w:vAlign w:val="center"/>
          </w:tcPr>
          <w:p w14:paraId="483F8715" w14:textId="77777777" w:rsidR="00F34BD4" w:rsidRPr="0082517C" w:rsidRDefault="00F34BD4">
            <w:pPr>
              <w:spacing w:after="0"/>
              <w:jc w:val="center"/>
              <w:rPr>
                <w:color w:val="000000"/>
                <w:szCs w:val="20"/>
                <w:lang w:eastAsia="pl-PL"/>
              </w:rPr>
            </w:pPr>
            <w:r w:rsidRPr="0082517C">
              <w:rPr>
                <w:rFonts w:cs="Calibri"/>
                <w:color w:val="000000"/>
                <w:szCs w:val="20"/>
              </w:rPr>
              <w:t> </w:t>
            </w:r>
          </w:p>
        </w:tc>
        <w:tc>
          <w:tcPr>
            <w:tcW w:w="624" w:type="dxa"/>
            <w:tcBorders>
              <w:top w:val="nil"/>
              <w:left w:val="nil"/>
              <w:bottom w:val="single" w:sz="4" w:space="0" w:color="auto"/>
              <w:right w:val="single" w:sz="4" w:space="0" w:color="auto"/>
            </w:tcBorders>
            <w:shd w:val="clear" w:color="auto" w:fill="auto"/>
            <w:noWrap/>
            <w:vAlign w:val="center"/>
          </w:tcPr>
          <w:p w14:paraId="482E024D" w14:textId="77777777" w:rsidR="00F34BD4" w:rsidRPr="0082517C" w:rsidRDefault="00F34BD4">
            <w:pPr>
              <w:spacing w:after="0"/>
              <w:jc w:val="center"/>
              <w:rPr>
                <w:color w:val="000000"/>
                <w:szCs w:val="20"/>
                <w:lang w:eastAsia="pl-PL"/>
              </w:rPr>
            </w:pPr>
            <w:r w:rsidRPr="0082517C">
              <w:rPr>
                <w:rFonts w:cs="Calibri"/>
                <w:color w:val="000000"/>
                <w:szCs w:val="20"/>
              </w:rPr>
              <w:t> </w:t>
            </w:r>
          </w:p>
        </w:tc>
        <w:tc>
          <w:tcPr>
            <w:tcW w:w="656" w:type="dxa"/>
            <w:tcBorders>
              <w:top w:val="nil"/>
              <w:left w:val="nil"/>
              <w:bottom w:val="single" w:sz="4" w:space="0" w:color="auto"/>
              <w:right w:val="single" w:sz="4" w:space="0" w:color="auto"/>
            </w:tcBorders>
            <w:shd w:val="clear" w:color="auto" w:fill="auto"/>
            <w:noWrap/>
            <w:vAlign w:val="center"/>
          </w:tcPr>
          <w:p w14:paraId="281B1D5D" w14:textId="77777777" w:rsidR="00F34BD4" w:rsidRPr="0082517C" w:rsidRDefault="00F34BD4">
            <w:pPr>
              <w:spacing w:after="0"/>
              <w:jc w:val="center"/>
              <w:rPr>
                <w:color w:val="000000"/>
                <w:szCs w:val="20"/>
                <w:lang w:eastAsia="pl-PL"/>
              </w:rPr>
            </w:pPr>
            <w:r w:rsidRPr="0082517C">
              <w:rPr>
                <w:rFonts w:cs="Calibri"/>
                <w:color w:val="000000"/>
                <w:szCs w:val="20"/>
              </w:rPr>
              <w:t> </w:t>
            </w:r>
          </w:p>
        </w:tc>
        <w:tc>
          <w:tcPr>
            <w:tcW w:w="656" w:type="dxa"/>
            <w:tcBorders>
              <w:top w:val="nil"/>
              <w:left w:val="nil"/>
              <w:bottom w:val="single" w:sz="4" w:space="0" w:color="auto"/>
              <w:right w:val="single" w:sz="4" w:space="0" w:color="auto"/>
            </w:tcBorders>
            <w:shd w:val="clear" w:color="auto" w:fill="auto"/>
            <w:noWrap/>
            <w:vAlign w:val="center"/>
          </w:tcPr>
          <w:p w14:paraId="33424703" w14:textId="77777777" w:rsidR="00F34BD4" w:rsidRPr="0082517C" w:rsidRDefault="00F34BD4">
            <w:pPr>
              <w:spacing w:after="0"/>
              <w:jc w:val="center"/>
              <w:rPr>
                <w:color w:val="000000"/>
                <w:szCs w:val="20"/>
                <w:lang w:eastAsia="pl-PL"/>
              </w:rPr>
            </w:pPr>
            <w:r w:rsidRPr="0082517C">
              <w:rPr>
                <w:rFonts w:cs="Calibri"/>
                <w:color w:val="000000"/>
                <w:szCs w:val="20"/>
              </w:rPr>
              <w:t> </w:t>
            </w:r>
          </w:p>
        </w:tc>
        <w:tc>
          <w:tcPr>
            <w:tcW w:w="624" w:type="dxa"/>
            <w:tcBorders>
              <w:top w:val="single" w:sz="4" w:space="0" w:color="auto"/>
              <w:left w:val="single" w:sz="4" w:space="0" w:color="auto"/>
              <w:bottom w:val="single" w:sz="4" w:space="0" w:color="auto"/>
              <w:right w:val="single" w:sz="4" w:space="0" w:color="auto"/>
            </w:tcBorders>
            <w:vAlign w:val="center"/>
          </w:tcPr>
          <w:p w14:paraId="10AB09D8" w14:textId="77777777" w:rsidR="00F34BD4" w:rsidRPr="0082517C" w:rsidRDefault="00F34BD4">
            <w:pPr>
              <w:spacing w:after="0"/>
              <w:jc w:val="center"/>
              <w:rPr>
                <w:color w:val="000000"/>
                <w:szCs w:val="20"/>
                <w:lang w:eastAsia="pl-PL"/>
              </w:rPr>
            </w:pPr>
            <w:r w:rsidRPr="0082517C">
              <w:rPr>
                <w:rFonts w:cs="Calibri"/>
                <w:color w:val="000000"/>
                <w:szCs w:val="20"/>
              </w:rPr>
              <w:t> </w:t>
            </w:r>
          </w:p>
        </w:tc>
        <w:tc>
          <w:tcPr>
            <w:tcW w:w="624" w:type="dxa"/>
            <w:tcBorders>
              <w:top w:val="single" w:sz="4" w:space="0" w:color="auto"/>
              <w:left w:val="single" w:sz="4" w:space="0" w:color="auto"/>
              <w:bottom w:val="single" w:sz="4" w:space="0" w:color="auto"/>
              <w:right w:val="single" w:sz="4" w:space="0" w:color="auto"/>
            </w:tcBorders>
            <w:vAlign w:val="center"/>
          </w:tcPr>
          <w:p w14:paraId="0CA56F73" w14:textId="77777777" w:rsidR="00F34BD4" w:rsidRPr="0082517C" w:rsidRDefault="00F34BD4">
            <w:pPr>
              <w:spacing w:after="0"/>
              <w:jc w:val="center"/>
              <w:rPr>
                <w:color w:val="000000"/>
                <w:szCs w:val="20"/>
                <w:lang w:eastAsia="pl-PL"/>
              </w:rPr>
            </w:pPr>
            <w:r w:rsidRPr="0082517C">
              <w:rPr>
                <w:rFonts w:cs="Calibri"/>
                <w:color w:val="000000"/>
                <w:szCs w:val="20"/>
              </w:rPr>
              <w:t> </w:t>
            </w:r>
          </w:p>
        </w:tc>
        <w:tc>
          <w:tcPr>
            <w:tcW w:w="624" w:type="dxa"/>
            <w:tcBorders>
              <w:top w:val="single" w:sz="4" w:space="0" w:color="auto"/>
              <w:left w:val="single" w:sz="4" w:space="0" w:color="auto"/>
              <w:bottom w:val="single" w:sz="4" w:space="0" w:color="auto"/>
              <w:right w:val="single" w:sz="4" w:space="0" w:color="auto"/>
            </w:tcBorders>
            <w:vAlign w:val="center"/>
          </w:tcPr>
          <w:p w14:paraId="41B1494C" w14:textId="77777777" w:rsidR="00F34BD4" w:rsidRPr="0082517C" w:rsidRDefault="00F34BD4">
            <w:pPr>
              <w:spacing w:after="0"/>
              <w:jc w:val="center"/>
              <w:rPr>
                <w:color w:val="000000"/>
                <w:szCs w:val="20"/>
                <w:lang w:eastAsia="pl-PL"/>
              </w:rPr>
            </w:pPr>
            <w:r w:rsidRPr="0082517C">
              <w:rPr>
                <w:rFonts w:cs="Calibri"/>
                <w:color w:val="000000"/>
                <w:szCs w:val="20"/>
              </w:rPr>
              <w:t>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5BD21"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1359" w:type="dxa"/>
            <w:vMerge w:val="restart"/>
            <w:tcBorders>
              <w:top w:val="nil"/>
              <w:left w:val="single" w:sz="4" w:space="0" w:color="auto"/>
              <w:right w:val="single" w:sz="4" w:space="0" w:color="auto"/>
            </w:tcBorders>
            <w:shd w:val="clear" w:color="auto" w:fill="auto"/>
            <w:vAlign w:val="center"/>
            <w:hideMark/>
          </w:tcPr>
          <w:p w14:paraId="794570A1" w14:textId="77777777" w:rsidR="00F34BD4" w:rsidRPr="0082517C" w:rsidRDefault="00F34BD4">
            <w:pPr>
              <w:spacing w:after="0"/>
              <w:jc w:val="center"/>
              <w:rPr>
                <w:color w:val="000000"/>
                <w:szCs w:val="20"/>
                <w:lang w:eastAsia="pl-PL"/>
              </w:rPr>
            </w:pPr>
            <w:r w:rsidRPr="0082517C">
              <w:rPr>
                <w:color w:val="000000"/>
                <w:szCs w:val="20"/>
                <w:lang w:eastAsia="pl-PL"/>
              </w:rPr>
              <w:t>Całkowite skumulowane oszczędności końcowego zużycia energii (do 2030)</w:t>
            </w:r>
          </w:p>
        </w:tc>
      </w:tr>
      <w:tr w:rsidR="00F34BD4" w:rsidRPr="0082517C" w14:paraId="631B3368" w14:textId="77777777">
        <w:trPr>
          <w:trHeight w:val="282"/>
        </w:trPr>
        <w:tc>
          <w:tcPr>
            <w:tcW w:w="1396" w:type="dxa"/>
            <w:vMerge/>
            <w:tcBorders>
              <w:left w:val="single" w:sz="4" w:space="0" w:color="auto"/>
              <w:right w:val="single" w:sz="4" w:space="0" w:color="auto"/>
            </w:tcBorders>
            <w:shd w:val="clear" w:color="auto" w:fill="auto"/>
            <w:vAlign w:val="center"/>
            <w:hideMark/>
          </w:tcPr>
          <w:p w14:paraId="0362A19B" w14:textId="77777777" w:rsidR="00F34BD4" w:rsidRPr="0082517C" w:rsidRDefault="00F34BD4">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79DE5833"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61EA92C3"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7F0D34F4"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38B566FB" w14:textId="77777777" w:rsidR="00F34BD4" w:rsidRPr="0082517C" w:rsidRDefault="00F34BD4">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223C8C38" w14:textId="77777777" w:rsidR="00F34BD4" w:rsidRPr="0082517C" w:rsidRDefault="00F34BD4">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07DBFC71" w14:textId="77777777" w:rsidR="00F34BD4" w:rsidRPr="0082517C" w:rsidRDefault="00F34BD4">
            <w:pPr>
              <w:spacing w:after="0"/>
              <w:jc w:val="center"/>
              <w:rPr>
                <w:color w:val="00000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1D702217" w14:textId="77777777" w:rsidR="00F34BD4" w:rsidRPr="0082517C" w:rsidRDefault="00F34BD4">
            <w:pPr>
              <w:spacing w:after="0"/>
              <w:jc w:val="center"/>
              <w:rPr>
                <w:color w:val="00000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71D8982E" w14:textId="77777777" w:rsidR="00F34BD4" w:rsidRPr="0082517C" w:rsidRDefault="00F34BD4">
            <w:pPr>
              <w:spacing w:after="0"/>
              <w:jc w:val="center"/>
              <w:rPr>
                <w:color w:val="00000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1D531606"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09AA8"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shd w:val="clear" w:color="auto" w:fill="auto"/>
            <w:vAlign w:val="center"/>
            <w:hideMark/>
          </w:tcPr>
          <w:p w14:paraId="3BB9D488" w14:textId="77777777" w:rsidR="00F34BD4" w:rsidRPr="0082517C" w:rsidRDefault="00F34BD4">
            <w:pPr>
              <w:spacing w:after="0"/>
              <w:jc w:val="center"/>
              <w:rPr>
                <w:color w:val="000000"/>
                <w:szCs w:val="20"/>
                <w:lang w:eastAsia="pl-PL"/>
              </w:rPr>
            </w:pPr>
          </w:p>
        </w:tc>
      </w:tr>
      <w:tr w:rsidR="00F34BD4" w:rsidRPr="0082517C" w14:paraId="58A34F80" w14:textId="77777777">
        <w:trPr>
          <w:trHeight w:val="282"/>
        </w:trPr>
        <w:tc>
          <w:tcPr>
            <w:tcW w:w="1396" w:type="dxa"/>
            <w:vMerge/>
            <w:tcBorders>
              <w:left w:val="single" w:sz="4" w:space="0" w:color="auto"/>
              <w:right w:val="single" w:sz="4" w:space="0" w:color="auto"/>
            </w:tcBorders>
            <w:shd w:val="clear" w:color="auto" w:fill="auto"/>
            <w:vAlign w:val="center"/>
            <w:hideMark/>
          </w:tcPr>
          <w:p w14:paraId="258FF9FE" w14:textId="77777777" w:rsidR="00F34BD4" w:rsidRPr="0082517C" w:rsidRDefault="00F34BD4">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1F765D9E"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1AF22FCC"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58205DD4"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6CBC7B1C" w14:textId="77777777" w:rsidR="00F34BD4" w:rsidRPr="0082517C" w:rsidRDefault="00F34BD4">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15CBCCFF" w14:textId="77777777" w:rsidR="00F34BD4" w:rsidRPr="0082517C" w:rsidRDefault="00F34BD4">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468414CC" w14:textId="77777777" w:rsidR="00F34BD4" w:rsidRPr="0082517C" w:rsidRDefault="00F34BD4">
            <w:pPr>
              <w:spacing w:after="0"/>
              <w:jc w:val="center"/>
              <w:rPr>
                <w:color w:val="00000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541EBEDC" w14:textId="77777777" w:rsidR="00F34BD4" w:rsidRPr="0082517C" w:rsidRDefault="00F34BD4">
            <w:pPr>
              <w:spacing w:after="0"/>
              <w:jc w:val="center"/>
              <w:rPr>
                <w:color w:val="00000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3A8CD537"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47DC69E9"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7DBB2"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shd w:val="clear" w:color="auto" w:fill="auto"/>
            <w:vAlign w:val="center"/>
            <w:hideMark/>
          </w:tcPr>
          <w:p w14:paraId="0D142385" w14:textId="77777777" w:rsidR="00F34BD4" w:rsidRPr="0082517C" w:rsidRDefault="00F34BD4">
            <w:pPr>
              <w:spacing w:after="0"/>
              <w:jc w:val="center"/>
              <w:rPr>
                <w:color w:val="000000"/>
                <w:szCs w:val="20"/>
                <w:lang w:eastAsia="pl-PL"/>
              </w:rPr>
            </w:pPr>
          </w:p>
        </w:tc>
      </w:tr>
      <w:tr w:rsidR="00F34BD4" w:rsidRPr="0082517C" w14:paraId="4DB114C2" w14:textId="77777777">
        <w:trPr>
          <w:trHeight w:val="282"/>
        </w:trPr>
        <w:tc>
          <w:tcPr>
            <w:tcW w:w="1396" w:type="dxa"/>
            <w:vMerge/>
            <w:tcBorders>
              <w:left w:val="single" w:sz="4" w:space="0" w:color="auto"/>
              <w:right w:val="single" w:sz="4" w:space="0" w:color="auto"/>
            </w:tcBorders>
            <w:vAlign w:val="center"/>
            <w:hideMark/>
          </w:tcPr>
          <w:p w14:paraId="0C2DC575" w14:textId="77777777" w:rsidR="00F34BD4" w:rsidRPr="0082517C" w:rsidRDefault="00F34BD4">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52FCD8D1"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4916B66C"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076127AD"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353BD48A" w14:textId="77777777" w:rsidR="00F34BD4" w:rsidRPr="0082517C" w:rsidRDefault="00F34BD4">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535590EB" w14:textId="77777777" w:rsidR="00F34BD4" w:rsidRPr="0082517C" w:rsidRDefault="00F34BD4">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14A55899" w14:textId="77777777" w:rsidR="00F34BD4" w:rsidRPr="0082517C" w:rsidRDefault="00F34BD4">
            <w:pPr>
              <w:spacing w:after="0"/>
              <w:jc w:val="center"/>
              <w:rPr>
                <w:color w:val="000000"/>
                <w:szCs w:val="20"/>
                <w:lang w:eastAsia="pl-PL"/>
              </w:rPr>
            </w:pPr>
          </w:p>
        </w:tc>
        <w:tc>
          <w:tcPr>
            <w:tcW w:w="624" w:type="dxa"/>
            <w:tcBorders>
              <w:top w:val="single" w:sz="4" w:space="0" w:color="auto"/>
              <w:left w:val="single" w:sz="4" w:space="0" w:color="auto"/>
              <w:bottom w:val="single" w:sz="4" w:space="0" w:color="auto"/>
              <w:right w:val="single" w:sz="4" w:space="0" w:color="auto"/>
            </w:tcBorders>
            <w:vAlign w:val="center"/>
          </w:tcPr>
          <w:p w14:paraId="2644952A"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301B2CD9"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1D944A57"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4A659"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shd w:val="clear" w:color="auto" w:fill="auto"/>
            <w:vAlign w:val="center"/>
            <w:hideMark/>
          </w:tcPr>
          <w:p w14:paraId="309E8DC2" w14:textId="77777777" w:rsidR="00F34BD4" w:rsidRPr="0082517C" w:rsidRDefault="00F34BD4">
            <w:pPr>
              <w:spacing w:after="0"/>
              <w:jc w:val="center"/>
              <w:rPr>
                <w:color w:val="000000"/>
                <w:szCs w:val="20"/>
                <w:lang w:eastAsia="pl-PL"/>
              </w:rPr>
            </w:pPr>
          </w:p>
        </w:tc>
      </w:tr>
      <w:tr w:rsidR="00F34BD4" w:rsidRPr="0082517C" w14:paraId="6D0123B9" w14:textId="77777777">
        <w:trPr>
          <w:trHeight w:val="282"/>
        </w:trPr>
        <w:tc>
          <w:tcPr>
            <w:tcW w:w="1396" w:type="dxa"/>
            <w:vMerge/>
            <w:tcBorders>
              <w:left w:val="single" w:sz="4" w:space="0" w:color="auto"/>
              <w:right w:val="single" w:sz="4" w:space="0" w:color="auto"/>
            </w:tcBorders>
            <w:vAlign w:val="center"/>
            <w:hideMark/>
          </w:tcPr>
          <w:p w14:paraId="1D7622AE" w14:textId="77777777" w:rsidR="00F34BD4" w:rsidRPr="0082517C" w:rsidRDefault="00F34BD4">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581D3CA2"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74AC015E"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05BD7048"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4F893AD2" w14:textId="77777777" w:rsidR="00F34BD4" w:rsidRPr="0082517C" w:rsidRDefault="00F34BD4">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5EA25AC3" w14:textId="77777777" w:rsidR="00F34BD4" w:rsidRPr="0082517C" w:rsidRDefault="00F34BD4">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1580C7D4"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087ED374"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0482CEE7"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29482B84"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A3840"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vAlign w:val="center"/>
            <w:hideMark/>
          </w:tcPr>
          <w:p w14:paraId="130CCC2A" w14:textId="77777777" w:rsidR="00F34BD4" w:rsidRPr="0082517C" w:rsidRDefault="00F34BD4">
            <w:pPr>
              <w:spacing w:after="0"/>
              <w:jc w:val="center"/>
              <w:rPr>
                <w:color w:val="000000"/>
                <w:szCs w:val="20"/>
                <w:lang w:eastAsia="pl-PL"/>
              </w:rPr>
            </w:pPr>
          </w:p>
        </w:tc>
      </w:tr>
      <w:tr w:rsidR="00F34BD4" w:rsidRPr="0082517C" w14:paraId="637851B5" w14:textId="77777777">
        <w:trPr>
          <w:trHeight w:val="282"/>
        </w:trPr>
        <w:tc>
          <w:tcPr>
            <w:tcW w:w="1396" w:type="dxa"/>
            <w:vMerge/>
            <w:tcBorders>
              <w:left w:val="single" w:sz="4" w:space="0" w:color="auto"/>
              <w:right w:val="single" w:sz="4" w:space="0" w:color="auto"/>
            </w:tcBorders>
            <w:vAlign w:val="center"/>
            <w:hideMark/>
          </w:tcPr>
          <w:p w14:paraId="5FC46073" w14:textId="77777777" w:rsidR="00F34BD4" w:rsidRPr="0082517C" w:rsidRDefault="00F34BD4">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0BB4F984"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38D4F959"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5D6E8E3E"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7553C23A" w14:textId="77777777" w:rsidR="00F34BD4" w:rsidRPr="0082517C" w:rsidRDefault="00F34BD4">
            <w:pPr>
              <w:spacing w:after="0"/>
              <w:jc w:val="center"/>
              <w:rPr>
                <w:color w:val="000000"/>
                <w:szCs w:val="20"/>
                <w:lang w:eastAsia="pl-PL"/>
              </w:rPr>
            </w:pPr>
          </w:p>
        </w:tc>
        <w:tc>
          <w:tcPr>
            <w:tcW w:w="656" w:type="dxa"/>
            <w:tcBorders>
              <w:top w:val="nil"/>
              <w:left w:val="nil"/>
              <w:bottom w:val="single" w:sz="4" w:space="0" w:color="auto"/>
              <w:right w:val="single" w:sz="4" w:space="0" w:color="auto"/>
            </w:tcBorders>
            <w:shd w:val="clear" w:color="auto" w:fill="auto"/>
            <w:noWrap/>
            <w:vAlign w:val="center"/>
          </w:tcPr>
          <w:p w14:paraId="294F25E1"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56" w:type="dxa"/>
            <w:tcBorders>
              <w:top w:val="nil"/>
              <w:left w:val="nil"/>
              <w:bottom w:val="single" w:sz="4" w:space="0" w:color="auto"/>
              <w:right w:val="single" w:sz="4" w:space="0" w:color="auto"/>
            </w:tcBorders>
            <w:shd w:val="clear" w:color="auto" w:fill="auto"/>
            <w:noWrap/>
            <w:vAlign w:val="center"/>
          </w:tcPr>
          <w:p w14:paraId="5C6CF77D"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5B5F4C94"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72099F42"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762F8A7A"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072EB"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shd w:val="clear" w:color="auto" w:fill="auto"/>
            <w:vAlign w:val="center"/>
            <w:hideMark/>
          </w:tcPr>
          <w:p w14:paraId="75A559F0" w14:textId="77777777" w:rsidR="00F34BD4" w:rsidRPr="0082517C" w:rsidRDefault="00F34BD4">
            <w:pPr>
              <w:spacing w:after="0"/>
              <w:jc w:val="center"/>
              <w:rPr>
                <w:color w:val="000000"/>
                <w:szCs w:val="20"/>
                <w:lang w:eastAsia="pl-PL"/>
              </w:rPr>
            </w:pPr>
          </w:p>
        </w:tc>
      </w:tr>
      <w:tr w:rsidR="00F34BD4" w:rsidRPr="0082517C" w14:paraId="3B9DF85D" w14:textId="77777777">
        <w:trPr>
          <w:trHeight w:val="282"/>
        </w:trPr>
        <w:tc>
          <w:tcPr>
            <w:tcW w:w="1396" w:type="dxa"/>
            <w:vMerge/>
            <w:tcBorders>
              <w:left w:val="single" w:sz="4" w:space="0" w:color="auto"/>
              <w:right w:val="single" w:sz="4" w:space="0" w:color="auto"/>
            </w:tcBorders>
            <w:vAlign w:val="center"/>
            <w:hideMark/>
          </w:tcPr>
          <w:p w14:paraId="19E380F8" w14:textId="77777777" w:rsidR="00F34BD4" w:rsidRPr="0082517C" w:rsidRDefault="00F34BD4">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47D7795E"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3057EBBB"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37FB43F2"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3D6A5AAE"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56" w:type="dxa"/>
            <w:tcBorders>
              <w:top w:val="nil"/>
              <w:left w:val="nil"/>
              <w:bottom w:val="single" w:sz="4" w:space="0" w:color="auto"/>
              <w:right w:val="single" w:sz="4" w:space="0" w:color="auto"/>
            </w:tcBorders>
            <w:shd w:val="clear" w:color="auto" w:fill="auto"/>
            <w:noWrap/>
            <w:vAlign w:val="center"/>
          </w:tcPr>
          <w:p w14:paraId="34258ECB"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56" w:type="dxa"/>
            <w:tcBorders>
              <w:top w:val="nil"/>
              <w:left w:val="nil"/>
              <w:bottom w:val="single" w:sz="4" w:space="0" w:color="auto"/>
              <w:right w:val="single" w:sz="4" w:space="0" w:color="auto"/>
            </w:tcBorders>
            <w:shd w:val="clear" w:color="auto" w:fill="auto"/>
            <w:noWrap/>
            <w:vAlign w:val="center"/>
          </w:tcPr>
          <w:p w14:paraId="1FE3C376"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7FCE44CE"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273282DB"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57D2D450"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E936"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vAlign w:val="center"/>
            <w:hideMark/>
          </w:tcPr>
          <w:p w14:paraId="6C2AA8E3" w14:textId="77777777" w:rsidR="00F34BD4" w:rsidRPr="0082517C" w:rsidRDefault="00F34BD4">
            <w:pPr>
              <w:spacing w:after="0"/>
              <w:jc w:val="center"/>
              <w:rPr>
                <w:color w:val="000000"/>
                <w:szCs w:val="20"/>
                <w:lang w:eastAsia="pl-PL"/>
              </w:rPr>
            </w:pPr>
          </w:p>
        </w:tc>
      </w:tr>
      <w:tr w:rsidR="00F34BD4" w:rsidRPr="0082517C" w14:paraId="033740CA" w14:textId="77777777">
        <w:trPr>
          <w:trHeight w:val="282"/>
        </w:trPr>
        <w:tc>
          <w:tcPr>
            <w:tcW w:w="1396" w:type="dxa"/>
            <w:vMerge/>
            <w:tcBorders>
              <w:left w:val="single" w:sz="4" w:space="0" w:color="auto"/>
              <w:right w:val="single" w:sz="4" w:space="0" w:color="auto"/>
            </w:tcBorders>
            <w:vAlign w:val="center"/>
          </w:tcPr>
          <w:p w14:paraId="364DD0D7" w14:textId="77777777" w:rsidR="00F34BD4" w:rsidRPr="0082517C" w:rsidRDefault="00F34BD4">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6251A5C4"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71512BFD"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5211764E"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nil"/>
              <w:left w:val="nil"/>
              <w:bottom w:val="single" w:sz="4" w:space="0" w:color="auto"/>
              <w:right w:val="single" w:sz="4" w:space="0" w:color="auto"/>
            </w:tcBorders>
            <w:shd w:val="clear" w:color="auto" w:fill="auto"/>
            <w:noWrap/>
            <w:vAlign w:val="center"/>
          </w:tcPr>
          <w:p w14:paraId="02F46FAC"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56" w:type="dxa"/>
            <w:tcBorders>
              <w:top w:val="nil"/>
              <w:left w:val="nil"/>
              <w:bottom w:val="single" w:sz="4" w:space="0" w:color="auto"/>
              <w:right w:val="single" w:sz="4" w:space="0" w:color="auto"/>
            </w:tcBorders>
            <w:shd w:val="clear" w:color="auto" w:fill="auto"/>
            <w:noWrap/>
            <w:vAlign w:val="center"/>
          </w:tcPr>
          <w:p w14:paraId="766CCB15"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56" w:type="dxa"/>
            <w:tcBorders>
              <w:top w:val="nil"/>
              <w:left w:val="nil"/>
              <w:bottom w:val="single" w:sz="4" w:space="0" w:color="auto"/>
              <w:right w:val="single" w:sz="4" w:space="0" w:color="auto"/>
            </w:tcBorders>
            <w:shd w:val="clear" w:color="auto" w:fill="auto"/>
            <w:noWrap/>
            <w:vAlign w:val="center"/>
          </w:tcPr>
          <w:p w14:paraId="46B7EE46"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193CD7C3"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4E2E0FA2"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24" w:type="dxa"/>
            <w:tcBorders>
              <w:top w:val="single" w:sz="4" w:space="0" w:color="auto"/>
              <w:left w:val="single" w:sz="4" w:space="0" w:color="auto"/>
              <w:bottom w:val="single" w:sz="4" w:space="0" w:color="auto"/>
              <w:right w:val="single" w:sz="4" w:space="0" w:color="auto"/>
            </w:tcBorders>
            <w:vAlign w:val="center"/>
          </w:tcPr>
          <w:p w14:paraId="581A91BE"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60257" w14:textId="77777777" w:rsidR="00F34BD4" w:rsidRPr="0082517C" w:rsidRDefault="00F34BD4">
            <w:pPr>
              <w:spacing w:after="0"/>
              <w:jc w:val="center"/>
              <w:rPr>
                <w:color w:val="000000"/>
                <w:szCs w:val="20"/>
                <w:lang w:eastAsia="pl-PL"/>
              </w:rPr>
            </w:pPr>
            <w:r w:rsidRPr="0082517C">
              <w:rPr>
                <w:rFonts w:cs="Calibri"/>
                <w:color w:val="000000"/>
                <w:szCs w:val="20"/>
              </w:rPr>
              <w:t>90</w:t>
            </w:r>
          </w:p>
        </w:tc>
        <w:tc>
          <w:tcPr>
            <w:tcW w:w="1359" w:type="dxa"/>
            <w:vMerge/>
            <w:tcBorders>
              <w:left w:val="single" w:sz="4" w:space="0" w:color="auto"/>
              <w:right w:val="single" w:sz="4" w:space="0" w:color="auto"/>
            </w:tcBorders>
            <w:vAlign w:val="center"/>
          </w:tcPr>
          <w:p w14:paraId="14A46EB1" w14:textId="77777777" w:rsidR="00F34BD4" w:rsidRPr="0082517C" w:rsidRDefault="00F34BD4">
            <w:pPr>
              <w:spacing w:after="0"/>
              <w:jc w:val="center"/>
              <w:rPr>
                <w:color w:val="000000"/>
                <w:szCs w:val="20"/>
                <w:lang w:eastAsia="pl-PL"/>
              </w:rPr>
            </w:pPr>
          </w:p>
        </w:tc>
      </w:tr>
      <w:tr w:rsidR="00F34BD4" w:rsidRPr="0082517C" w14:paraId="79F2C8E4" w14:textId="77777777">
        <w:trPr>
          <w:trHeight w:val="282"/>
        </w:trPr>
        <w:tc>
          <w:tcPr>
            <w:tcW w:w="1396" w:type="dxa"/>
            <w:vMerge/>
            <w:tcBorders>
              <w:left w:val="single" w:sz="4" w:space="0" w:color="auto"/>
              <w:right w:val="single" w:sz="4" w:space="0" w:color="auto"/>
            </w:tcBorders>
            <w:vAlign w:val="center"/>
          </w:tcPr>
          <w:p w14:paraId="79BD399B" w14:textId="77777777" w:rsidR="00F34BD4" w:rsidRPr="0082517C" w:rsidRDefault="00F34BD4">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6B57E04D" w14:textId="77777777" w:rsidR="00F34BD4" w:rsidRPr="0082517C" w:rsidRDefault="00F34BD4">
            <w:pPr>
              <w:spacing w:after="0"/>
              <w:jc w:val="center"/>
              <w:rPr>
                <w:color w:val="000000"/>
                <w:szCs w:val="20"/>
                <w:lang w:eastAsia="pl-PL"/>
              </w:rPr>
            </w:pPr>
          </w:p>
        </w:tc>
        <w:tc>
          <w:tcPr>
            <w:tcW w:w="624" w:type="dxa"/>
            <w:tcBorders>
              <w:top w:val="nil"/>
              <w:left w:val="nil"/>
              <w:bottom w:val="single" w:sz="4" w:space="0" w:color="auto"/>
              <w:right w:val="single" w:sz="4" w:space="0" w:color="auto"/>
            </w:tcBorders>
            <w:shd w:val="clear" w:color="auto" w:fill="auto"/>
            <w:noWrap/>
            <w:vAlign w:val="center"/>
          </w:tcPr>
          <w:p w14:paraId="2544D798" w14:textId="77777777" w:rsidR="00F34BD4" w:rsidRPr="0082517C" w:rsidRDefault="00F34BD4">
            <w:pPr>
              <w:spacing w:after="0"/>
              <w:jc w:val="center"/>
              <w:rPr>
                <w:color w:val="000000"/>
                <w:szCs w:val="20"/>
                <w:lang w:eastAsia="pl-PL"/>
              </w:rPr>
            </w:pPr>
            <w:r w:rsidRPr="0082517C">
              <w:rPr>
                <w:rFonts w:cs="Calibri"/>
                <w:color w:val="000000"/>
                <w:szCs w:val="20"/>
              </w:rPr>
              <w:t>60</w:t>
            </w:r>
          </w:p>
        </w:tc>
        <w:tc>
          <w:tcPr>
            <w:tcW w:w="624" w:type="dxa"/>
            <w:tcBorders>
              <w:top w:val="nil"/>
              <w:left w:val="nil"/>
              <w:bottom w:val="single" w:sz="4" w:space="0" w:color="auto"/>
              <w:right w:val="single" w:sz="4" w:space="0" w:color="auto"/>
            </w:tcBorders>
            <w:shd w:val="clear" w:color="auto" w:fill="auto"/>
            <w:noWrap/>
            <w:vAlign w:val="center"/>
          </w:tcPr>
          <w:p w14:paraId="5D0FB22A" w14:textId="77777777" w:rsidR="00F34BD4" w:rsidRPr="0082517C" w:rsidRDefault="00F34BD4">
            <w:pPr>
              <w:spacing w:after="0"/>
              <w:jc w:val="center"/>
              <w:rPr>
                <w:color w:val="000000"/>
                <w:szCs w:val="20"/>
                <w:lang w:eastAsia="pl-PL"/>
              </w:rPr>
            </w:pPr>
            <w:r w:rsidRPr="0082517C">
              <w:rPr>
                <w:rFonts w:cs="Calibri"/>
                <w:color w:val="000000"/>
                <w:szCs w:val="20"/>
              </w:rPr>
              <w:t>60</w:t>
            </w:r>
          </w:p>
        </w:tc>
        <w:tc>
          <w:tcPr>
            <w:tcW w:w="624" w:type="dxa"/>
            <w:tcBorders>
              <w:top w:val="nil"/>
              <w:left w:val="nil"/>
              <w:bottom w:val="single" w:sz="4" w:space="0" w:color="auto"/>
              <w:right w:val="single" w:sz="4" w:space="0" w:color="auto"/>
            </w:tcBorders>
            <w:shd w:val="clear" w:color="auto" w:fill="auto"/>
            <w:noWrap/>
            <w:vAlign w:val="center"/>
          </w:tcPr>
          <w:p w14:paraId="3E32EE31" w14:textId="77777777" w:rsidR="00F34BD4" w:rsidRPr="0082517C" w:rsidRDefault="00F34BD4">
            <w:pPr>
              <w:spacing w:after="0"/>
              <w:jc w:val="center"/>
              <w:rPr>
                <w:color w:val="000000"/>
                <w:szCs w:val="20"/>
                <w:lang w:eastAsia="pl-PL"/>
              </w:rPr>
            </w:pPr>
            <w:r w:rsidRPr="0082517C">
              <w:rPr>
                <w:rFonts w:cs="Calibri"/>
                <w:color w:val="000000"/>
                <w:szCs w:val="20"/>
              </w:rPr>
              <w:t>60</w:t>
            </w:r>
          </w:p>
        </w:tc>
        <w:tc>
          <w:tcPr>
            <w:tcW w:w="656" w:type="dxa"/>
            <w:tcBorders>
              <w:top w:val="nil"/>
              <w:left w:val="nil"/>
              <w:bottom w:val="single" w:sz="4" w:space="0" w:color="auto"/>
              <w:right w:val="single" w:sz="4" w:space="0" w:color="auto"/>
            </w:tcBorders>
            <w:shd w:val="clear" w:color="auto" w:fill="auto"/>
            <w:noWrap/>
            <w:vAlign w:val="center"/>
          </w:tcPr>
          <w:p w14:paraId="42E8AE15" w14:textId="77777777" w:rsidR="00F34BD4" w:rsidRPr="0082517C" w:rsidRDefault="00F34BD4">
            <w:pPr>
              <w:spacing w:after="0"/>
              <w:jc w:val="center"/>
              <w:rPr>
                <w:color w:val="000000"/>
                <w:szCs w:val="20"/>
                <w:lang w:eastAsia="pl-PL"/>
              </w:rPr>
            </w:pPr>
            <w:r w:rsidRPr="0082517C">
              <w:rPr>
                <w:rFonts w:cs="Calibri"/>
                <w:color w:val="000000"/>
                <w:szCs w:val="20"/>
              </w:rPr>
              <w:t>60</w:t>
            </w:r>
          </w:p>
        </w:tc>
        <w:tc>
          <w:tcPr>
            <w:tcW w:w="656" w:type="dxa"/>
            <w:tcBorders>
              <w:top w:val="nil"/>
              <w:left w:val="nil"/>
              <w:bottom w:val="single" w:sz="4" w:space="0" w:color="auto"/>
              <w:right w:val="single" w:sz="4" w:space="0" w:color="auto"/>
            </w:tcBorders>
            <w:shd w:val="clear" w:color="auto" w:fill="auto"/>
            <w:noWrap/>
            <w:vAlign w:val="center"/>
          </w:tcPr>
          <w:p w14:paraId="736B4520" w14:textId="77777777" w:rsidR="00F34BD4" w:rsidRPr="0082517C" w:rsidRDefault="00F34BD4">
            <w:pPr>
              <w:spacing w:after="0"/>
              <w:jc w:val="center"/>
              <w:rPr>
                <w:color w:val="000000"/>
                <w:szCs w:val="20"/>
                <w:lang w:eastAsia="pl-PL"/>
              </w:rPr>
            </w:pPr>
            <w:r w:rsidRPr="0082517C">
              <w:rPr>
                <w:rFonts w:cs="Calibri"/>
                <w:color w:val="000000"/>
                <w:szCs w:val="20"/>
              </w:rPr>
              <w:t>60</w:t>
            </w:r>
          </w:p>
        </w:tc>
        <w:tc>
          <w:tcPr>
            <w:tcW w:w="624" w:type="dxa"/>
            <w:tcBorders>
              <w:top w:val="single" w:sz="4" w:space="0" w:color="auto"/>
              <w:left w:val="single" w:sz="4" w:space="0" w:color="auto"/>
              <w:bottom w:val="single" w:sz="4" w:space="0" w:color="auto"/>
              <w:right w:val="single" w:sz="4" w:space="0" w:color="auto"/>
            </w:tcBorders>
            <w:vAlign w:val="center"/>
          </w:tcPr>
          <w:p w14:paraId="7547D33C" w14:textId="77777777" w:rsidR="00F34BD4" w:rsidRPr="0082517C" w:rsidRDefault="00F34BD4">
            <w:pPr>
              <w:spacing w:after="0"/>
              <w:jc w:val="center"/>
              <w:rPr>
                <w:color w:val="000000"/>
                <w:szCs w:val="20"/>
                <w:lang w:eastAsia="pl-PL"/>
              </w:rPr>
            </w:pPr>
            <w:r w:rsidRPr="0082517C">
              <w:rPr>
                <w:rFonts w:cs="Calibri"/>
                <w:color w:val="000000"/>
                <w:szCs w:val="20"/>
              </w:rPr>
              <w:t>60</w:t>
            </w:r>
          </w:p>
        </w:tc>
        <w:tc>
          <w:tcPr>
            <w:tcW w:w="624" w:type="dxa"/>
            <w:tcBorders>
              <w:top w:val="single" w:sz="4" w:space="0" w:color="auto"/>
              <w:left w:val="single" w:sz="4" w:space="0" w:color="auto"/>
              <w:bottom w:val="single" w:sz="4" w:space="0" w:color="auto"/>
              <w:right w:val="single" w:sz="4" w:space="0" w:color="auto"/>
            </w:tcBorders>
            <w:vAlign w:val="center"/>
          </w:tcPr>
          <w:p w14:paraId="5F7F9351" w14:textId="77777777" w:rsidR="00F34BD4" w:rsidRPr="0082517C" w:rsidRDefault="00F34BD4">
            <w:pPr>
              <w:spacing w:after="0"/>
              <w:jc w:val="center"/>
              <w:rPr>
                <w:color w:val="000000"/>
                <w:szCs w:val="20"/>
                <w:lang w:eastAsia="pl-PL"/>
              </w:rPr>
            </w:pPr>
            <w:r w:rsidRPr="0082517C">
              <w:rPr>
                <w:rFonts w:cs="Calibri"/>
                <w:color w:val="000000"/>
                <w:szCs w:val="20"/>
              </w:rPr>
              <w:t>60</w:t>
            </w:r>
          </w:p>
        </w:tc>
        <w:tc>
          <w:tcPr>
            <w:tcW w:w="624" w:type="dxa"/>
            <w:tcBorders>
              <w:top w:val="single" w:sz="4" w:space="0" w:color="auto"/>
              <w:left w:val="single" w:sz="4" w:space="0" w:color="auto"/>
              <w:bottom w:val="single" w:sz="4" w:space="0" w:color="auto"/>
              <w:right w:val="single" w:sz="4" w:space="0" w:color="auto"/>
            </w:tcBorders>
            <w:vAlign w:val="center"/>
          </w:tcPr>
          <w:p w14:paraId="3C436145" w14:textId="77777777" w:rsidR="00F34BD4" w:rsidRPr="0082517C" w:rsidRDefault="00F34BD4">
            <w:pPr>
              <w:spacing w:after="0"/>
              <w:jc w:val="center"/>
              <w:rPr>
                <w:color w:val="000000"/>
                <w:szCs w:val="20"/>
                <w:lang w:eastAsia="pl-PL"/>
              </w:rPr>
            </w:pPr>
            <w:r w:rsidRPr="0082517C">
              <w:rPr>
                <w:rFonts w:cs="Calibri"/>
                <w:color w:val="000000"/>
                <w:szCs w:val="20"/>
              </w:rPr>
              <w:t>60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75B8B" w14:textId="77777777" w:rsidR="00F34BD4" w:rsidRPr="0082517C" w:rsidRDefault="00F34BD4">
            <w:pPr>
              <w:spacing w:after="0"/>
              <w:jc w:val="center"/>
              <w:rPr>
                <w:color w:val="000000"/>
                <w:szCs w:val="20"/>
                <w:lang w:eastAsia="pl-PL"/>
              </w:rPr>
            </w:pPr>
            <w:r w:rsidRPr="0082517C">
              <w:rPr>
                <w:rFonts w:cs="Calibri"/>
                <w:color w:val="000000"/>
                <w:szCs w:val="20"/>
              </w:rPr>
              <w:t>60</w:t>
            </w:r>
          </w:p>
        </w:tc>
        <w:tc>
          <w:tcPr>
            <w:tcW w:w="1359" w:type="dxa"/>
            <w:vMerge/>
            <w:tcBorders>
              <w:left w:val="single" w:sz="4" w:space="0" w:color="auto"/>
              <w:right w:val="single" w:sz="4" w:space="0" w:color="auto"/>
            </w:tcBorders>
            <w:vAlign w:val="center"/>
          </w:tcPr>
          <w:p w14:paraId="4F7FEEA3" w14:textId="77777777" w:rsidR="00F34BD4" w:rsidRPr="0082517C" w:rsidRDefault="00F34BD4">
            <w:pPr>
              <w:spacing w:after="0"/>
              <w:jc w:val="center"/>
              <w:rPr>
                <w:color w:val="000000"/>
                <w:szCs w:val="20"/>
                <w:lang w:eastAsia="pl-PL"/>
              </w:rPr>
            </w:pPr>
          </w:p>
        </w:tc>
      </w:tr>
      <w:tr w:rsidR="00F34BD4" w:rsidRPr="0082517C" w14:paraId="5D6FB19B" w14:textId="77777777">
        <w:trPr>
          <w:trHeight w:val="282"/>
        </w:trPr>
        <w:tc>
          <w:tcPr>
            <w:tcW w:w="1396" w:type="dxa"/>
            <w:vMerge/>
            <w:tcBorders>
              <w:left w:val="single" w:sz="4" w:space="0" w:color="auto"/>
              <w:bottom w:val="single" w:sz="4" w:space="0" w:color="auto"/>
              <w:right w:val="single" w:sz="4" w:space="0" w:color="auto"/>
            </w:tcBorders>
            <w:vAlign w:val="center"/>
          </w:tcPr>
          <w:p w14:paraId="7211BF52" w14:textId="77777777" w:rsidR="00F34BD4" w:rsidRPr="0082517C" w:rsidRDefault="00F34BD4">
            <w:pPr>
              <w:spacing w:after="0"/>
              <w:jc w:val="center"/>
              <w:rPr>
                <w:color w:val="000000"/>
                <w:szCs w:val="20"/>
                <w:lang w:eastAsia="pl-PL"/>
              </w:rPr>
            </w:pPr>
          </w:p>
        </w:tc>
        <w:tc>
          <w:tcPr>
            <w:tcW w:w="670" w:type="dxa"/>
            <w:tcBorders>
              <w:top w:val="nil"/>
              <w:left w:val="nil"/>
              <w:bottom w:val="single" w:sz="4" w:space="0" w:color="auto"/>
              <w:right w:val="single" w:sz="4" w:space="0" w:color="auto"/>
            </w:tcBorders>
            <w:shd w:val="clear" w:color="auto" w:fill="auto"/>
            <w:noWrap/>
            <w:vAlign w:val="center"/>
          </w:tcPr>
          <w:p w14:paraId="2DE5AD98" w14:textId="77777777" w:rsidR="00F34BD4" w:rsidRPr="0082517C" w:rsidRDefault="00F34BD4">
            <w:pPr>
              <w:spacing w:after="0"/>
              <w:jc w:val="center"/>
              <w:rPr>
                <w:color w:val="000000"/>
                <w:szCs w:val="20"/>
                <w:lang w:eastAsia="pl-PL"/>
              </w:rPr>
            </w:pPr>
            <w:r w:rsidRPr="0082517C">
              <w:rPr>
                <w:rFonts w:cs="Calibri"/>
                <w:color w:val="000000"/>
                <w:szCs w:val="20"/>
              </w:rPr>
              <w:t>0</w:t>
            </w:r>
          </w:p>
        </w:tc>
        <w:tc>
          <w:tcPr>
            <w:tcW w:w="624" w:type="dxa"/>
            <w:tcBorders>
              <w:top w:val="nil"/>
              <w:left w:val="nil"/>
              <w:bottom w:val="single" w:sz="4" w:space="0" w:color="auto"/>
              <w:right w:val="single" w:sz="4" w:space="0" w:color="auto"/>
            </w:tcBorders>
            <w:shd w:val="clear" w:color="auto" w:fill="auto"/>
            <w:noWrap/>
            <w:vAlign w:val="center"/>
          </w:tcPr>
          <w:p w14:paraId="5F415CFC" w14:textId="77777777" w:rsidR="00F34BD4" w:rsidRPr="0082517C" w:rsidRDefault="00F34BD4">
            <w:pPr>
              <w:spacing w:after="0"/>
              <w:jc w:val="center"/>
              <w:rPr>
                <w:color w:val="000000"/>
                <w:szCs w:val="20"/>
                <w:lang w:eastAsia="pl-PL"/>
              </w:rPr>
            </w:pPr>
            <w:r w:rsidRPr="0082517C">
              <w:rPr>
                <w:rFonts w:cs="Calibri"/>
                <w:color w:val="000000"/>
                <w:szCs w:val="20"/>
              </w:rPr>
              <w:t>0</w:t>
            </w:r>
          </w:p>
        </w:tc>
        <w:tc>
          <w:tcPr>
            <w:tcW w:w="624" w:type="dxa"/>
            <w:tcBorders>
              <w:top w:val="nil"/>
              <w:left w:val="nil"/>
              <w:bottom w:val="single" w:sz="4" w:space="0" w:color="auto"/>
              <w:right w:val="single" w:sz="4" w:space="0" w:color="auto"/>
            </w:tcBorders>
            <w:shd w:val="clear" w:color="auto" w:fill="auto"/>
            <w:noWrap/>
            <w:vAlign w:val="center"/>
          </w:tcPr>
          <w:p w14:paraId="6999154C" w14:textId="77777777" w:rsidR="00F34BD4" w:rsidRPr="0082517C" w:rsidRDefault="00F34BD4">
            <w:pPr>
              <w:spacing w:after="0"/>
              <w:jc w:val="center"/>
              <w:rPr>
                <w:color w:val="000000"/>
                <w:szCs w:val="20"/>
                <w:lang w:eastAsia="pl-PL"/>
              </w:rPr>
            </w:pPr>
            <w:r w:rsidRPr="0082517C">
              <w:rPr>
                <w:rFonts w:cs="Calibri"/>
                <w:color w:val="000000"/>
                <w:szCs w:val="20"/>
              </w:rPr>
              <w:t>0</w:t>
            </w:r>
          </w:p>
        </w:tc>
        <w:tc>
          <w:tcPr>
            <w:tcW w:w="624" w:type="dxa"/>
            <w:tcBorders>
              <w:top w:val="nil"/>
              <w:left w:val="nil"/>
              <w:bottom w:val="single" w:sz="4" w:space="0" w:color="auto"/>
              <w:right w:val="single" w:sz="4" w:space="0" w:color="auto"/>
            </w:tcBorders>
            <w:shd w:val="clear" w:color="auto" w:fill="auto"/>
            <w:noWrap/>
            <w:vAlign w:val="center"/>
          </w:tcPr>
          <w:p w14:paraId="30D2F813" w14:textId="77777777" w:rsidR="00F34BD4" w:rsidRPr="0082517C" w:rsidRDefault="00F34BD4">
            <w:pPr>
              <w:spacing w:after="0"/>
              <w:jc w:val="center"/>
              <w:rPr>
                <w:color w:val="000000"/>
                <w:szCs w:val="20"/>
                <w:lang w:eastAsia="pl-PL"/>
              </w:rPr>
            </w:pPr>
            <w:r w:rsidRPr="0082517C">
              <w:rPr>
                <w:rFonts w:cs="Calibri"/>
                <w:color w:val="000000"/>
                <w:szCs w:val="20"/>
              </w:rPr>
              <w:t>0</w:t>
            </w:r>
          </w:p>
        </w:tc>
        <w:tc>
          <w:tcPr>
            <w:tcW w:w="656" w:type="dxa"/>
            <w:tcBorders>
              <w:top w:val="nil"/>
              <w:left w:val="nil"/>
              <w:bottom w:val="single" w:sz="4" w:space="0" w:color="auto"/>
              <w:right w:val="single" w:sz="4" w:space="0" w:color="auto"/>
            </w:tcBorders>
            <w:shd w:val="clear" w:color="auto" w:fill="auto"/>
            <w:noWrap/>
            <w:vAlign w:val="center"/>
          </w:tcPr>
          <w:p w14:paraId="2883C739" w14:textId="77777777" w:rsidR="00F34BD4" w:rsidRPr="0082517C" w:rsidRDefault="00F34BD4">
            <w:pPr>
              <w:spacing w:after="0"/>
              <w:jc w:val="center"/>
              <w:rPr>
                <w:color w:val="000000"/>
                <w:szCs w:val="20"/>
                <w:lang w:eastAsia="pl-PL"/>
              </w:rPr>
            </w:pPr>
            <w:r w:rsidRPr="0082517C">
              <w:rPr>
                <w:rFonts w:cs="Calibri"/>
                <w:color w:val="000000"/>
                <w:szCs w:val="20"/>
              </w:rPr>
              <w:t>0</w:t>
            </w:r>
          </w:p>
        </w:tc>
        <w:tc>
          <w:tcPr>
            <w:tcW w:w="656" w:type="dxa"/>
            <w:tcBorders>
              <w:top w:val="nil"/>
              <w:left w:val="nil"/>
              <w:bottom w:val="single" w:sz="4" w:space="0" w:color="auto"/>
              <w:right w:val="single" w:sz="4" w:space="0" w:color="auto"/>
            </w:tcBorders>
            <w:shd w:val="clear" w:color="auto" w:fill="auto"/>
            <w:noWrap/>
            <w:vAlign w:val="center"/>
          </w:tcPr>
          <w:p w14:paraId="627E92C6" w14:textId="77777777" w:rsidR="00F34BD4" w:rsidRPr="0082517C" w:rsidRDefault="00F34BD4">
            <w:pPr>
              <w:spacing w:after="0"/>
              <w:jc w:val="center"/>
              <w:rPr>
                <w:color w:val="000000"/>
                <w:szCs w:val="20"/>
                <w:lang w:eastAsia="pl-PL"/>
              </w:rPr>
            </w:pPr>
            <w:r w:rsidRPr="0082517C">
              <w:rPr>
                <w:color w:val="000000"/>
                <w:szCs w:val="20"/>
                <w:lang w:eastAsia="pl-PL"/>
              </w:rPr>
              <w:t>0</w:t>
            </w:r>
          </w:p>
        </w:tc>
        <w:tc>
          <w:tcPr>
            <w:tcW w:w="624" w:type="dxa"/>
            <w:tcBorders>
              <w:top w:val="single" w:sz="4" w:space="0" w:color="auto"/>
              <w:left w:val="single" w:sz="4" w:space="0" w:color="auto"/>
              <w:bottom w:val="single" w:sz="4" w:space="0" w:color="auto"/>
              <w:right w:val="single" w:sz="4" w:space="0" w:color="auto"/>
            </w:tcBorders>
            <w:vAlign w:val="center"/>
          </w:tcPr>
          <w:p w14:paraId="2CD19132" w14:textId="77777777" w:rsidR="00F34BD4" w:rsidRPr="0082517C" w:rsidRDefault="00F34BD4">
            <w:pPr>
              <w:spacing w:after="0"/>
              <w:jc w:val="center"/>
              <w:rPr>
                <w:color w:val="000000"/>
                <w:szCs w:val="20"/>
                <w:lang w:eastAsia="pl-PL"/>
              </w:rPr>
            </w:pPr>
            <w:r w:rsidRPr="0082517C">
              <w:rPr>
                <w:color w:val="000000"/>
                <w:szCs w:val="20"/>
                <w:lang w:eastAsia="pl-PL"/>
              </w:rPr>
              <w:t>0</w:t>
            </w:r>
          </w:p>
        </w:tc>
        <w:tc>
          <w:tcPr>
            <w:tcW w:w="624" w:type="dxa"/>
            <w:tcBorders>
              <w:top w:val="single" w:sz="4" w:space="0" w:color="auto"/>
              <w:left w:val="single" w:sz="4" w:space="0" w:color="auto"/>
              <w:bottom w:val="single" w:sz="4" w:space="0" w:color="auto"/>
              <w:right w:val="single" w:sz="4" w:space="0" w:color="auto"/>
            </w:tcBorders>
            <w:vAlign w:val="center"/>
          </w:tcPr>
          <w:p w14:paraId="7EBBE7C7" w14:textId="77777777" w:rsidR="00F34BD4" w:rsidRPr="0082517C" w:rsidRDefault="00F34BD4">
            <w:pPr>
              <w:spacing w:after="0"/>
              <w:jc w:val="center"/>
              <w:rPr>
                <w:color w:val="000000"/>
                <w:szCs w:val="20"/>
                <w:lang w:eastAsia="pl-PL"/>
              </w:rPr>
            </w:pPr>
            <w:r w:rsidRPr="0082517C">
              <w:rPr>
                <w:color w:val="000000"/>
                <w:szCs w:val="20"/>
                <w:lang w:eastAsia="pl-PL"/>
              </w:rPr>
              <w:t>0</w:t>
            </w:r>
          </w:p>
        </w:tc>
        <w:tc>
          <w:tcPr>
            <w:tcW w:w="624" w:type="dxa"/>
            <w:tcBorders>
              <w:top w:val="single" w:sz="4" w:space="0" w:color="auto"/>
              <w:left w:val="single" w:sz="4" w:space="0" w:color="auto"/>
              <w:bottom w:val="single" w:sz="4" w:space="0" w:color="auto"/>
              <w:right w:val="single" w:sz="4" w:space="0" w:color="auto"/>
            </w:tcBorders>
            <w:vAlign w:val="center"/>
          </w:tcPr>
          <w:p w14:paraId="09B7BB7A" w14:textId="77777777" w:rsidR="00F34BD4" w:rsidRPr="0082517C" w:rsidRDefault="00F34BD4">
            <w:pPr>
              <w:spacing w:after="0"/>
              <w:jc w:val="center"/>
              <w:rPr>
                <w:color w:val="000000"/>
                <w:szCs w:val="20"/>
                <w:lang w:eastAsia="pl-PL"/>
              </w:rPr>
            </w:pPr>
            <w:r w:rsidRPr="0082517C">
              <w:rPr>
                <w:color w:val="000000"/>
                <w:szCs w:val="20"/>
                <w:lang w:eastAsia="pl-PL"/>
              </w:rPr>
              <w:t>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FE64C" w14:textId="77777777" w:rsidR="00F34BD4" w:rsidRPr="0082517C" w:rsidRDefault="00F34BD4">
            <w:pPr>
              <w:spacing w:after="0"/>
              <w:jc w:val="center"/>
              <w:rPr>
                <w:color w:val="000000"/>
                <w:szCs w:val="20"/>
                <w:lang w:eastAsia="pl-PL"/>
              </w:rPr>
            </w:pPr>
            <w:r w:rsidRPr="0082517C">
              <w:rPr>
                <w:color w:val="000000"/>
                <w:szCs w:val="20"/>
                <w:lang w:eastAsia="pl-PL"/>
              </w:rPr>
              <w:t>0</w:t>
            </w:r>
          </w:p>
        </w:tc>
        <w:tc>
          <w:tcPr>
            <w:tcW w:w="1359" w:type="dxa"/>
            <w:vMerge/>
            <w:tcBorders>
              <w:left w:val="single" w:sz="4" w:space="0" w:color="auto"/>
              <w:bottom w:val="single" w:sz="4" w:space="0" w:color="auto"/>
              <w:right w:val="single" w:sz="4" w:space="0" w:color="auto"/>
            </w:tcBorders>
            <w:vAlign w:val="center"/>
          </w:tcPr>
          <w:p w14:paraId="5952ED8A" w14:textId="77777777" w:rsidR="00F34BD4" w:rsidRPr="0082517C" w:rsidRDefault="00F34BD4">
            <w:pPr>
              <w:spacing w:after="0"/>
              <w:jc w:val="center"/>
              <w:rPr>
                <w:color w:val="000000"/>
                <w:szCs w:val="20"/>
                <w:lang w:eastAsia="pl-PL"/>
              </w:rPr>
            </w:pPr>
          </w:p>
        </w:tc>
      </w:tr>
      <w:tr w:rsidR="00F34BD4" w:rsidRPr="0082517C" w14:paraId="609104DE" w14:textId="77777777">
        <w:trPr>
          <w:trHeight w:val="282"/>
        </w:trPr>
        <w:tc>
          <w:tcPr>
            <w:tcW w:w="1396" w:type="dxa"/>
            <w:tcBorders>
              <w:top w:val="nil"/>
              <w:left w:val="single" w:sz="4" w:space="0" w:color="auto"/>
              <w:bottom w:val="single" w:sz="4" w:space="0" w:color="auto"/>
              <w:right w:val="single" w:sz="4" w:space="0" w:color="auto"/>
            </w:tcBorders>
            <w:shd w:val="clear" w:color="auto" w:fill="auto"/>
            <w:noWrap/>
            <w:vAlign w:val="center"/>
            <w:hideMark/>
          </w:tcPr>
          <w:p w14:paraId="20FD656C" w14:textId="77777777" w:rsidR="00F34BD4" w:rsidRPr="0082517C" w:rsidRDefault="00F34BD4">
            <w:pPr>
              <w:spacing w:after="0"/>
              <w:jc w:val="center"/>
              <w:rPr>
                <w:color w:val="000000"/>
                <w:szCs w:val="20"/>
                <w:lang w:eastAsia="pl-PL"/>
              </w:rPr>
            </w:pPr>
            <w:r w:rsidRPr="0082517C">
              <w:rPr>
                <w:color w:val="000000"/>
                <w:szCs w:val="20"/>
                <w:lang w:eastAsia="pl-PL"/>
              </w:rPr>
              <w:t>Razem (ktoe)</w:t>
            </w:r>
          </w:p>
        </w:tc>
        <w:tc>
          <w:tcPr>
            <w:tcW w:w="670" w:type="dxa"/>
            <w:tcBorders>
              <w:top w:val="nil"/>
              <w:left w:val="nil"/>
              <w:bottom w:val="single" w:sz="4" w:space="0" w:color="auto"/>
              <w:right w:val="single" w:sz="4" w:space="0" w:color="auto"/>
            </w:tcBorders>
            <w:shd w:val="clear" w:color="auto" w:fill="auto"/>
            <w:noWrap/>
            <w:vAlign w:val="center"/>
          </w:tcPr>
          <w:p w14:paraId="3428991B" w14:textId="77777777" w:rsidR="00F34BD4" w:rsidRPr="0082517C" w:rsidRDefault="00F34BD4">
            <w:pPr>
              <w:spacing w:after="0"/>
              <w:jc w:val="center"/>
              <w:rPr>
                <w:b/>
                <w:bCs/>
                <w:color w:val="000000"/>
                <w:szCs w:val="20"/>
                <w:lang w:eastAsia="pl-PL"/>
              </w:rPr>
            </w:pPr>
            <w:r w:rsidRPr="0082517C">
              <w:rPr>
                <w:rFonts w:cs="Calibri"/>
                <w:b/>
                <w:bCs/>
                <w:color w:val="000000"/>
                <w:szCs w:val="20"/>
              </w:rPr>
              <w:t>0</w:t>
            </w:r>
          </w:p>
        </w:tc>
        <w:tc>
          <w:tcPr>
            <w:tcW w:w="624" w:type="dxa"/>
            <w:tcBorders>
              <w:top w:val="nil"/>
              <w:left w:val="nil"/>
              <w:bottom w:val="single" w:sz="4" w:space="0" w:color="auto"/>
              <w:right w:val="single" w:sz="4" w:space="0" w:color="auto"/>
            </w:tcBorders>
            <w:shd w:val="clear" w:color="auto" w:fill="auto"/>
            <w:noWrap/>
            <w:vAlign w:val="center"/>
          </w:tcPr>
          <w:p w14:paraId="1486757B" w14:textId="77777777" w:rsidR="00F34BD4" w:rsidRPr="0082517C" w:rsidRDefault="00F34BD4">
            <w:pPr>
              <w:spacing w:after="0"/>
              <w:jc w:val="center"/>
              <w:rPr>
                <w:b/>
                <w:bCs/>
                <w:color w:val="000000"/>
                <w:szCs w:val="20"/>
                <w:lang w:eastAsia="pl-PL"/>
              </w:rPr>
            </w:pPr>
            <w:r w:rsidRPr="0082517C">
              <w:rPr>
                <w:rFonts w:cs="Calibri"/>
                <w:b/>
                <w:bCs/>
                <w:color w:val="000000"/>
                <w:szCs w:val="20"/>
              </w:rPr>
              <w:t>60</w:t>
            </w:r>
          </w:p>
        </w:tc>
        <w:tc>
          <w:tcPr>
            <w:tcW w:w="624" w:type="dxa"/>
            <w:tcBorders>
              <w:top w:val="nil"/>
              <w:left w:val="nil"/>
              <w:bottom w:val="single" w:sz="4" w:space="0" w:color="auto"/>
              <w:right w:val="single" w:sz="4" w:space="0" w:color="auto"/>
            </w:tcBorders>
            <w:shd w:val="clear" w:color="auto" w:fill="auto"/>
            <w:noWrap/>
            <w:vAlign w:val="center"/>
          </w:tcPr>
          <w:p w14:paraId="0555ACE7" w14:textId="77777777" w:rsidR="00F34BD4" w:rsidRPr="0082517C" w:rsidRDefault="00F34BD4">
            <w:pPr>
              <w:spacing w:after="0"/>
              <w:jc w:val="center"/>
              <w:rPr>
                <w:b/>
                <w:bCs/>
                <w:color w:val="000000"/>
                <w:szCs w:val="20"/>
                <w:lang w:eastAsia="pl-PL"/>
              </w:rPr>
            </w:pPr>
            <w:r w:rsidRPr="0082517C">
              <w:rPr>
                <w:rFonts w:cs="Calibri"/>
                <w:b/>
                <w:bCs/>
                <w:color w:val="000000"/>
                <w:szCs w:val="20"/>
              </w:rPr>
              <w:t>150</w:t>
            </w:r>
          </w:p>
        </w:tc>
        <w:tc>
          <w:tcPr>
            <w:tcW w:w="624" w:type="dxa"/>
            <w:tcBorders>
              <w:top w:val="nil"/>
              <w:left w:val="nil"/>
              <w:bottom w:val="single" w:sz="4" w:space="0" w:color="auto"/>
              <w:right w:val="single" w:sz="4" w:space="0" w:color="auto"/>
            </w:tcBorders>
            <w:shd w:val="clear" w:color="auto" w:fill="auto"/>
            <w:noWrap/>
            <w:vAlign w:val="center"/>
          </w:tcPr>
          <w:p w14:paraId="42D6DCC1" w14:textId="77777777" w:rsidR="00F34BD4" w:rsidRPr="0082517C" w:rsidRDefault="00F34BD4">
            <w:pPr>
              <w:spacing w:after="0"/>
              <w:jc w:val="center"/>
              <w:rPr>
                <w:b/>
                <w:bCs/>
                <w:color w:val="000000"/>
                <w:szCs w:val="20"/>
                <w:lang w:eastAsia="pl-PL"/>
              </w:rPr>
            </w:pPr>
            <w:r w:rsidRPr="0082517C">
              <w:rPr>
                <w:rFonts w:cs="Calibri"/>
                <w:b/>
                <w:bCs/>
                <w:color w:val="000000"/>
                <w:szCs w:val="20"/>
              </w:rPr>
              <w:t>240</w:t>
            </w:r>
          </w:p>
        </w:tc>
        <w:tc>
          <w:tcPr>
            <w:tcW w:w="656" w:type="dxa"/>
            <w:tcBorders>
              <w:top w:val="nil"/>
              <w:left w:val="nil"/>
              <w:bottom w:val="single" w:sz="4" w:space="0" w:color="auto"/>
              <w:right w:val="single" w:sz="4" w:space="0" w:color="auto"/>
            </w:tcBorders>
            <w:shd w:val="clear" w:color="auto" w:fill="auto"/>
            <w:noWrap/>
            <w:vAlign w:val="center"/>
          </w:tcPr>
          <w:p w14:paraId="47DFB2DA" w14:textId="77777777" w:rsidR="00F34BD4" w:rsidRPr="0082517C" w:rsidRDefault="00F34BD4">
            <w:pPr>
              <w:spacing w:after="0"/>
              <w:jc w:val="center"/>
              <w:rPr>
                <w:b/>
                <w:bCs/>
                <w:color w:val="000000"/>
                <w:szCs w:val="20"/>
                <w:lang w:eastAsia="pl-PL"/>
              </w:rPr>
            </w:pPr>
            <w:r w:rsidRPr="0082517C">
              <w:rPr>
                <w:rFonts w:cs="Calibri"/>
                <w:b/>
                <w:bCs/>
                <w:color w:val="000000"/>
                <w:szCs w:val="20"/>
              </w:rPr>
              <w:t>330</w:t>
            </w:r>
          </w:p>
        </w:tc>
        <w:tc>
          <w:tcPr>
            <w:tcW w:w="656" w:type="dxa"/>
            <w:tcBorders>
              <w:top w:val="nil"/>
              <w:left w:val="nil"/>
              <w:bottom w:val="single" w:sz="4" w:space="0" w:color="auto"/>
              <w:right w:val="single" w:sz="4" w:space="0" w:color="auto"/>
            </w:tcBorders>
            <w:shd w:val="clear" w:color="auto" w:fill="auto"/>
            <w:noWrap/>
            <w:vAlign w:val="center"/>
          </w:tcPr>
          <w:p w14:paraId="6BDD2DC2" w14:textId="77777777" w:rsidR="00F34BD4" w:rsidRPr="0082517C" w:rsidRDefault="00F34BD4">
            <w:pPr>
              <w:spacing w:after="0"/>
              <w:jc w:val="center"/>
              <w:rPr>
                <w:b/>
                <w:bCs/>
                <w:color w:val="000000"/>
                <w:szCs w:val="20"/>
                <w:lang w:eastAsia="pl-PL"/>
              </w:rPr>
            </w:pPr>
            <w:r w:rsidRPr="0082517C">
              <w:rPr>
                <w:rFonts w:cs="Calibri"/>
                <w:b/>
                <w:bCs/>
                <w:color w:val="000000"/>
                <w:szCs w:val="20"/>
              </w:rPr>
              <w:t>420</w:t>
            </w:r>
          </w:p>
        </w:tc>
        <w:tc>
          <w:tcPr>
            <w:tcW w:w="624" w:type="dxa"/>
            <w:tcBorders>
              <w:top w:val="single" w:sz="4" w:space="0" w:color="auto"/>
              <w:left w:val="single" w:sz="4" w:space="0" w:color="auto"/>
              <w:bottom w:val="single" w:sz="4" w:space="0" w:color="auto"/>
              <w:right w:val="single" w:sz="4" w:space="0" w:color="auto"/>
            </w:tcBorders>
            <w:vAlign w:val="center"/>
          </w:tcPr>
          <w:p w14:paraId="1F316024" w14:textId="77777777" w:rsidR="00F34BD4" w:rsidRPr="0082517C" w:rsidRDefault="00F34BD4">
            <w:pPr>
              <w:spacing w:after="0"/>
              <w:jc w:val="center"/>
              <w:rPr>
                <w:b/>
                <w:bCs/>
                <w:color w:val="000000"/>
                <w:szCs w:val="20"/>
                <w:lang w:eastAsia="pl-PL"/>
              </w:rPr>
            </w:pPr>
            <w:r w:rsidRPr="0082517C">
              <w:rPr>
                <w:rFonts w:cs="Calibri"/>
                <w:b/>
                <w:bCs/>
                <w:color w:val="000000"/>
                <w:szCs w:val="20"/>
              </w:rPr>
              <w:t>510</w:t>
            </w:r>
          </w:p>
        </w:tc>
        <w:tc>
          <w:tcPr>
            <w:tcW w:w="624" w:type="dxa"/>
            <w:tcBorders>
              <w:top w:val="single" w:sz="4" w:space="0" w:color="auto"/>
              <w:left w:val="single" w:sz="4" w:space="0" w:color="auto"/>
              <w:bottom w:val="single" w:sz="4" w:space="0" w:color="auto"/>
              <w:right w:val="single" w:sz="4" w:space="0" w:color="auto"/>
            </w:tcBorders>
            <w:vAlign w:val="center"/>
          </w:tcPr>
          <w:p w14:paraId="444217E0" w14:textId="77777777" w:rsidR="00F34BD4" w:rsidRPr="0082517C" w:rsidRDefault="00F34BD4">
            <w:pPr>
              <w:spacing w:after="0"/>
              <w:jc w:val="center"/>
              <w:rPr>
                <w:b/>
                <w:bCs/>
                <w:color w:val="000000"/>
                <w:szCs w:val="20"/>
                <w:lang w:eastAsia="pl-PL"/>
              </w:rPr>
            </w:pPr>
            <w:r w:rsidRPr="0082517C">
              <w:rPr>
                <w:rFonts w:cs="Calibri"/>
                <w:b/>
                <w:bCs/>
                <w:color w:val="000000"/>
                <w:szCs w:val="20"/>
              </w:rPr>
              <w:t>600</w:t>
            </w:r>
          </w:p>
        </w:tc>
        <w:tc>
          <w:tcPr>
            <w:tcW w:w="624" w:type="dxa"/>
            <w:tcBorders>
              <w:top w:val="single" w:sz="4" w:space="0" w:color="auto"/>
              <w:left w:val="single" w:sz="4" w:space="0" w:color="auto"/>
              <w:bottom w:val="single" w:sz="4" w:space="0" w:color="auto"/>
              <w:right w:val="single" w:sz="4" w:space="0" w:color="auto"/>
            </w:tcBorders>
            <w:vAlign w:val="center"/>
          </w:tcPr>
          <w:p w14:paraId="369ABB33" w14:textId="77777777" w:rsidR="00F34BD4" w:rsidRPr="0082517C" w:rsidRDefault="00F34BD4">
            <w:pPr>
              <w:spacing w:after="0"/>
              <w:jc w:val="center"/>
              <w:rPr>
                <w:b/>
                <w:bCs/>
                <w:color w:val="000000"/>
                <w:szCs w:val="20"/>
                <w:lang w:eastAsia="pl-PL"/>
              </w:rPr>
            </w:pPr>
            <w:r w:rsidRPr="0082517C">
              <w:rPr>
                <w:rFonts w:cs="Calibri"/>
                <w:b/>
                <w:bCs/>
                <w:color w:val="000000"/>
                <w:szCs w:val="20"/>
              </w:rPr>
              <w:t>690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C70A9" w14:textId="77777777" w:rsidR="00F34BD4" w:rsidRPr="0082517C" w:rsidRDefault="00F34BD4">
            <w:pPr>
              <w:spacing w:after="0"/>
              <w:jc w:val="center"/>
              <w:rPr>
                <w:b/>
                <w:bCs/>
                <w:color w:val="000000"/>
                <w:szCs w:val="20"/>
                <w:lang w:eastAsia="pl-PL"/>
              </w:rPr>
            </w:pPr>
            <w:r w:rsidRPr="0082517C">
              <w:rPr>
                <w:rFonts w:cs="Calibri"/>
                <w:b/>
                <w:bCs/>
                <w:color w:val="000000"/>
                <w:szCs w:val="20"/>
              </w:rPr>
              <w:t>780</w:t>
            </w:r>
          </w:p>
        </w:tc>
        <w:tc>
          <w:tcPr>
            <w:tcW w:w="1359" w:type="dxa"/>
            <w:tcBorders>
              <w:top w:val="nil"/>
              <w:left w:val="single" w:sz="4" w:space="0" w:color="auto"/>
              <w:bottom w:val="single" w:sz="4" w:space="0" w:color="auto"/>
              <w:right w:val="single" w:sz="4" w:space="0" w:color="auto"/>
            </w:tcBorders>
            <w:shd w:val="clear" w:color="auto" w:fill="auto"/>
            <w:noWrap/>
            <w:vAlign w:val="center"/>
            <w:hideMark/>
          </w:tcPr>
          <w:p w14:paraId="1D4AFB22" w14:textId="77777777" w:rsidR="00F34BD4" w:rsidRPr="0082517C" w:rsidRDefault="00F34BD4">
            <w:pPr>
              <w:spacing w:after="0"/>
              <w:jc w:val="center"/>
              <w:rPr>
                <w:b/>
                <w:bCs/>
                <w:color w:val="000000"/>
                <w:szCs w:val="20"/>
                <w:lang w:eastAsia="pl-PL"/>
              </w:rPr>
            </w:pPr>
            <w:r w:rsidRPr="0082517C">
              <w:rPr>
                <w:rFonts w:cs="Calibri"/>
                <w:b/>
                <w:bCs/>
                <w:color w:val="2F5496" w:themeColor="accent1" w:themeShade="BF"/>
                <w:szCs w:val="20"/>
              </w:rPr>
              <w:t>3780</w:t>
            </w:r>
          </w:p>
        </w:tc>
      </w:tr>
    </w:tbl>
    <w:p w14:paraId="31DF6EAD" w14:textId="77777777" w:rsidR="00F34BD4" w:rsidRPr="004A2365" w:rsidRDefault="00F34BD4" w:rsidP="00805E07">
      <w:pPr>
        <w:pStyle w:val="Nagwek4"/>
      </w:pPr>
      <w:r w:rsidRPr="004A2365">
        <w:t>Monitorowanie i weryfikacja</w:t>
      </w:r>
    </w:p>
    <w:p w14:paraId="63A5BCE9" w14:textId="77777777" w:rsidR="00F34BD4" w:rsidRDefault="00F34BD4" w:rsidP="00373FD3">
      <w:r w:rsidRPr="00EF4FC0">
        <w:t>WFOŚiGW</w:t>
      </w:r>
      <w:r>
        <w:t xml:space="preserve"> i JST</w:t>
      </w:r>
      <w:r w:rsidRPr="00EF4FC0">
        <w:t xml:space="preserve"> w ramach umów udostępnienia środków zobowiązane są do przekazywania efektów ekologicznych i rzeczowy wynikających z podpisanych i zakończonych umów z beneficjentami. Powyższe dane przekazywane są do NFOŚiGW </w:t>
      </w:r>
      <w:r>
        <w:t>i/lub</w:t>
      </w:r>
      <w:r w:rsidRPr="00EF4FC0">
        <w:t xml:space="preserve"> do Centralnego Rejestru Oszczędności Energii Finalnej</w:t>
      </w:r>
      <w:r w:rsidRPr="00EF4FC0" w:rsidDel="00E75F44">
        <w:t xml:space="preserve">. </w:t>
      </w:r>
    </w:p>
    <w:p w14:paraId="684D1D38" w14:textId="77777777" w:rsidR="00F34BD4" w:rsidRDefault="00F34BD4" w:rsidP="00373FD3">
      <w:r>
        <w:t xml:space="preserve">Jednostkowe informacje o wysokości oszczędności energii finalnej raportowane do </w:t>
      </w:r>
      <w:r w:rsidRPr="00EF4FC0">
        <w:t>Centralnego Rejestru Oszczędności Energii Finalnej</w:t>
      </w:r>
      <w:r>
        <w:t xml:space="preserve"> są wer</w:t>
      </w:r>
      <w:r w:rsidRPr="00EF4FC0">
        <w:t>yfik</w:t>
      </w:r>
      <w:r>
        <w:t>owane</w:t>
      </w:r>
      <w:r w:rsidRPr="00EF4FC0">
        <w:t xml:space="preserve"> przez administratorów systemu. Każde przedsięwzięcie dodane w CROEF musi zostać sprawdzone pod względem merytorycznym</w:t>
      </w:r>
      <w:r>
        <w:t xml:space="preserve"> (tj. rodzaj przedsięwzięcia, ilość średniorocznych oszczędności, okres uzyskiwania oszczędności oraz potwierdzenie uzyskiwanych oszczędności energii finalnej)</w:t>
      </w:r>
      <w:r w:rsidRPr="00EF4FC0">
        <w:t xml:space="preserve"> przez administratora Ministerstwa Klimatu i Środowiska. </w:t>
      </w:r>
    </w:p>
    <w:p w14:paraId="12C85BA6" w14:textId="003DF59C" w:rsidR="00F34BD4" w:rsidRDefault="00F34BD4" w:rsidP="00F34BD4">
      <w:r w:rsidRPr="00EF4FC0">
        <w:t>Ponadto, WFOŚiGW przekazują do NFOŚiGW bieżące informacje na temat realizacji programu, m.in.: liczby i kwoty złożonych wniosków, liczby i kwoty podjętych decyzji o przyznaniu dofinansowania, liczby i</w:t>
      </w:r>
      <w:r w:rsidR="00ED1D45">
        <w:t> </w:t>
      </w:r>
      <w:r w:rsidRPr="00EF4FC0">
        <w:t>kwoty podpisanych umów oraz dane o wypłatach.</w:t>
      </w:r>
      <w:r>
        <w:br w:type="page"/>
      </w:r>
    </w:p>
    <w:p w14:paraId="2B70B092" w14:textId="28DCF1FC" w:rsidR="00F34BD4" w:rsidRPr="00E832B0" w:rsidRDefault="00F34BD4" w:rsidP="00291640">
      <w:pPr>
        <w:pStyle w:val="Nagwek3"/>
      </w:pPr>
      <w:bookmarkStart w:id="23" w:name="_Toc202967819"/>
      <w:r w:rsidRPr="00E832B0">
        <w:lastRenderedPageBreak/>
        <w:t>Efektywn</w:t>
      </w:r>
      <w:r>
        <w:t>y</w:t>
      </w:r>
      <w:r w:rsidRPr="00E832B0">
        <w:t xml:space="preserve"> </w:t>
      </w:r>
      <w:r w:rsidR="00291640">
        <w:t>e</w:t>
      </w:r>
      <w:r w:rsidRPr="00E832B0">
        <w:t>nergetyczn</w:t>
      </w:r>
      <w:r>
        <w:t xml:space="preserve">ie </w:t>
      </w:r>
      <w:r w:rsidR="00291640">
        <w:t>s</w:t>
      </w:r>
      <w:r>
        <w:t>ektor</w:t>
      </w:r>
      <w:r w:rsidRPr="00E832B0">
        <w:t xml:space="preserve"> </w:t>
      </w:r>
      <w:r w:rsidR="00291640">
        <w:t>p</w:t>
      </w:r>
      <w:r>
        <w:t>ubliczny</w:t>
      </w:r>
      <w:bookmarkEnd w:id="23"/>
      <w:r w:rsidRPr="00E832B0" w:rsidDel="00CA6DB2">
        <w:t xml:space="preserve"> </w:t>
      </w:r>
    </w:p>
    <w:p w14:paraId="1E4A6327" w14:textId="77777777" w:rsidR="00E54E14" w:rsidRPr="004A2365" w:rsidRDefault="00E54E14" w:rsidP="00805E07">
      <w:pPr>
        <w:pStyle w:val="Nagwek4"/>
      </w:pPr>
      <w:r w:rsidRPr="004A2365">
        <w:t xml:space="preserve">Skrócony opis </w:t>
      </w:r>
      <w:r>
        <w:t>środka alternatywnego</w:t>
      </w:r>
    </w:p>
    <w:tbl>
      <w:tblPr>
        <w:tblStyle w:val="Tabela-Siatka"/>
        <w:tblW w:w="8729" w:type="dxa"/>
        <w:tblInd w:w="360"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top w:w="28" w:type="dxa"/>
          <w:bottom w:w="28" w:type="dxa"/>
        </w:tblCellMar>
        <w:tblLook w:val="04A0" w:firstRow="1" w:lastRow="0" w:firstColumn="1" w:lastColumn="0" w:noHBand="0" w:noVBand="1"/>
      </w:tblPr>
      <w:tblGrid>
        <w:gridCol w:w="1644"/>
        <w:gridCol w:w="7085"/>
      </w:tblGrid>
      <w:tr w:rsidR="00E54E14" w:rsidRPr="004A2365" w14:paraId="3065944E" w14:textId="77777777" w:rsidTr="000754DF">
        <w:tc>
          <w:tcPr>
            <w:tcW w:w="1644" w:type="dxa"/>
            <w:vAlign w:val="center"/>
          </w:tcPr>
          <w:p w14:paraId="26CA8BA3"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 xml:space="preserve">Nazwa </w:t>
            </w:r>
            <w:r>
              <w:rPr>
                <w:rFonts w:cs="Times New Roman"/>
                <w:i/>
                <w:iCs/>
                <w:color w:val="5B9BD5" w:themeColor="accent5"/>
              </w:rPr>
              <w:t>środka alternatywnego</w:t>
            </w:r>
          </w:p>
        </w:tc>
        <w:tc>
          <w:tcPr>
            <w:tcW w:w="7085" w:type="dxa"/>
            <w:vAlign w:val="center"/>
          </w:tcPr>
          <w:p w14:paraId="435BB618" w14:textId="29202C45" w:rsidR="00E54E14" w:rsidRPr="002B0945" w:rsidRDefault="00E54E14" w:rsidP="00FF3BC7">
            <w:pPr>
              <w:spacing w:line="276" w:lineRule="auto"/>
              <w:rPr>
                <w:b/>
                <w:bCs/>
              </w:rPr>
            </w:pPr>
            <w:r w:rsidRPr="00665ACA">
              <w:rPr>
                <w:b/>
                <w:bCs/>
              </w:rPr>
              <w:t xml:space="preserve">Efektywny </w:t>
            </w:r>
            <w:r w:rsidR="00291640">
              <w:rPr>
                <w:b/>
                <w:bCs/>
              </w:rPr>
              <w:t>e</w:t>
            </w:r>
            <w:r w:rsidRPr="00665ACA">
              <w:rPr>
                <w:b/>
                <w:bCs/>
              </w:rPr>
              <w:t xml:space="preserve">nergetycznie </w:t>
            </w:r>
            <w:r w:rsidR="00291640">
              <w:rPr>
                <w:b/>
                <w:bCs/>
              </w:rPr>
              <w:t>s</w:t>
            </w:r>
            <w:r w:rsidRPr="00665ACA">
              <w:rPr>
                <w:b/>
                <w:bCs/>
              </w:rPr>
              <w:t xml:space="preserve">ektor </w:t>
            </w:r>
            <w:r w:rsidR="00291640">
              <w:rPr>
                <w:b/>
                <w:bCs/>
              </w:rPr>
              <w:t>p</w:t>
            </w:r>
            <w:r w:rsidRPr="00665ACA">
              <w:rPr>
                <w:b/>
                <w:bCs/>
              </w:rPr>
              <w:t>ubliczny</w:t>
            </w:r>
          </w:p>
        </w:tc>
      </w:tr>
      <w:tr w:rsidR="00E54E14" w:rsidRPr="004A2365" w14:paraId="1FDD7089" w14:textId="77777777" w:rsidTr="000754DF">
        <w:tc>
          <w:tcPr>
            <w:tcW w:w="1644" w:type="dxa"/>
            <w:vAlign w:val="center"/>
          </w:tcPr>
          <w:p w14:paraId="43F74928"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Kategoria</w:t>
            </w:r>
          </w:p>
        </w:tc>
        <w:tc>
          <w:tcPr>
            <w:tcW w:w="7085" w:type="dxa"/>
            <w:vAlign w:val="center"/>
          </w:tcPr>
          <w:p w14:paraId="00BE4EB0" w14:textId="77777777" w:rsidR="00E54E14" w:rsidRPr="004A2365" w:rsidRDefault="00E54E14" w:rsidP="00FF3BC7">
            <w:pPr>
              <w:spacing w:line="276" w:lineRule="auto"/>
              <w:rPr>
                <w:rFonts w:cs="Times New Roman"/>
              </w:rPr>
            </w:pPr>
            <w:r w:rsidRPr="004A2365">
              <w:rPr>
                <w:rFonts w:cs="Times New Roman"/>
              </w:rPr>
              <w:t>Mechanizm finansowy</w:t>
            </w:r>
          </w:p>
        </w:tc>
      </w:tr>
      <w:tr w:rsidR="00E54E14" w:rsidRPr="004A2365" w14:paraId="35B88440" w14:textId="77777777" w:rsidTr="000754DF">
        <w:tc>
          <w:tcPr>
            <w:tcW w:w="1644" w:type="dxa"/>
            <w:vAlign w:val="center"/>
          </w:tcPr>
          <w:p w14:paraId="0D32ECE6"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 xml:space="preserve">Cel </w:t>
            </w:r>
          </w:p>
        </w:tc>
        <w:tc>
          <w:tcPr>
            <w:tcW w:w="7085" w:type="dxa"/>
            <w:vAlign w:val="center"/>
          </w:tcPr>
          <w:p w14:paraId="75B6EA36" w14:textId="77777777" w:rsidR="00E54E14" w:rsidRDefault="00E54E14" w:rsidP="00FF3BC7">
            <w:pPr>
              <w:spacing w:line="276" w:lineRule="auto"/>
            </w:pPr>
            <w:r w:rsidRPr="0032035F">
              <w:t xml:space="preserve">Celem </w:t>
            </w:r>
            <w:r>
              <w:t>programu</w:t>
            </w:r>
            <w:r w:rsidRPr="0032035F">
              <w:t xml:space="preserve"> jest</w:t>
            </w:r>
            <w:r>
              <w:t>:</w:t>
            </w:r>
          </w:p>
          <w:p w14:paraId="05441A16" w14:textId="77777777" w:rsidR="00E54E14" w:rsidRPr="005C2D7C" w:rsidRDefault="00E54E14" w:rsidP="00767FC5">
            <w:pPr>
              <w:pStyle w:val="Akapitzlist"/>
              <w:numPr>
                <w:ilvl w:val="0"/>
                <w:numId w:val="4"/>
              </w:numPr>
              <w:spacing w:line="276" w:lineRule="auto"/>
              <w:rPr>
                <w:rFonts w:cs="Times New Roman"/>
              </w:rPr>
            </w:pPr>
            <w:r w:rsidRPr="005C2D7C">
              <w:t>upowszechnienie dobrych praktyk z zakresu efektywności energetycznej</w:t>
            </w:r>
            <w:r>
              <w:t>,</w:t>
            </w:r>
            <w:r w:rsidRPr="005C2D7C">
              <w:t xml:space="preserve"> </w:t>
            </w:r>
          </w:p>
          <w:p w14:paraId="20A96E9F" w14:textId="34B73D52" w:rsidR="00E54E14" w:rsidRDefault="00E54E14" w:rsidP="00767FC5">
            <w:pPr>
              <w:pStyle w:val="Akapitzlist"/>
              <w:numPr>
                <w:ilvl w:val="0"/>
                <w:numId w:val="4"/>
              </w:numPr>
              <w:spacing w:line="276" w:lineRule="auto"/>
            </w:pPr>
            <w:r w:rsidRPr="005C2D7C">
              <w:t>zmniejszenie emisji zanieczyszczeń do atmosfery poprzez realizację inwestycji polegających</w:t>
            </w:r>
            <w:r>
              <w:t xml:space="preserve"> </w:t>
            </w:r>
            <w:r w:rsidRPr="005C2D7C">
              <w:t>na kompleksowej</w:t>
            </w:r>
            <w:r>
              <w:t xml:space="preserve"> </w:t>
            </w:r>
            <w:r w:rsidRPr="005C2D7C">
              <w:t>termomodernizacji budynków</w:t>
            </w:r>
            <w:r w:rsidR="00767FC5">
              <w:t xml:space="preserve"> </w:t>
            </w:r>
            <w:r w:rsidRPr="005C2D7C">
              <w:t>prowadzącej do racjonalizacji zużycia energii</w:t>
            </w:r>
            <w:r>
              <w:t>,</w:t>
            </w:r>
          </w:p>
          <w:p w14:paraId="1F059F2F" w14:textId="77777777" w:rsidR="00E54E14" w:rsidRPr="004A2365" w:rsidRDefault="00E54E14" w:rsidP="00767FC5">
            <w:pPr>
              <w:pStyle w:val="Akapitzlist"/>
              <w:numPr>
                <w:ilvl w:val="0"/>
                <w:numId w:val="4"/>
              </w:numPr>
              <w:spacing w:line="276" w:lineRule="auto"/>
            </w:pPr>
            <w:r>
              <w:rPr>
                <w:rFonts w:cs="Times New Roman"/>
              </w:rPr>
              <w:t>poprawa efektywności energetycznej budynków użyteczności publicznej.</w:t>
            </w:r>
          </w:p>
        </w:tc>
      </w:tr>
      <w:tr w:rsidR="00E54E14" w:rsidRPr="004A2365" w14:paraId="41A9028B" w14:textId="77777777" w:rsidTr="000754DF">
        <w:tc>
          <w:tcPr>
            <w:tcW w:w="1644" w:type="dxa"/>
            <w:vAlign w:val="center"/>
          </w:tcPr>
          <w:p w14:paraId="02B64B3E"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 xml:space="preserve">Działania </w:t>
            </w:r>
          </w:p>
        </w:tc>
        <w:tc>
          <w:tcPr>
            <w:tcW w:w="7085" w:type="dxa"/>
            <w:vAlign w:val="center"/>
          </w:tcPr>
          <w:p w14:paraId="267141A6" w14:textId="5EDE7D4B" w:rsidR="00E54E14" w:rsidRDefault="00E54E14" w:rsidP="00767FC5">
            <w:pPr>
              <w:pStyle w:val="Akapitzlist"/>
              <w:numPr>
                <w:ilvl w:val="0"/>
                <w:numId w:val="3"/>
              </w:numPr>
              <w:spacing w:line="276" w:lineRule="auto"/>
            </w:pPr>
            <w:r w:rsidRPr="00BF414B">
              <w:t>Przedsięwzięcie termomodernizacyjne</w:t>
            </w:r>
            <w:r>
              <w:t>, remontowe</w:t>
            </w:r>
            <w:r w:rsidRPr="00BF414B">
              <w:t xml:space="preserve"> </w:t>
            </w:r>
            <w:r>
              <w:t xml:space="preserve">i niskoemisyjne </w:t>
            </w:r>
            <w:r w:rsidRPr="00BF414B">
              <w:t>w</w:t>
            </w:r>
            <w:r w:rsidR="000754DF">
              <w:t> </w:t>
            </w:r>
            <w:r w:rsidRPr="00BF414B">
              <w:t xml:space="preserve">rozumieniu ustawy z dnia 21 listopada 2008 r. </w:t>
            </w:r>
            <w:r w:rsidRPr="00BF414B">
              <w:rPr>
                <w:i/>
                <w:iCs/>
              </w:rPr>
              <w:t>o wspieraniu termomodernizacji i remontów oraz o centralnej ewidencji emisyjności budynków</w:t>
            </w:r>
            <w:r w:rsidRPr="00BF414B">
              <w:t xml:space="preserve"> (Dz.U. z 2</w:t>
            </w:r>
            <w:r>
              <w:t>022 r. poz. 438)</w:t>
            </w:r>
          </w:p>
          <w:p w14:paraId="61F032A7" w14:textId="77777777" w:rsidR="00E54E14" w:rsidRDefault="00E54E14" w:rsidP="00767FC5">
            <w:pPr>
              <w:pStyle w:val="Akapitzlist"/>
              <w:numPr>
                <w:ilvl w:val="0"/>
                <w:numId w:val="3"/>
              </w:numPr>
              <w:spacing w:line="276" w:lineRule="auto"/>
            </w:pPr>
            <w:r w:rsidRPr="00BF414B">
              <w:t>Modernizacja lub wymiana oświetlenia.</w:t>
            </w:r>
          </w:p>
          <w:p w14:paraId="56D42E19" w14:textId="77777777" w:rsidR="00E54E14" w:rsidRDefault="00E54E14" w:rsidP="00767FC5">
            <w:pPr>
              <w:pStyle w:val="Akapitzlist"/>
              <w:numPr>
                <w:ilvl w:val="0"/>
                <w:numId w:val="3"/>
              </w:numPr>
              <w:spacing w:line="276" w:lineRule="auto"/>
            </w:pPr>
            <w:r w:rsidRPr="00BF414B">
              <w:t>Modernizacja procesu technologicznego, produkcyjnego, telekomunikacyjnego lub informatycznego.</w:t>
            </w:r>
          </w:p>
          <w:p w14:paraId="24F95178" w14:textId="704FF9CD" w:rsidR="00E54E14" w:rsidRDefault="00E54E14" w:rsidP="00767FC5">
            <w:pPr>
              <w:pStyle w:val="Akapitzlist"/>
              <w:numPr>
                <w:ilvl w:val="0"/>
                <w:numId w:val="3"/>
              </w:numPr>
              <w:spacing w:line="276" w:lineRule="auto"/>
            </w:pPr>
            <w:r w:rsidRPr="00BF414B">
              <w:t>Wymiana lub modernizacja urządzeń i instalacji oraz odzysk energii w</w:t>
            </w:r>
            <w:r w:rsidR="000754DF">
              <w:t> </w:t>
            </w:r>
            <w:r w:rsidRPr="00BF414B">
              <w:t>procesach przemysłowych.</w:t>
            </w:r>
          </w:p>
          <w:p w14:paraId="0BB74103" w14:textId="77777777" w:rsidR="00E54E14" w:rsidRDefault="00E54E14" w:rsidP="00767FC5">
            <w:pPr>
              <w:pStyle w:val="Akapitzlist"/>
              <w:numPr>
                <w:ilvl w:val="0"/>
                <w:numId w:val="3"/>
              </w:numPr>
              <w:spacing w:line="276" w:lineRule="auto"/>
            </w:pPr>
            <w:r w:rsidRPr="00BF414B">
              <w:t>Ograniczanie strat energii na transformacji.</w:t>
            </w:r>
          </w:p>
          <w:p w14:paraId="1045D075" w14:textId="77777777" w:rsidR="00E54E14" w:rsidRDefault="00E54E14" w:rsidP="00767FC5">
            <w:pPr>
              <w:pStyle w:val="Akapitzlist"/>
              <w:numPr>
                <w:ilvl w:val="0"/>
                <w:numId w:val="3"/>
              </w:numPr>
              <w:spacing w:line="276" w:lineRule="auto"/>
            </w:pPr>
            <w:r w:rsidRPr="00BF414B">
              <w:t>Modernizacja lub wymiana sieci ciepłowniczej.</w:t>
            </w:r>
          </w:p>
          <w:p w14:paraId="615ACD1A" w14:textId="77777777" w:rsidR="00E54E14" w:rsidRDefault="00E54E14" w:rsidP="00767FC5">
            <w:pPr>
              <w:pStyle w:val="Akapitzlist"/>
              <w:numPr>
                <w:ilvl w:val="0"/>
                <w:numId w:val="3"/>
              </w:numPr>
              <w:spacing w:line="276" w:lineRule="auto"/>
            </w:pPr>
            <w:r w:rsidRPr="00BF414B">
              <w:t>Modernizacja lub wymiana napędów, w szczególności silników, przekładni i układów regulacji.</w:t>
            </w:r>
          </w:p>
          <w:p w14:paraId="737B4BEA" w14:textId="77777777" w:rsidR="00E54E14" w:rsidRDefault="00E54E14" w:rsidP="00767FC5">
            <w:pPr>
              <w:pStyle w:val="Akapitzlist"/>
              <w:numPr>
                <w:ilvl w:val="0"/>
                <w:numId w:val="3"/>
              </w:numPr>
              <w:spacing w:line="276" w:lineRule="auto"/>
            </w:pPr>
            <w:r w:rsidRPr="00BF414B">
              <w:t>Ograniczenie strat związanych z poborem energii biernej przez odbiorniki energii elektrycznej.</w:t>
            </w:r>
          </w:p>
          <w:p w14:paraId="5C1C384E" w14:textId="77777777" w:rsidR="00E54E14" w:rsidRPr="004A2365" w:rsidRDefault="00E54E14" w:rsidP="00767FC5">
            <w:pPr>
              <w:pStyle w:val="Akapitzlist"/>
              <w:numPr>
                <w:ilvl w:val="0"/>
                <w:numId w:val="3"/>
              </w:numPr>
              <w:spacing w:line="276" w:lineRule="auto"/>
              <w:rPr>
                <w:rFonts w:cs="Times New Roman"/>
              </w:rPr>
            </w:pPr>
            <w:r w:rsidRPr="00BF414B">
              <w:t>Modernizacja lub wymiana pojazdów służących do transportu drogowego lub kolejowego</w:t>
            </w:r>
            <w:r>
              <w:t>.</w:t>
            </w:r>
          </w:p>
        </w:tc>
      </w:tr>
      <w:tr w:rsidR="00E54E14" w:rsidRPr="004A2365" w14:paraId="270B2613" w14:textId="77777777" w:rsidTr="000754DF">
        <w:tc>
          <w:tcPr>
            <w:tcW w:w="1644" w:type="dxa"/>
            <w:vAlign w:val="center"/>
          </w:tcPr>
          <w:p w14:paraId="0BD37227"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Typ beneficjentów</w:t>
            </w:r>
          </w:p>
        </w:tc>
        <w:tc>
          <w:tcPr>
            <w:tcW w:w="7085" w:type="dxa"/>
            <w:vAlign w:val="center"/>
          </w:tcPr>
          <w:p w14:paraId="49CF0BF9" w14:textId="5B94A2DA" w:rsidR="00E54E14" w:rsidRPr="004A2365" w:rsidRDefault="00E54E14" w:rsidP="00FF3BC7">
            <w:pPr>
              <w:spacing w:line="276" w:lineRule="auto"/>
              <w:rPr>
                <w:rFonts w:cs="Times New Roman"/>
              </w:rPr>
            </w:pPr>
            <w:r>
              <w:rPr>
                <w:rFonts w:cs="Times New Roman"/>
              </w:rPr>
              <w:t>J</w:t>
            </w:r>
            <w:r w:rsidRPr="0097450C">
              <w:rPr>
                <w:rFonts w:cs="Times New Roman"/>
              </w:rPr>
              <w:t xml:space="preserve">ednostki samorządu terytorialnego, </w:t>
            </w:r>
            <w:r w:rsidRPr="0032035F">
              <w:rPr>
                <w:rFonts w:cs="Times New Roman"/>
              </w:rPr>
              <w:t>publiczne uczelnie wyższe, samorządowe instytucje kultury, samodzielne publiczne zakłady opieki zdrowotnej prowadzone przez jednostki samorządu terytorialnego</w:t>
            </w:r>
            <w:r>
              <w:rPr>
                <w:rFonts w:cs="Times New Roman"/>
              </w:rPr>
              <w:t xml:space="preserve">, </w:t>
            </w:r>
            <w:r w:rsidRPr="0032035F">
              <w:rPr>
                <w:rFonts w:eastAsia="Times New Roman" w:cs="Times New Roman"/>
                <w:lang w:eastAsia="pl-PL"/>
              </w:rPr>
              <w:t>organizacje pozarządowe</w:t>
            </w:r>
            <w:r>
              <w:rPr>
                <w:rFonts w:eastAsia="Times New Roman" w:cs="Times New Roman"/>
                <w:lang w:eastAsia="pl-PL"/>
              </w:rPr>
              <w:t xml:space="preserve">, </w:t>
            </w:r>
            <w:r w:rsidRPr="0032035F">
              <w:rPr>
                <w:rFonts w:eastAsia="Times New Roman" w:cs="Times New Roman"/>
                <w:lang w:eastAsia="pl-PL"/>
              </w:rPr>
              <w:t xml:space="preserve">związki </w:t>
            </w:r>
            <w:r>
              <w:rPr>
                <w:rFonts w:eastAsia="Times New Roman" w:cs="Times New Roman"/>
                <w:lang w:eastAsia="pl-PL"/>
              </w:rPr>
              <w:t>i</w:t>
            </w:r>
            <w:r w:rsidR="00767FC5">
              <w:rPr>
                <w:rFonts w:eastAsia="Times New Roman" w:cs="Times New Roman"/>
                <w:lang w:eastAsia="pl-PL"/>
              </w:rPr>
              <w:t xml:space="preserve"> </w:t>
            </w:r>
            <w:r>
              <w:rPr>
                <w:rFonts w:eastAsia="Times New Roman" w:cs="Times New Roman"/>
                <w:lang w:eastAsia="pl-PL"/>
              </w:rPr>
              <w:t xml:space="preserve">wspólnoty </w:t>
            </w:r>
            <w:r w:rsidRPr="0032035F">
              <w:rPr>
                <w:rFonts w:eastAsia="Times New Roman" w:cs="Times New Roman"/>
                <w:lang w:eastAsia="pl-PL"/>
              </w:rPr>
              <w:t>wyznaniowe</w:t>
            </w:r>
            <w:r>
              <w:rPr>
                <w:rFonts w:eastAsia="Times New Roman" w:cs="Times New Roman"/>
                <w:lang w:eastAsia="pl-PL"/>
              </w:rPr>
              <w:t>, jednostki budżetowe, samorządowe zakłady budżetowe lub inne jednostki sektora finansów publicznych</w:t>
            </w:r>
          </w:p>
        </w:tc>
      </w:tr>
      <w:tr w:rsidR="00E54E14" w:rsidRPr="004A2365" w14:paraId="5D7AF184" w14:textId="77777777" w:rsidTr="000754DF">
        <w:tc>
          <w:tcPr>
            <w:tcW w:w="1644" w:type="dxa"/>
            <w:vAlign w:val="center"/>
          </w:tcPr>
          <w:p w14:paraId="71C07FD7"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Instytucja wdrażająca</w:t>
            </w:r>
          </w:p>
        </w:tc>
        <w:tc>
          <w:tcPr>
            <w:tcW w:w="7085" w:type="dxa"/>
            <w:vAlign w:val="center"/>
          </w:tcPr>
          <w:p w14:paraId="00F54C40" w14:textId="23D84DED" w:rsidR="00E54E14" w:rsidRPr="004A2365" w:rsidRDefault="00E54E14" w:rsidP="00FF3BC7">
            <w:pPr>
              <w:spacing w:line="276" w:lineRule="auto"/>
              <w:rPr>
                <w:rFonts w:cs="Times New Roman"/>
              </w:rPr>
            </w:pPr>
            <w:r w:rsidRPr="004A2365">
              <w:rPr>
                <w:rFonts w:cs="Times New Roman"/>
              </w:rPr>
              <w:t>Narodowy Fundusz Ochrony Środowiska i Gospodarki Wodnej (NFOŚiGW)</w:t>
            </w:r>
            <w:r>
              <w:rPr>
                <w:rFonts w:cs="Times New Roman"/>
              </w:rPr>
              <w:t xml:space="preserve">, Wojewódzkie Fundusze Ochrony Środowiska i Gospodarki Wodnej (WFOŚiGW), </w:t>
            </w:r>
            <w:r w:rsidR="00A87889">
              <w:rPr>
                <w:rFonts w:cs="Times New Roman"/>
              </w:rPr>
              <w:t xml:space="preserve">Jednostki Samorządu Terytorialnego </w:t>
            </w:r>
            <w:r>
              <w:rPr>
                <w:rFonts w:cs="Times New Roman"/>
              </w:rPr>
              <w:t>(JST)</w:t>
            </w:r>
          </w:p>
        </w:tc>
      </w:tr>
      <w:tr w:rsidR="00E54E14" w:rsidRPr="004A2365" w14:paraId="6DC7F6A4" w14:textId="77777777" w:rsidTr="000754DF">
        <w:tc>
          <w:tcPr>
            <w:tcW w:w="1644" w:type="dxa"/>
            <w:vAlign w:val="center"/>
          </w:tcPr>
          <w:p w14:paraId="50902C9F" w14:textId="77777777" w:rsidR="00E54E14" w:rsidRPr="005F6322" w:rsidRDefault="00E54E14" w:rsidP="00FF3BC7">
            <w:pPr>
              <w:spacing w:line="276" w:lineRule="auto"/>
              <w:jc w:val="center"/>
              <w:rPr>
                <w:rFonts w:cs="Times New Roman"/>
                <w:i/>
                <w:iCs/>
                <w:color w:val="5B9BD5" w:themeColor="accent5"/>
              </w:rPr>
            </w:pPr>
            <w:r w:rsidRPr="005F6322">
              <w:rPr>
                <w:rFonts w:cs="Times New Roman"/>
                <w:i/>
                <w:iCs/>
                <w:color w:val="5B9BD5" w:themeColor="accent5"/>
              </w:rPr>
              <w:t>Instytucja nadzorująca</w:t>
            </w:r>
          </w:p>
        </w:tc>
        <w:tc>
          <w:tcPr>
            <w:tcW w:w="7085" w:type="dxa"/>
            <w:vAlign w:val="center"/>
          </w:tcPr>
          <w:p w14:paraId="460CA2A2" w14:textId="77777777" w:rsidR="00E54E14" w:rsidRPr="004A2365" w:rsidRDefault="00E54E14" w:rsidP="00FF3BC7">
            <w:pPr>
              <w:spacing w:line="276" w:lineRule="auto"/>
              <w:rPr>
                <w:rFonts w:cs="Times New Roman"/>
              </w:rPr>
            </w:pPr>
            <w:r w:rsidRPr="004A2365">
              <w:rPr>
                <w:rFonts w:cs="Times New Roman"/>
              </w:rPr>
              <w:t>MKiŚ</w:t>
            </w:r>
            <w:r>
              <w:rPr>
                <w:rFonts w:cs="Times New Roman"/>
              </w:rPr>
              <w:t>, NFOŚiGW, JST</w:t>
            </w:r>
          </w:p>
        </w:tc>
      </w:tr>
    </w:tbl>
    <w:p w14:paraId="6E1378D4" w14:textId="77777777" w:rsidR="005C1198" w:rsidRDefault="005C1198" w:rsidP="005C1198"/>
    <w:p w14:paraId="2B4DF0F5" w14:textId="3477AC23" w:rsidR="00E54E14" w:rsidRPr="0012644B" w:rsidRDefault="00E54E14" w:rsidP="00805E07">
      <w:pPr>
        <w:pStyle w:val="Nagwek4"/>
      </w:pPr>
      <w:r w:rsidRPr="0012644B">
        <w:lastRenderedPageBreak/>
        <w:t>Opis środka alternatywnego</w:t>
      </w:r>
    </w:p>
    <w:p w14:paraId="6821B8C0" w14:textId="51685B86" w:rsidR="00E54E14" w:rsidRPr="00A00895" w:rsidRDefault="00E54E14" w:rsidP="00373FD3">
      <w:r w:rsidRPr="00A00895">
        <w:t>W ramach programu Efektywny Energetycznie Sektor Publiczny realizowane są zadania dla obszarów priorytetowych takich jak: ochrona atmosfery, efektywność energetyczna</w:t>
      </w:r>
      <w:r>
        <w:t>, sprawiedliwa transformacja itp.</w:t>
      </w:r>
      <w:r w:rsidRPr="00A00895">
        <w:t xml:space="preserve"> </w:t>
      </w:r>
      <w:r>
        <w:t xml:space="preserve">Program realizowany jest przez </w:t>
      </w:r>
      <w:r w:rsidRPr="00A00895">
        <w:t>WFOŚiGW oraz JST</w:t>
      </w:r>
      <w:r>
        <w:t>, w ramach dofinansowania ze środków własnych oraz Funduszy Europejskich na lata 2021</w:t>
      </w:r>
      <w:r w:rsidR="004B0F0A">
        <w:t>–20</w:t>
      </w:r>
      <w:r>
        <w:t>27.</w:t>
      </w:r>
      <w:r w:rsidRPr="00A00895">
        <w:t xml:space="preserve"> </w:t>
      </w:r>
      <w:r>
        <w:t>W</w:t>
      </w:r>
      <w:r w:rsidRPr="00A00895">
        <w:t xml:space="preserve"> ramach </w:t>
      </w:r>
      <w:r>
        <w:t xml:space="preserve">powyższych </w:t>
      </w:r>
      <w:r w:rsidRPr="00A00895">
        <w:t>priorytetów</w:t>
      </w:r>
      <w:r w:rsidR="00767FC5">
        <w:t xml:space="preserve"> </w:t>
      </w:r>
      <w:r w:rsidRPr="00A00895">
        <w:t xml:space="preserve">realizowały następujące zadania mające na celu m.in.: </w:t>
      </w:r>
    </w:p>
    <w:p w14:paraId="70B97E1B" w14:textId="77777777" w:rsidR="00E54E14" w:rsidRPr="00E54E14" w:rsidRDefault="00E54E14" w:rsidP="005C1198">
      <w:pPr>
        <w:numPr>
          <w:ilvl w:val="0"/>
          <w:numId w:val="24"/>
        </w:numPr>
        <w:spacing w:after="80"/>
      </w:pPr>
      <w:r w:rsidRPr="00E54E14">
        <w:t>Wdrażanie obszarowych programów ograniczenia emisji pyłowo-gazowych;</w:t>
      </w:r>
    </w:p>
    <w:p w14:paraId="1727C247" w14:textId="77777777" w:rsidR="00E54E14" w:rsidRPr="00E54E14" w:rsidRDefault="00E54E14" w:rsidP="005C1198">
      <w:pPr>
        <w:numPr>
          <w:ilvl w:val="0"/>
          <w:numId w:val="24"/>
        </w:numPr>
        <w:spacing w:after="80"/>
      </w:pPr>
      <w:r w:rsidRPr="00E54E14">
        <w:t>Wdrażanie projektów nowoczesnych, efektywnych i przyjaznych środowisku układów technologicznych oraz systemów wytwarzania, przesyłu lub użytkowania energii;</w:t>
      </w:r>
    </w:p>
    <w:p w14:paraId="6B54E9FE" w14:textId="77777777" w:rsidR="00E54E14" w:rsidRPr="00E54E14" w:rsidRDefault="00E54E14" w:rsidP="005C1198">
      <w:pPr>
        <w:numPr>
          <w:ilvl w:val="0"/>
          <w:numId w:val="24"/>
        </w:numPr>
        <w:spacing w:after="80"/>
      </w:pPr>
      <w:r w:rsidRPr="00E54E14">
        <w:t>Termomodernizacji budynków w zakresie wynikającym z audytu energetycznego;</w:t>
      </w:r>
    </w:p>
    <w:p w14:paraId="33A1AB10" w14:textId="77777777" w:rsidR="00E54E14" w:rsidRPr="00373FD3" w:rsidRDefault="00E54E14" w:rsidP="005C1198">
      <w:pPr>
        <w:numPr>
          <w:ilvl w:val="0"/>
          <w:numId w:val="24"/>
        </w:numPr>
        <w:spacing w:after="80"/>
      </w:pPr>
      <w:r w:rsidRPr="00E54E14">
        <w:t>Modernizacja istniejących źródeł ciepła;</w:t>
      </w:r>
    </w:p>
    <w:p w14:paraId="5C2C4CF8" w14:textId="77777777" w:rsidR="00E54E14" w:rsidRPr="00373FD3" w:rsidRDefault="00E54E14" w:rsidP="005C1198">
      <w:pPr>
        <w:numPr>
          <w:ilvl w:val="0"/>
          <w:numId w:val="24"/>
        </w:numPr>
        <w:spacing w:after="80"/>
      </w:pPr>
      <w:r w:rsidRPr="00E54E14">
        <w:t>Zwiększanie efektywności energetycznej, w tym z zastosowaniem odnawialnych źródeł energii;</w:t>
      </w:r>
    </w:p>
    <w:p w14:paraId="2A919CDD" w14:textId="77777777" w:rsidR="00E54E14" w:rsidRPr="00373FD3" w:rsidRDefault="00E54E14" w:rsidP="005C1198">
      <w:pPr>
        <w:numPr>
          <w:ilvl w:val="0"/>
          <w:numId w:val="24"/>
        </w:numPr>
        <w:spacing w:after="80"/>
      </w:pPr>
      <w:r w:rsidRPr="00E54E14">
        <w:t xml:space="preserve">Zastosowanie inteligentnych sieci energetycznych; </w:t>
      </w:r>
    </w:p>
    <w:p w14:paraId="2F3B8ACD" w14:textId="77777777" w:rsidR="00E54E14" w:rsidRPr="00373FD3" w:rsidRDefault="00E54E14" w:rsidP="00767FC5">
      <w:pPr>
        <w:numPr>
          <w:ilvl w:val="0"/>
          <w:numId w:val="24"/>
        </w:numPr>
      </w:pPr>
      <w:r w:rsidRPr="00E54E14">
        <w:t>Modernizacja oświetlenia.</w:t>
      </w:r>
    </w:p>
    <w:p w14:paraId="1A489D03" w14:textId="77777777" w:rsidR="00E54E14" w:rsidRPr="00E54E14" w:rsidRDefault="00E54E14" w:rsidP="00373FD3">
      <w:r w:rsidRPr="00E54E14">
        <w:t xml:space="preserve">Wsparcie finansowane zaadresowane jest do podmiotów świadczących usługi publiczne w ramach realizacji obowiązków własnych jednostek samorządu terytorialnego w formie dotacji lub jako instrument zwrotny. </w:t>
      </w:r>
    </w:p>
    <w:p w14:paraId="6EBC3AF4" w14:textId="77777777" w:rsidR="00E54E14" w:rsidRDefault="00E54E14" w:rsidP="00373FD3">
      <w:r w:rsidRPr="00A00895">
        <w:t xml:space="preserve">W przypadku programów związanych z kompleksową termomodernizacją budynku użyteczności publicznej, jak i ochotniczych straży pożarnych dofinansowanie udzielane na działania prowadzone według standardów efektywności energetycznej i ekonomicznej wskazane w dołączonym do wniosku audycie energetycznym budynku, jako optymalny wariant przedsięwzięcia. </w:t>
      </w:r>
    </w:p>
    <w:p w14:paraId="462E8BB1" w14:textId="77777777" w:rsidR="00E54E14" w:rsidRDefault="00E54E14" w:rsidP="00373FD3">
      <w:r>
        <w:t>W ramach programu w szczególności wspierane są i</w:t>
      </w:r>
      <w:r w:rsidRPr="0090065D">
        <w:t>nwestycje w zakresie kompleksowej</w:t>
      </w:r>
      <w:r>
        <w:t xml:space="preserve"> </w:t>
      </w:r>
      <w:r w:rsidRPr="0090065D">
        <w:t>(głębokiej) modernizacji energetycznej</w:t>
      </w:r>
      <w:r>
        <w:t xml:space="preserve"> </w:t>
      </w:r>
      <w:r w:rsidRPr="0090065D">
        <w:t>budynków sektora publicznego</w:t>
      </w:r>
      <w:r>
        <w:t xml:space="preserve">. Dotowane będą projekty mające na celu m.in. </w:t>
      </w:r>
    </w:p>
    <w:p w14:paraId="02B1D242" w14:textId="77777777" w:rsidR="00E54E14" w:rsidRPr="00373FD3" w:rsidRDefault="00E54E14" w:rsidP="005C1198">
      <w:pPr>
        <w:numPr>
          <w:ilvl w:val="0"/>
          <w:numId w:val="25"/>
        </w:numPr>
        <w:spacing w:after="80"/>
      </w:pPr>
      <w:r>
        <w:t xml:space="preserve">docieplenie </w:t>
      </w:r>
      <w:r w:rsidRPr="008137B8">
        <w:t>mostków grze</w:t>
      </w:r>
      <w:r>
        <w:t xml:space="preserve">wczych </w:t>
      </w:r>
      <w:r w:rsidRPr="00192179">
        <w:t xml:space="preserve">wymianę </w:t>
      </w:r>
      <w:r>
        <w:t>stolarki drzwiowej i wymianę okien.</w:t>
      </w:r>
    </w:p>
    <w:p w14:paraId="7ADBCFFE" w14:textId="77777777" w:rsidR="00E54E14" w:rsidRPr="00373FD3" w:rsidRDefault="00E54E14" w:rsidP="005C1198">
      <w:pPr>
        <w:numPr>
          <w:ilvl w:val="0"/>
          <w:numId w:val="25"/>
        </w:numPr>
        <w:spacing w:after="80"/>
      </w:pPr>
      <w:r w:rsidRPr="00192179">
        <w:t>przebudowę/modern</w:t>
      </w:r>
      <w:r>
        <w:t>izację</w:t>
      </w:r>
      <w:r w:rsidRPr="00192179">
        <w:t xml:space="preserve"> systemów grzewczych, </w:t>
      </w:r>
    </w:p>
    <w:p w14:paraId="5DC72EF2" w14:textId="77777777" w:rsidR="00E54E14" w:rsidRPr="00373FD3" w:rsidRDefault="00E54E14" w:rsidP="005C1198">
      <w:pPr>
        <w:numPr>
          <w:ilvl w:val="0"/>
          <w:numId w:val="25"/>
        </w:numPr>
        <w:spacing w:after="80"/>
      </w:pPr>
      <w:r w:rsidRPr="00192179">
        <w:t>instalację/przebud</w:t>
      </w:r>
      <w:r>
        <w:t>owę</w:t>
      </w:r>
      <w:r w:rsidRPr="00192179">
        <w:t xml:space="preserve"> systemów wentylacji i klimatyzacji,</w:t>
      </w:r>
    </w:p>
    <w:p w14:paraId="3D60EB6E" w14:textId="77777777" w:rsidR="00E54E14" w:rsidRPr="00373FD3" w:rsidRDefault="00E54E14" w:rsidP="005C1198">
      <w:pPr>
        <w:numPr>
          <w:ilvl w:val="0"/>
          <w:numId w:val="25"/>
        </w:numPr>
        <w:spacing w:after="80"/>
      </w:pPr>
      <w:r w:rsidRPr="00192179">
        <w:t>instalację/przebud</w:t>
      </w:r>
      <w:r>
        <w:t>owę</w:t>
      </w:r>
      <w:r w:rsidRPr="00192179">
        <w:t xml:space="preserve"> systemów chłodzących,</w:t>
      </w:r>
    </w:p>
    <w:p w14:paraId="4A34BBEB" w14:textId="7882B51F" w:rsidR="00E54E14" w:rsidRPr="00373FD3" w:rsidRDefault="00E54E14" w:rsidP="005C1198">
      <w:pPr>
        <w:numPr>
          <w:ilvl w:val="0"/>
          <w:numId w:val="25"/>
        </w:numPr>
        <w:spacing w:after="80"/>
      </w:pPr>
      <w:r w:rsidRPr="00192179">
        <w:t>wymianę oświetl</w:t>
      </w:r>
      <w:r w:rsidR="00197F96">
        <w:t>enia</w:t>
      </w:r>
      <w:r w:rsidRPr="00192179">
        <w:t xml:space="preserve"> na energooszcz</w:t>
      </w:r>
      <w:r>
        <w:t>ędne</w:t>
      </w:r>
      <w:r w:rsidRPr="00192179">
        <w:t>,</w:t>
      </w:r>
    </w:p>
    <w:p w14:paraId="641A01DB" w14:textId="77777777" w:rsidR="00E54E14" w:rsidRPr="00373FD3" w:rsidRDefault="00E54E14" w:rsidP="005C1198">
      <w:pPr>
        <w:numPr>
          <w:ilvl w:val="0"/>
          <w:numId w:val="25"/>
        </w:numPr>
        <w:spacing w:after="80"/>
      </w:pPr>
      <w:r w:rsidRPr="00192179">
        <w:t>zastosowanie inteligentnych syst</w:t>
      </w:r>
      <w:r>
        <w:t>emów</w:t>
      </w:r>
      <w:r w:rsidRPr="00192179">
        <w:t xml:space="preserve"> zarz</w:t>
      </w:r>
      <w:r>
        <w:t>ądzania</w:t>
      </w:r>
      <w:r w:rsidRPr="00192179">
        <w:t xml:space="preserve"> ener</w:t>
      </w:r>
      <w:r>
        <w:t>gią</w:t>
      </w:r>
      <w:r w:rsidRPr="00192179">
        <w:t xml:space="preserve"> </w:t>
      </w:r>
    </w:p>
    <w:p w14:paraId="54C62671" w14:textId="77777777" w:rsidR="00E54E14" w:rsidRPr="00373FD3" w:rsidRDefault="00E54E14" w:rsidP="005C1198">
      <w:pPr>
        <w:numPr>
          <w:ilvl w:val="0"/>
          <w:numId w:val="25"/>
        </w:numPr>
        <w:spacing w:after="80"/>
      </w:pPr>
      <w:r>
        <w:t>m</w:t>
      </w:r>
      <w:r w:rsidRPr="00192179">
        <w:t>oderniz</w:t>
      </w:r>
      <w:r>
        <w:t>acja</w:t>
      </w:r>
      <w:r w:rsidRPr="00192179">
        <w:t xml:space="preserve"> instal</w:t>
      </w:r>
      <w:r>
        <w:t xml:space="preserve">acji </w:t>
      </w:r>
      <w:r w:rsidRPr="00192179">
        <w:t>ogrzewania i ciepłej wody użytkowej</w:t>
      </w:r>
      <w:r w:rsidRPr="00373FD3">
        <w:t>,</w:t>
      </w:r>
    </w:p>
    <w:p w14:paraId="50BDAEDE" w14:textId="77777777" w:rsidR="00E54E14" w:rsidRPr="00B567C6" w:rsidRDefault="00E54E14" w:rsidP="00767FC5">
      <w:pPr>
        <w:numPr>
          <w:ilvl w:val="0"/>
          <w:numId w:val="25"/>
        </w:numPr>
      </w:pPr>
      <w:r w:rsidRPr="00B567C6">
        <w:t>przeprowadz</w:t>
      </w:r>
      <w:r>
        <w:t>enie</w:t>
      </w:r>
      <w:r w:rsidRPr="00B567C6">
        <w:t xml:space="preserve"> audytów energetycznych (</w:t>
      </w:r>
      <w:r>
        <w:t xml:space="preserve">element </w:t>
      </w:r>
      <w:r w:rsidRPr="00B567C6">
        <w:t>inwest</w:t>
      </w:r>
      <w:r>
        <w:t>ycji</w:t>
      </w:r>
      <w:r w:rsidRPr="00B567C6">
        <w:t>)</w:t>
      </w:r>
    </w:p>
    <w:p w14:paraId="17EA511E" w14:textId="4325467C" w:rsidR="00E54E14" w:rsidRDefault="00E54E14" w:rsidP="00373FD3">
      <w:r>
        <w:t xml:space="preserve">Dodatkowo wspierana będzie </w:t>
      </w:r>
      <w:r w:rsidRPr="00BF2A34">
        <w:t>budow</w:t>
      </w:r>
      <w:r>
        <w:t>a</w:t>
      </w:r>
      <w:r w:rsidRPr="00BF2A34">
        <w:t xml:space="preserve"> i rozbudow</w:t>
      </w:r>
      <w:r>
        <w:t>a</w:t>
      </w:r>
      <w:r w:rsidRPr="00BF2A34">
        <w:t xml:space="preserve"> instalacji służących do wytwarzania ciepła i chłodu z</w:t>
      </w:r>
      <w:r w:rsidR="00197F96">
        <w:t> </w:t>
      </w:r>
      <w:r w:rsidRPr="00BF2A34">
        <w:t>OZE wraz z magazynami energii</w:t>
      </w:r>
      <w:r>
        <w:t xml:space="preserve"> oraz inne uzasadnione działania niewynikające wprost z audytów energetycznych mające na celu podwyższenie standardów techniczno-użytkowych i wzmacniających adaptac</w:t>
      </w:r>
      <w:r w:rsidR="004B0910">
        <w:t>ję</w:t>
      </w:r>
      <w:r>
        <w:t xml:space="preserve"> do zmian klimatu. W</w:t>
      </w:r>
      <w:r w:rsidRPr="00BF2A34">
        <w:t>ykorzystywanie najlepszych możliwych technik, inteligentnych i</w:t>
      </w:r>
      <w:r w:rsidR="00197F96">
        <w:t> </w:t>
      </w:r>
      <w:r w:rsidRPr="00BF2A34">
        <w:t>niskoemisyjnych rozwiązań, pozwoli na tworzenie obszarów zrównoważonych</w:t>
      </w:r>
      <w:r>
        <w:t xml:space="preserve"> </w:t>
      </w:r>
      <w:r w:rsidRPr="00BF2A34">
        <w:t>energetycznie</w:t>
      </w:r>
      <w:r>
        <w:t xml:space="preserve"> i</w:t>
      </w:r>
      <w:r w:rsidR="00197F96">
        <w:t> </w:t>
      </w:r>
      <w:r w:rsidRPr="00BF2A34">
        <w:t>wykorzystujących lokalne potencjały</w:t>
      </w:r>
      <w:r>
        <w:t xml:space="preserve"> energetyczne</w:t>
      </w:r>
      <w:r w:rsidRPr="00BF2A34">
        <w:t xml:space="preserve">. </w:t>
      </w:r>
    </w:p>
    <w:p w14:paraId="1336B6E8" w14:textId="2DEAA8CD" w:rsidR="00E54E14" w:rsidRPr="00373FD3" w:rsidRDefault="00E54E14" w:rsidP="00373FD3">
      <w:r>
        <w:t xml:space="preserve">W program </w:t>
      </w:r>
      <w:r w:rsidRPr="00197F96">
        <w:rPr>
          <w:i/>
          <w:iCs/>
        </w:rPr>
        <w:t xml:space="preserve">Efektywny </w:t>
      </w:r>
      <w:r w:rsidR="00197F96">
        <w:rPr>
          <w:i/>
          <w:iCs/>
        </w:rPr>
        <w:t>e</w:t>
      </w:r>
      <w:r w:rsidRPr="00197F96">
        <w:rPr>
          <w:i/>
          <w:iCs/>
        </w:rPr>
        <w:t xml:space="preserve">nergetycznie </w:t>
      </w:r>
      <w:r w:rsidR="00197F96">
        <w:rPr>
          <w:i/>
          <w:iCs/>
        </w:rPr>
        <w:t>s</w:t>
      </w:r>
      <w:r w:rsidRPr="00197F96">
        <w:rPr>
          <w:i/>
          <w:iCs/>
        </w:rPr>
        <w:t xml:space="preserve">ektor </w:t>
      </w:r>
      <w:r w:rsidR="00197F96">
        <w:rPr>
          <w:i/>
          <w:iCs/>
        </w:rPr>
        <w:t>p</w:t>
      </w:r>
      <w:r w:rsidRPr="00197F96">
        <w:rPr>
          <w:i/>
          <w:iCs/>
        </w:rPr>
        <w:t>ubliczny</w:t>
      </w:r>
      <w:r>
        <w:t xml:space="preserve"> przewiduje się dotacje dla inwestycji mających na celu zwiększenie efektywności energetycznej</w:t>
      </w:r>
      <w:r w:rsidR="00767FC5">
        <w:t xml:space="preserve"> </w:t>
      </w:r>
      <w:r>
        <w:t>co najmniej 60%, w szczególności wspierane będą projekty w</w:t>
      </w:r>
      <w:r w:rsidR="00197F96">
        <w:t> </w:t>
      </w:r>
      <w:r>
        <w:t>formule ESCO</w:t>
      </w:r>
      <w:r w:rsidR="00197F96">
        <w:t xml:space="preserve"> (ang. </w:t>
      </w:r>
      <w:r w:rsidR="00197F96" w:rsidRPr="00197F96">
        <w:t>Energy Service Company</w:t>
      </w:r>
      <w:r w:rsidR="00197F96">
        <w:t>)</w:t>
      </w:r>
      <w:r>
        <w:t xml:space="preserve"> lub inne modele z wykorzystaniem kapitału prywatnego, w tym w formule </w:t>
      </w:r>
      <w:r w:rsidR="00197F96">
        <w:t>partnerstwa publiczno-prywatnego (</w:t>
      </w:r>
      <w:r>
        <w:t>PPP</w:t>
      </w:r>
      <w:r w:rsidR="00197F96">
        <w:t>)</w:t>
      </w:r>
      <w:r>
        <w:t xml:space="preserve">. </w:t>
      </w:r>
    </w:p>
    <w:p w14:paraId="35138EF1" w14:textId="27C4EA21" w:rsidR="00E54E14" w:rsidRPr="00E66C7C" w:rsidRDefault="00E54E14" w:rsidP="00805E07">
      <w:pPr>
        <w:pStyle w:val="Nagwek4"/>
      </w:pPr>
      <w:r w:rsidRPr="00E66C7C">
        <w:lastRenderedPageBreak/>
        <w:t xml:space="preserve">Zastosowane metody obliczeniowe, o których mowa w pkt 1 Załącznika V do dyrektywy </w:t>
      </w:r>
      <w:r w:rsidR="00C204DC">
        <w:t>2023/1791</w:t>
      </w:r>
    </w:p>
    <w:p w14:paraId="4A5F70EB" w14:textId="2355CF64" w:rsidR="00E54E14" w:rsidRPr="007548B8" w:rsidRDefault="00E54E14" w:rsidP="00373FD3">
      <w:r w:rsidRPr="007548B8">
        <w:t xml:space="preserve">W zakresie realizacji umów z programu dane o uzyskanych oszczędnościach energii </w:t>
      </w:r>
      <w:r>
        <w:t>w budynkach sektora publicznego są gromadzone przez WFOŚiGW, NFOŚiGW i JST. M</w:t>
      </w:r>
      <w:r w:rsidRPr="007548B8">
        <w:t xml:space="preserve">ożliwe metody obliczenia oszczędności energii: </w:t>
      </w:r>
      <w:r>
        <w:t xml:space="preserve">oszczędność szacowana, </w:t>
      </w:r>
      <w:r w:rsidRPr="007548B8">
        <w:t>oszczędność skalowana</w:t>
      </w:r>
      <w:r>
        <w:t xml:space="preserve"> oraz w stosownych przypadkach oszczędność mierzona</w:t>
      </w:r>
      <w:r w:rsidRPr="007548B8">
        <w:t xml:space="preserve">. </w:t>
      </w:r>
    </w:p>
    <w:p w14:paraId="4A7BB825" w14:textId="77777777" w:rsidR="00E54E14" w:rsidRPr="007548B8" w:rsidRDefault="00E54E14" w:rsidP="00E54E14">
      <w:pPr>
        <w:spacing w:after="0" w:line="360" w:lineRule="auto"/>
        <w:rPr>
          <w:b/>
          <w:bCs/>
          <w:i/>
          <w:iCs/>
          <w:color w:val="5B9BD5" w:themeColor="accent5"/>
        </w:rPr>
      </w:pPr>
      <w:r>
        <w:rPr>
          <w:b/>
          <w:bCs/>
          <w:i/>
          <w:iCs/>
          <w:color w:val="5B9BD5" w:themeColor="accent5"/>
        </w:rPr>
        <w:t>Oszczędność szacowana</w:t>
      </w:r>
    </w:p>
    <w:p w14:paraId="075435F1" w14:textId="77777777" w:rsidR="00E54E14" w:rsidRPr="007548B8" w:rsidRDefault="00E54E14" w:rsidP="00373FD3">
      <w:r w:rsidRPr="00E54E14">
        <w:t>W ramach przeprowadzenia audytu energetycznego powstaje o</w:t>
      </w:r>
      <w:r w:rsidRPr="007548B8">
        <w:t>pracowanie określające zakres oraz parametry techniczne i ekonomiczne przedsięwzięcia termomodernizacyjnego, ze wskazaniem rozwiązania optymalnego, w szczególności z punktu widzenia kosztów realizacji tego przedsięwzięcia oraz oszczędności energii. Audyt stanowi założenia do projektu budowlanego dotyczącego realizowanego przedsięwzięcia. Co więcej audyt określa efekt techniczny (oszczędności energii) i ekonomiczny przedsięwzięć termomodernizacyjnych, uwzględniane są straty energii (przenikanie i wentylacja), zapotrzebowanie na energię do ogrzewania, chłodzenia, oświetlenia oraz przygotowania ciepłej wody użytkowej oraz zyski słoneczne i bytowe.</w:t>
      </w:r>
    </w:p>
    <w:p w14:paraId="44A61181" w14:textId="77777777" w:rsidR="00E54E14" w:rsidRPr="007548B8" w:rsidRDefault="00E54E14" w:rsidP="00E54E14">
      <w:pPr>
        <w:spacing w:after="0" w:line="360" w:lineRule="auto"/>
        <w:rPr>
          <w:b/>
          <w:bCs/>
          <w:i/>
          <w:iCs/>
          <w:color w:val="5B9BD5" w:themeColor="accent5"/>
        </w:rPr>
      </w:pPr>
      <w:r w:rsidRPr="007548B8">
        <w:rPr>
          <w:b/>
          <w:bCs/>
          <w:i/>
          <w:iCs/>
          <w:color w:val="5B9BD5" w:themeColor="accent5"/>
        </w:rPr>
        <w:t>Oszczędność skalowana</w:t>
      </w:r>
    </w:p>
    <w:p w14:paraId="31FA491F" w14:textId="1DA6595E" w:rsidR="00E54E14" w:rsidRDefault="00E54E14" w:rsidP="00373FD3">
      <w:r>
        <w:t xml:space="preserve">W celu uproszczenia ścieżki dostępności dofinansowania dla standardowych przedsięwzięć, tj. np. wymiana oświetlenia, wykorzystuje się metodę </w:t>
      </w:r>
      <w:r w:rsidRPr="007548B8">
        <w:t xml:space="preserve">określania efektów </w:t>
      </w:r>
      <w:r>
        <w:t>jako</w:t>
      </w:r>
      <w:r w:rsidRPr="007548B8">
        <w:t xml:space="preserve"> </w:t>
      </w:r>
      <w:r>
        <w:t>skalowaną</w:t>
      </w:r>
      <w:r w:rsidRPr="007548B8">
        <w:t xml:space="preserve"> na podstawie średnich wartości dla budynku referencyjnego.</w:t>
      </w:r>
      <w:r>
        <w:t xml:space="preserve"> Potencjalny beneficjent jest zobowiązany do przedłożenia uproszczonego audytu energetycznego jako jeden z elementów wymaganych we wniosku o</w:t>
      </w:r>
      <w:r w:rsidR="00ED1D45">
        <w:t> </w:t>
      </w:r>
      <w:r>
        <w:t xml:space="preserve">dofinansowanie. </w:t>
      </w:r>
    </w:p>
    <w:p w14:paraId="69D3FA22" w14:textId="77777777" w:rsidR="00E54E14" w:rsidRDefault="00E54E14" w:rsidP="00E54E14">
      <w:pPr>
        <w:spacing w:after="0" w:line="360" w:lineRule="auto"/>
        <w:rPr>
          <w:b/>
          <w:bCs/>
          <w:i/>
          <w:iCs/>
          <w:color w:val="5B9BD5" w:themeColor="accent5"/>
        </w:rPr>
      </w:pPr>
      <w:r w:rsidRPr="007548B8">
        <w:rPr>
          <w:b/>
          <w:bCs/>
          <w:i/>
          <w:iCs/>
          <w:color w:val="5B9BD5" w:themeColor="accent5"/>
        </w:rPr>
        <w:t xml:space="preserve">Oszczędność </w:t>
      </w:r>
      <w:r>
        <w:rPr>
          <w:b/>
          <w:bCs/>
          <w:i/>
          <w:iCs/>
          <w:color w:val="5B9BD5" w:themeColor="accent5"/>
        </w:rPr>
        <w:t>mierzona</w:t>
      </w:r>
    </w:p>
    <w:p w14:paraId="042FDC52" w14:textId="13CD3824" w:rsidR="00E54E14" w:rsidRPr="003834EE" w:rsidRDefault="00E54E14" w:rsidP="00373FD3">
      <w:r w:rsidRPr="003834EE">
        <w:t xml:space="preserve">W </w:t>
      </w:r>
      <w:r>
        <w:t>przypadku realizacji przedsięwzięć innych niż przedsięwzięcie termomodernizacyjnych, inwestycja musi zostać zakończona audytem efektywności energetycznym powykonawczym, weryfikującym założenia inwestycyjne.</w:t>
      </w:r>
      <w:r w:rsidR="00767FC5">
        <w:t xml:space="preserve"> </w:t>
      </w:r>
    </w:p>
    <w:p w14:paraId="3B23F3D5" w14:textId="77777777" w:rsidR="00E54E14" w:rsidRPr="00FB3833" w:rsidRDefault="00E54E14" w:rsidP="00805E07">
      <w:pPr>
        <w:pStyle w:val="Nagwek4"/>
      </w:pPr>
      <w:r w:rsidRPr="00FB3833">
        <w:t>Metoda wyrażania wielkości oszczędności energii (oszczędność energii pierwotnej lub finalnej)</w:t>
      </w:r>
    </w:p>
    <w:p w14:paraId="6D4DF523" w14:textId="77777777" w:rsidR="00E54E14" w:rsidRDefault="00E54E14" w:rsidP="00373FD3">
      <w:r w:rsidRPr="00FB3833">
        <w:t xml:space="preserve">Wielkość zużycia energii określa się na podstawie audytu energetycznego budynku lub w uzasadnionych przypadkach uproszczonego audytu energetycznego budynku, tj. oblicza się wskaźnik efektu ekologicznego. Na podstawie powyższych, określane są podstawowe parametry przedsięwzięcia służącego poprawie efektywności energetycznej, w tym średnioroczna oszczędność energii finalnej. </w:t>
      </w:r>
    </w:p>
    <w:p w14:paraId="62C239D9" w14:textId="77777777" w:rsidR="00E54E14" w:rsidRPr="00356EE7" w:rsidRDefault="00E54E14" w:rsidP="00805E07">
      <w:pPr>
        <w:pStyle w:val="Nagwek4"/>
      </w:pPr>
      <w:r w:rsidRPr="00356EE7">
        <w:t>Okres obowiązywania środków i tempo zmniejszania się oszczędności w tym okresie</w:t>
      </w:r>
    </w:p>
    <w:p w14:paraId="503216AB" w14:textId="2626F895" w:rsidR="00E54E14" w:rsidRPr="00E54E14" w:rsidRDefault="00E54E14" w:rsidP="00373FD3">
      <w:r w:rsidRPr="00E54E14">
        <w:t>Okres obowiązywania oszczędności został opracowany według Dodatku VIII</w:t>
      </w:r>
      <w:r w:rsidR="000754DF">
        <w:t xml:space="preserve">. </w:t>
      </w:r>
      <w:r w:rsidR="000754DF" w:rsidRPr="00933722">
        <w:rPr>
          <w:i/>
          <w:iCs/>
        </w:rPr>
        <w:t>Okres obowiązywania środków i tempo zmniejszania się oszczędności w tym okresie</w:t>
      </w:r>
      <w:r w:rsidRPr="00E54E14">
        <w:t xml:space="preserve"> do </w:t>
      </w:r>
      <w:r w:rsidR="000754DF">
        <w:t>Z</w:t>
      </w:r>
      <w:r w:rsidRPr="00E54E14">
        <w:t>alecenia Komisji</w:t>
      </w:r>
      <w:r w:rsidR="00723E25">
        <w:t xml:space="preserve"> Europejskiej</w:t>
      </w:r>
      <w:r w:rsidR="00723E25" w:rsidRPr="00723E25">
        <w:t xml:space="preserve"> 2019/1658</w:t>
      </w:r>
      <w:r w:rsidRPr="00E54E14">
        <w:t xml:space="preserve">. Szacunkowy czas obowiązywania przedsięwzięć realizowanych w ramach środka alternatywnego wynosi 2 do 25 lat. </w:t>
      </w:r>
    </w:p>
    <w:p w14:paraId="3D0CEF7F" w14:textId="77777777" w:rsidR="00E54E14" w:rsidRPr="00AC7FD8" w:rsidRDefault="00E54E14" w:rsidP="00805E07">
      <w:pPr>
        <w:pStyle w:val="Nagwek4"/>
      </w:pPr>
      <w:r w:rsidRPr="00AC7FD8">
        <w:t xml:space="preserve">Krótki opis metody obliczania oszczędności energii, w tym sposobów zapewniania dodatkowości i istotności oraz metod i poziomów referencyjnych stosowanych do oszczędności </w:t>
      </w:r>
      <w:r>
        <w:t>szacowanej</w:t>
      </w:r>
      <w:r w:rsidRPr="00AC7FD8">
        <w:t xml:space="preserve"> i skalowanych</w:t>
      </w:r>
    </w:p>
    <w:p w14:paraId="344CBA39" w14:textId="792B6C8D" w:rsidR="00E54E14" w:rsidRPr="00373FD3" w:rsidRDefault="00E54E14" w:rsidP="00373FD3">
      <w:r w:rsidRPr="00373FD3">
        <w:t>W celu realizacji projektu wymagane jest opracowanie audytu energetycznego przedrealizacyjnego, z</w:t>
      </w:r>
      <w:r w:rsidR="005C1198">
        <w:t> </w:t>
      </w:r>
      <w:r w:rsidRPr="00373FD3">
        <w:t xml:space="preserve">którego wynikać będzie zakres modernizacji. Wybrany wariant realizowanego przedsięwzięcia musi </w:t>
      </w:r>
      <w:r w:rsidRPr="00373FD3">
        <w:lastRenderedPageBreak/>
        <w:t xml:space="preserve">uwzględniać kryterium efektywności ekonomicznej, tj. nakłady finansowanie odnoszące się do uzyskanych efektów zmniejszania zapotrzebowania na energię). Co więcej, w przypadku przedsięwzięć innych niż modernizacja budynków wymagany jest audyt efektywności energetycznej dotyczący danego przedsięwzięcia, np. dla modernizacji systemów oświetlenia. Weryfikacja założonych celów i efektów inwestycyjnych (poza formułą ESCO) musi zostać potwierdzona audytem ex-post po zakończonej inwestycji. </w:t>
      </w:r>
    </w:p>
    <w:p w14:paraId="7E90E370" w14:textId="77777777" w:rsidR="00E54E14" w:rsidRPr="00805E07" w:rsidRDefault="00E54E14" w:rsidP="001D4A88">
      <w:pPr>
        <w:pStyle w:val="zasada"/>
      </w:pPr>
      <w:r w:rsidRPr="00805E07">
        <w:t>Zasada istotności</w:t>
      </w:r>
    </w:p>
    <w:p w14:paraId="17722B83" w14:textId="77777777" w:rsidR="00E54E14" w:rsidRDefault="00E54E14" w:rsidP="00373FD3">
      <w:r w:rsidRPr="005F3048">
        <w:t xml:space="preserve">Dotacje w ramach środka jest kierowana do </w:t>
      </w:r>
      <w:r>
        <w:t xml:space="preserve">jednostek sektora publicznego, w tym głównie do jednostek budżetowych realizujących </w:t>
      </w:r>
      <w:r w:rsidRPr="005F3048">
        <w:t>zadania jednostek samorządu terytorialnego, w związku z czym dofinansowanie ma znaczący, jeżeli nie jedyny wpływ na decyzję o wykonaniu przedsięwzięcia służącego poprawie efektywności energetycznej. Co więcej dofinansowani</w:t>
      </w:r>
      <w:r>
        <w:t xml:space="preserve">a dotyczą określonych priorytetów, np. Sprawiedliwa transformacja, efektywne wykorzystanie energii czy ochrona powietrza. </w:t>
      </w:r>
      <w:r w:rsidRPr="00D62DB9">
        <w:t>Szeroki zakres dostępnych programów pozwala wnioskodawcy na otrzymanie dofinansowania na zadanie, które w jego jednostce przyniesie najbardziej wymierny efekt energetyczny i ekonomiczny.</w:t>
      </w:r>
    </w:p>
    <w:p w14:paraId="11FC02C1" w14:textId="77777777" w:rsidR="00E54E14" w:rsidRDefault="00E54E14" w:rsidP="00373FD3">
      <w:r w:rsidRPr="00373FD3">
        <w:t>Oszczędności energii finalnej uzyskane w ramach tego środka alternatywnego są istotne dla osiągnięcia krajowego celu w zakresie oszczędności energii, określonego w art. 8 dyrektywy. Szczególne znaczenie należy przypisać efektowi skali. W ramach tego środka alternatywnego uzyskuje się istotne oszczędności energii finalnej podczas realizacji wielu przedsięwzięć służących poprawie efektywności energetycznej przynoszących stosunkowo niewielką ilość oszczędności energii.</w:t>
      </w:r>
    </w:p>
    <w:p w14:paraId="0C026881" w14:textId="77777777" w:rsidR="00E54E14" w:rsidRPr="00805E07" w:rsidRDefault="00E54E14" w:rsidP="001D4A88">
      <w:pPr>
        <w:pStyle w:val="zasada"/>
      </w:pPr>
      <w:r w:rsidRPr="00805E07">
        <w:t>Zasada dodatkowości</w:t>
      </w:r>
    </w:p>
    <w:p w14:paraId="536FCDCA" w14:textId="3E522161" w:rsidR="00E54E14" w:rsidRPr="00D94B5E" w:rsidRDefault="00E54E14" w:rsidP="00373FD3">
      <w:r w:rsidRPr="008D7F37">
        <w:t xml:space="preserve">Zgodnie z pkt. 2 lit </w:t>
      </w:r>
      <w:r>
        <w:t>c</w:t>
      </w:r>
      <w:r w:rsidRPr="008D7F37">
        <w:t xml:space="preserve"> Załącznika V</w:t>
      </w:r>
      <w:r w:rsidR="00ED1D45">
        <w:t xml:space="preserve"> do dyrektywy 2023/1791</w:t>
      </w:r>
      <w:r w:rsidRPr="008D7F37">
        <w:t xml:space="preserve"> oszczędności związane z renowacją istniejących budynków mogą być zaliczone jako oszczędność energii na użytek art. </w:t>
      </w:r>
      <w:r>
        <w:t>8</w:t>
      </w:r>
      <w:r w:rsidRPr="008D7F37">
        <w:t xml:space="preserve"> ust. 1 pod warunkiem spełnienia kryterium istotności. Co więcej, audyt energetyczny wskazuje przede wszystkim na celowość podejmowania w pierwszej kolejności racjonalnych działań poprawy charakterystyki energetycznej budynku w celu zmniejszenia zapotrzebowania na energię do ogrzewania budynku i przygotowania ciepłej wody użytkowej. Cel ten jest osiągany poprzez dodatkową izolację cieplną przegród zewnętrznych budynku, likwidację mostków cieplnych, ograniczenie strat na wentylację, uszczelnianie powłok oddzielających budynek od otoczenia zewnętrznego, częściową lub całkowitą wymianę stolarki okiennej lub drzwiowej. Inwestor, stymulowany możliwością uzyskania dofinasowanie ze środków programu, realizuje te zadania w pierwszej kolejności. </w:t>
      </w:r>
      <w:r w:rsidRPr="00D94B5E">
        <w:t xml:space="preserve">W wyniku realizacji przedsięwzięcia termomodernizacyjnego, w jego zakresie, muszą być spełnione minimalne aktualne standardy dla nowego budynku o niemal zerowym zużyciu energii, zdefiniowane i określone w rozporządzeniu Ministra Infrastruktury z dnia 12 kwietnia 2002 r. </w:t>
      </w:r>
      <w:r w:rsidRPr="00373FD3">
        <w:t>w sprawie warunków technicznych, jakim powinny odpowiadać budynki i ich usytuowanie</w:t>
      </w:r>
      <w:r w:rsidRPr="00D94B5E">
        <w:t xml:space="preserve">. </w:t>
      </w:r>
    </w:p>
    <w:p w14:paraId="0336AFAE" w14:textId="2E872BEE" w:rsidR="00E54E14" w:rsidRPr="00665104" w:rsidRDefault="00E54E14" w:rsidP="00373FD3">
      <w:r>
        <w:t>Dodatkowo w przypadku inwestycji mających na celu:</w:t>
      </w:r>
      <w:r w:rsidR="00767FC5">
        <w:t xml:space="preserve"> </w:t>
      </w:r>
      <w:r w:rsidRPr="00665104">
        <w:t>modernizacj</w:t>
      </w:r>
      <w:r>
        <w:t>ę</w:t>
      </w:r>
      <w:r w:rsidRPr="00665104">
        <w:t xml:space="preserve"> instalacji oświetlenia </w:t>
      </w:r>
      <w:r>
        <w:t>cz</w:t>
      </w:r>
      <w:r w:rsidRPr="00665104">
        <w:t>y wymian</w:t>
      </w:r>
      <w:r>
        <w:t>ę</w:t>
      </w:r>
      <w:r w:rsidRPr="00665104">
        <w:t xml:space="preserve"> kotłów/źródeł ciepła w instalacjach ogrzewczych</w:t>
      </w:r>
      <w:r>
        <w:t xml:space="preserve"> u</w:t>
      </w:r>
      <w:r w:rsidRPr="00665104">
        <w:t xml:space="preserve">znane mogą zostać wyłącznie oszczędności energii przekraczające poziomy unijnych wymagań dotyczących wycofywania z obrotu określonych produktów związanych z energią w następstwie </w:t>
      </w:r>
      <w:r w:rsidRPr="0071320E">
        <w:t>wdrożenia środków wykonawczych na mocy dyrektywy 2009/125/WE</w:t>
      </w:r>
      <w:r w:rsidRPr="00373FD3">
        <w:fldChar w:fldCharType="begin"/>
      </w:r>
      <w:r w:rsidRPr="00373FD3">
        <w:instrText xml:space="preserve"> NOTEREF _Ref135213769 \h  \* MERGEFORMAT </w:instrText>
      </w:r>
      <w:r w:rsidRPr="00373FD3">
        <w:fldChar w:fldCharType="separate"/>
      </w:r>
      <w:r w:rsidR="00CC735D">
        <w:t>6</w:t>
      </w:r>
      <w:r w:rsidRPr="00373FD3">
        <w:fldChar w:fldCharType="end"/>
      </w:r>
      <w:r w:rsidRPr="0071320E">
        <w:t>.</w:t>
      </w:r>
      <w:r w:rsidRPr="00665104">
        <w:t xml:space="preserve"> W przypadku tych przedsięwzięć minimalne poziomy wynikające z wdrożenia przepisów unijnych dotyczących wymogów ekoprojektu są wyznaczane i stosowane jako poziomy referencyjne będące punktami wyjścia przy obliczaniu oszczędności energii.</w:t>
      </w:r>
    </w:p>
    <w:p w14:paraId="63FE4BE6" w14:textId="77777777" w:rsidR="00E54E14" w:rsidRPr="00961A28" w:rsidRDefault="00E54E14" w:rsidP="00805E07">
      <w:pPr>
        <w:pStyle w:val="Nagwek4"/>
      </w:pPr>
      <w:r w:rsidRPr="00961A28">
        <w:t>Informacja o sposobie postępowania z ewentualnym dublowaniem się środków i indywidualnych działań w celu unikania podwójnego zliczania oszczędności energii</w:t>
      </w:r>
    </w:p>
    <w:p w14:paraId="2DB29E69" w14:textId="77777777" w:rsidR="00E54E14" w:rsidRPr="002D675E" w:rsidRDefault="00E54E14" w:rsidP="00373FD3">
      <w:r w:rsidRPr="002D675E">
        <w:t xml:space="preserve">Dane zawarte we wniosku o dofinansowanie jednoznacznie identyfikują miejsce, sposób i termin przeprowadzenia danego przedsięwzięcia. Wyklucza to możliwość wydania dofinansowania dla tego </w:t>
      </w:r>
      <w:r w:rsidRPr="002D675E">
        <w:lastRenderedPageBreak/>
        <w:t>samego przedsięwzięcia dla dwóch różnych podmiotów, zatem nie mogą być zgłaszane oszczędności energii wynikające z działania indywidualnego przez więcej niż jedną stronę zobowiązan</w:t>
      </w:r>
      <w:r w:rsidRPr="00C81B0C">
        <w:t>ą</w:t>
      </w:r>
      <w:r w:rsidRPr="00D62DB9">
        <w:t>.</w:t>
      </w:r>
      <w:r w:rsidRPr="002D675E">
        <w:t xml:space="preserve"> </w:t>
      </w:r>
    </w:p>
    <w:p w14:paraId="3873E32F" w14:textId="38553D47" w:rsidR="00E54E14" w:rsidRPr="002D675E" w:rsidRDefault="00E54E14" w:rsidP="00373FD3">
      <w:r w:rsidRPr="002D675E">
        <w:t>W przypadku gdy Beneficjent programu otrzymał dofinansowanie z innych programów finansowanych ze środków publicznych, w tym w szczególności: w ramach regionalnych programów operacyjnych 2014</w:t>
      </w:r>
      <w:r w:rsidR="004B0F0A">
        <w:t>–20</w:t>
      </w:r>
      <w:r w:rsidRPr="002D675E">
        <w:t>20 oraz innych programów priorytetowych NFOŚiGW, wnioskodawca może otrzymać dofinansowanie z programu tylko na zakres przedsięwzięcia, na który nie otrzymał dofinansowania w ramach innych programów.</w:t>
      </w:r>
    </w:p>
    <w:p w14:paraId="50DF4F06" w14:textId="17FC2977" w:rsidR="00E54E14" w:rsidRPr="00373FD3" w:rsidRDefault="00E54E14" w:rsidP="00373FD3">
      <w:r w:rsidRPr="002D675E">
        <w:t>Dodatkowo, należy zwrócić uwagę, że celem zliczania środków alternatywnych, powołany został Centralny Rejestr Oszczędności Energii Finalnej</w:t>
      </w:r>
      <w:r w:rsidRPr="00373FD3">
        <w:fldChar w:fldCharType="begin"/>
      </w:r>
      <w:r w:rsidRPr="00373FD3">
        <w:instrText xml:space="preserve"> NOTEREF _Ref135216444 \h  \* MERGEFORMAT </w:instrText>
      </w:r>
      <w:r w:rsidRPr="00373FD3">
        <w:fldChar w:fldCharType="separate"/>
      </w:r>
      <w:r w:rsidR="00CC735D">
        <w:t>7</w:t>
      </w:r>
      <w:r w:rsidRPr="00373FD3">
        <w:fldChar w:fldCharType="end"/>
      </w:r>
      <w:r w:rsidRPr="002D675E">
        <w:t>, w którym raportowane są wszystkie przedsięwzięcia realizowane w ramach programu</w:t>
      </w:r>
      <w:r>
        <w:t xml:space="preserve"> Efektywny Energetycznie Sektor Publiczny</w:t>
      </w:r>
      <w:r w:rsidRPr="002D675E">
        <w:t>. Walidacja nowododanych przedsięwzięć pozwala na sprawdzenie czy dla danej lokalizacji takie samo przedsięwzięcie nie było podwójnie finansowane, w takim przypadku rekord nie zostanie dodany.</w:t>
      </w:r>
      <w:r w:rsidR="00767FC5">
        <w:t xml:space="preserve"> </w:t>
      </w:r>
    </w:p>
    <w:p w14:paraId="21E787ED" w14:textId="77777777" w:rsidR="00E54E14" w:rsidRPr="003B6074" w:rsidRDefault="00E54E14" w:rsidP="00805E07">
      <w:pPr>
        <w:pStyle w:val="Nagwek4"/>
      </w:pPr>
      <w:r w:rsidRPr="003B6074">
        <w:t>Uwzględnienie różnic klimatycznych między regionami i zastosowane podejście</w:t>
      </w:r>
    </w:p>
    <w:p w14:paraId="4A565468" w14:textId="54024D42" w:rsidR="00E54E14" w:rsidRPr="003B6074" w:rsidRDefault="00E54E14" w:rsidP="00373FD3">
      <w:r w:rsidRPr="003B6074">
        <w:t>W przypadku szacowanej metody obliczania oszczędności energii nie uwzględnia się różnic klimatycznych między regionami. Natomiast w przypadku inwestycji realizowanych w związku z wykonaniem audytu energetycznego, uwzględnione zostają czynniki zewnętrzne takie jak różnice klimatyczne. Wynika to z faktu, że</w:t>
      </w:r>
      <w:r w:rsidR="00767FC5">
        <w:t xml:space="preserve"> </w:t>
      </w:r>
      <w:r w:rsidRPr="003B6074">
        <w:t xml:space="preserve">audyt energetyczny budynku uwzględnia czynniki zewnętrzne wpływające na zużycie energii, które dotyczą, m.in. lokalizacji (strefa klimatyczna Polski) i usytuowania budynku, a także warunków eksploatacyjnych. </w:t>
      </w:r>
    </w:p>
    <w:p w14:paraId="6CF0F44B" w14:textId="1959FBBC" w:rsidR="00E54E14" w:rsidRPr="00FA697D" w:rsidRDefault="00E54E14" w:rsidP="00805E07">
      <w:pPr>
        <w:pStyle w:val="Nagwek4"/>
      </w:pPr>
      <w:r w:rsidRPr="00FA697D">
        <w:t>Oszczędność</w:t>
      </w:r>
      <w:r>
        <w:t xml:space="preserve"> końcowego zużycia energii</w:t>
      </w:r>
      <w:r w:rsidRPr="00FA697D">
        <w:t xml:space="preserve"> w okresie 20</w:t>
      </w:r>
      <w:r>
        <w:t>21</w:t>
      </w:r>
      <w:r w:rsidR="004B0F0A">
        <w:t>–20</w:t>
      </w:r>
      <w:r>
        <w:t>30</w:t>
      </w:r>
    </w:p>
    <w:p w14:paraId="72D8CB44" w14:textId="5420A039" w:rsidR="00E54E14" w:rsidRPr="00FA697D" w:rsidRDefault="00E54E14" w:rsidP="00373FD3">
      <w:r w:rsidRPr="00FA697D">
        <w:t xml:space="preserve">Realizacja programu </w:t>
      </w:r>
      <w:r w:rsidRPr="00CB598F">
        <w:rPr>
          <w:i/>
          <w:iCs/>
        </w:rPr>
        <w:t xml:space="preserve">Efektywny </w:t>
      </w:r>
      <w:r w:rsidR="00CB598F">
        <w:rPr>
          <w:i/>
          <w:iCs/>
        </w:rPr>
        <w:t>e</w:t>
      </w:r>
      <w:r w:rsidRPr="00CB598F">
        <w:rPr>
          <w:i/>
          <w:iCs/>
        </w:rPr>
        <w:t xml:space="preserve">nergetycznie </w:t>
      </w:r>
      <w:r w:rsidR="00CB598F">
        <w:rPr>
          <w:i/>
          <w:iCs/>
        </w:rPr>
        <w:t>s</w:t>
      </w:r>
      <w:r w:rsidRPr="00CB598F">
        <w:rPr>
          <w:i/>
          <w:iCs/>
        </w:rPr>
        <w:t xml:space="preserve">ektor </w:t>
      </w:r>
      <w:r w:rsidR="00CB598F">
        <w:rPr>
          <w:i/>
          <w:iCs/>
        </w:rPr>
        <w:t>p</w:t>
      </w:r>
      <w:r w:rsidRPr="00CB598F">
        <w:rPr>
          <w:i/>
          <w:iCs/>
        </w:rPr>
        <w:t>ubliczny</w:t>
      </w:r>
      <w:r>
        <w:t xml:space="preserve"> </w:t>
      </w:r>
      <w:r w:rsidRPr="00FA697D">
        <w:t xml:space="preserve">przyczyni się do uzyskania nowych średniorocznych oszczędności </w:t>
      </w:r>
      <w:r>
        <w:t xml:space="preserve">końcowego zużycia </w:t>
      </w:r>
      <w:r w:rsidRPr="00FA697D">
        <w:t xml:space="preserve">energii, w wysokości </w:t>
      </w:r>
      <w:r>
        <w:t>6 ktoe</w:t>
      </w:r>
      <w:r w:rsidRPr="00FA697D">
        <w:t xml:space="preserve">. </w:t>
      </w:r>
      <w:r w:rsidR="00CB598F">
        <w:fldChar w:fldCharType="begin"/>
      </w:r>
      <w:r w:rsidR="00CB598F">
        <w:instrText xml:space="preserve"> REF _Ref173763093 \h </w:instrText>
      </w:r>
      <w:r w:rsidR="00CB598F">
        <w:fldChar w:fldCharType="separate"/>
      </w:r>
      <w:r w:rsidR="00CC735D">
        <w:t xml:space="preserve">Tabela </w:t>
      </w:r>
      <w:r w:rsidR="00CC735D">
        <w:rPr>
          <w:noProof/>
        </w:rPr>
        <w:t>6</w:t>
      </w:r>
      <w:r w:rsidR="00CB598F">
        <w:fldChar w:fldCharType="end"/>
      </w:r>
      <w:r w:rsidR="00CB598F">
        <w:t xml:space="preserve"> </w:t>
      </w:r>
      <w:r w:rsidRPr="00FA697D">
        <w:t>przedstawi</w:t>
      </w:r>
      <w:r w:rsidR="00CB598F">
        <w:t>a</w:t>
      </w:r>
      <w:r w:rsidRPr="00FA697D">
        <w:t xml:space="preserve"> </w:t>
      </w:r>
      <w:r>
        <w:t>roczne i skumulowane</w:t>
      </w:r>
      <w:r w:rsidR="00767FC5">
        <w:t xml:space="preserve"> </w:t>
      </w:r>
      <w:r w:rsidRPr="00FA697D">
        <w:t xml:space="preserve">oszczędności </w:t>
      </w:r>
      <w:r>
        <w:t xml:space="preserve">końcowego zużycia </w:t>
      </w:r>
      <w:r w:rsidRPr="00FA697D">
        <w:t>energii w okresie 2021</w:t>
      </w:r>
      <w:r w:rsidR="004B0F0A">
        <w:t>–20</w:t>
      </w:r>
      <w:r w:rsidRPr="00FA697D">
        <w:t>30</w:t>
      </w:r>
      <w:r>
        <w:t>.</w:t>
      </w:r>
    </w:p>
    <w:p w14:paraId="01FAF0CF" w14:textId="6D44BDA5" w:rsidR="00E54E14" w:rsidRDefault="00CB598F" w:rsidP="00CB598F">
      <w:pPr>
        <w:pStyle w:val="Legenda"/>
      </w:pPr>
      <w:bookmarkStart w:id="24" w:name="_Ref173763093"/>
      <w:r>
        <w:t xml:space="preserve">Tabela </w:t>
      </w:r>
      <w:fldSimple w:instr=" SEQ Tabela \* ARABIC ">
        <w:r w:rsidR="00CC735D">
          <w:rPr>
            <w:noProof/>
          </w:rPr>
          <w:t>6</w:t>
        </w:r>
      </w:fldSimple>
      <w:bookmarkEnd w:id="24"/>
      <w:r>
        <w:t xml:space="preserve">. </w:t>
      </w:r>
      <w:r w:rsidR="00E54E14">
        <w:rPr>
          <w:rStyle w:val="rynqvb"/>
          <w:bCs/>
        </w:rPr>
        <w:t xml:space="preserve">Efektywny </w:t>
      </w:r>
      <w:r>
        <w:rPr>
          <w:rStyle w:val="rynqvb"/>
          <w:bCs/>
        </w:rPr>
        <w:t>e</w:t>
      </w:r>
      <w:r w:rsidR="00E54E14">
        <w:rPr>
          <w:rStyle w:val="rynqvb"/>
          <w:bCs/>
        </w:rPr>
        <w:t xml:space="preserve">nergetycznie </w:t>
      </w:r>
      <w:r>
        <w:rPr>
          <w:rStyle w:val="rynqvb"/>
          <w:bCs/>
        </w:rPr>
        <w:t>s</w:t>
      </w:r>
      <w:r w:rsidR="00E54E14">
        <w:rPr>
          <w:rStyle w:val="rynqvb"/>
          <w:bCs/>
        </w:rPr>
        <w:t xml:space="preserve">ektor </w:t>
      </w:r>
      <w:r>
        <w:rPr>
          <w:rStyle w:val="rynqvb"/>
          <w:bCs/>
        </w:rPr>
        <w:t>p</w:t>
      </w:r>
      <w:r w:rsidR="00E54E14">
        <w:rPr>
          <w:rStyle w:val="rynqvb"/>
          <w:bCs/>
        </w:rPr>
        <w:t>ubliczny: o</w:t>
      </w:r>
      <w:r w:rsidR="00E54E14" w:rsidRPr="00E35197">
        <w:rPr>
          <w:rStyle w:val="rynqvb"/>
          <w:bCs/>
        </w:rPr>
        <w:t>szczędności</w:t>
      </w:r>
      <w:r w:rsidR="00E54E14">
        <w:rPr>
          <w:rStyle w:val="rynqvb"/>
          <w:bCs/>
        </w:rPr>
        <w:t xml:space="preserve"> końcowego zużycia</w:t>
      </w:r>
      <w:r w:rsidR="00E54E14" w:rsidRPr="00E35197">
        <w:rPr>
          <w:rStyle w:val="rynqvb"/>
          <w:bCs/>
        </w:rPr>
        <w:t xml:space="preserve"> energii osiągnię</w:t>
      </w:r>
      <w:r w:rsidR="00E54E14">
        <w:rPr>
          <w:rStyle w:val="rynqvb"/>
          <w:bCs/>
        </w:rPr>
        <w:t xml:space="preserve">te w 2021 </w:t>
      </w:r>
      <w:r w:rsidR="0011179A">
        <w:rPr>
          <w:rStyle w:val="rynqvb"/>
          <w:bCs/>
        </w:rPr>
        <w:t>r.</w:t>
      </w:r>
      <w:r w:rsidR="00E54E14">
        <w:rPr>
          <w:rStyle w:val="rynqvb"/>
          <w:bCs/>
        </w:rPr>
        <w:t xml:space="preserve"> oraz szacunkowe oszczędności</w:t>
      </w:r>
      <w:r w:rsidR="00E54E14" w:rsidRPr="00E35197">
        <w:rPr>
          <w:rStyle w:val="rynqvb"/>
          <w:bCs/>
        </w:rPr>
        <w:t xml:space="preserve"> </w:t>
      </w:r>
      <w:r w:rsidR="00E54E14">
        <w:rPr>
          <w:rStyle w:val="rynqvb"/>
          <w:bCs/>
        </w:rPr>
        <w:t>do osiągnięcia</w:t>
      </w:r>
      <w:r w:rsidR="00E54E14" w:rsidRPr="00E35197">
        <w:rPr>
          <w:rStyle w:val="rynqvb"/>
          <w:bCs/>
        </w:rPr>
        <w:t xml:space="preserve"> latach 202</w:t>
      </w:r>
      <w:r w:rsidR="00E54E14">
        <w:rPr>
          <w:rStyle w:val="rynqvb"/>
          <w:bCs/>
        </w:rPr>
        <w:t>2</w:t>
      </w:r>
      <w:r w:rsidR="004B0F0A">
        <w:rPr>
          <w:rStyle w:val="rynqvb"/>
          <w:bCs/>
        </w:rPr>
        <w:t>–20</w:t>
      </w:r>
      <w:r w:rsidR="00E54E14" w:rsidRPr="00E35197">
        <w:rPr>
          <w:rStyle w:val="rynqvb"/>
          <w:bCs/>
        </w:rPr>
        <w:t>30</w:t>
      </w:r>
      <w:r w:rsidR="00E54E14">
        <w:rPr>
          <w:rStyle w:val="rynqvb"/>
          <w:bCs/>
        </w:rPr>
        <w:t xml:space="preserve"> </w:t>
      </w:r>
      <w:r w:rsidR="00E54E14" w:rsidRPr="00E35197">
        <w:rPr>
          <w:rStyle w:val="rynqvb"/>
          <w:bCs/>
        </w:rPr>
        <w:t>– roczne i skumulowane</w:t>
      </w:r>
    </w:p>
    <w:tbl>
      <w:tblPr>
        <w:tblpPr w:leftFromText="141" w:rightFromText="141" w:vertAnchor="text" w:horzAnchor="margin" w:tblpY="196"/>
        <w:tblW w:w="5289" w:type="pct"/>
        <w:tblCellMar>
          <w:left w:w="70" w:type="dxa"/>
          <w:right w:w="70" w:type="dxa"/>
        </w:tblCellMar>
        <w:tblLook w:val="04A0" w:firstRow="1" w:lastRow="0" w:firstColumn="1" w:lastColumn="0" w:noHBand="0" w:noVBand="1"/>
      </w:tblPr>
      <w:tblGrid>
        <w:gridCol w:w="1456"/>
        <w:gridCol w:w="699"/>
        <w:gridCol w:w="651"/>
        <w:gridCol w:w="651"/>
        <w:gridCol w:w="651"/>
        <w:gridCol w:w="684"/>
        <w:gridCol w:w="684"/>
        <w:gridCol w:w="651"/>
        <w:gridCol w:w="651"/>
        <w:gridCol w:w="651"/>
        <w:gridCol w:w="684"/>
        <w:gridCol w:w="1473"/>
      </w:tblGrid>
      <w:tr w:rsidR="00E54E14" w:rsidRPr="00D94B5E" w14:paraId="3B77800F" w14:textId="77777777">
        <w:trPr>
          <w:trHeight w:val="273"/>
        </w:trPr>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4E77B" w14:textId="77777777" w:rsidR="00E54E14" w:rsidRPr="00D94B5E" w:rsidRDefault="00E54E14">
            <w:pPr>
              <w:spacing w:after="0"/>
              <w:jc w:val="center"/>
              <w:rPr>
                <w:color w:val="000000"/>
                <w:szCs w:val="20"/>
                <w:lang w:eastAsia="pl-PL"/>
              </w:rPr>
            </w:pPr>
            <w:r w:rsidRPr="00D94B5E">
              <w:rPr>
                <w:color w:val="000000"/>
                <w:szCs w:val="20"/>
                <w:lang w:eastAsia="pl-PL"/>
              </w:rPr>
              <w:t>Rok</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14:paraId="58610897" w14:textId="77777777" w:rsidR="00E54E14" w:rsidRPr="00D94B5E" w:rsidRDefault="00E54E14">
            <w:pPr>
              <w:spacing w:after="0"/>
              <w:jc w:val="center"/>
              <w:rPr>
                <w:color w:val="000000"/>
                <w:szCs w:val="20"/>
                <w:lang w:eastAsia="pl-PL"/>
              </w:rPr>
            </w:pPr>
            <w:r w:rsidRPr="00D94B5E">
              <w:rPr>
                <w:color w:val="000000"/>
                <w:szCs w:val="20"/>
                <w:lang w:eastAsia="pl-PL"/>
              </w:rPr>
              <w:t>2021</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1D936E76" w14:textId="77777777" w:rsidR="00E54E14" w:rsidRPr="00D94B5E" w:rsidRDefault="00E54E14">
            <w:pPr>
              <w:spacing w:after="0"/>
              <w:jc w:val="center"/>
              <w:rPr>
                <w:color w:val="000000"/>
                <w:szCs w:val="20"/>
                <w:lang w:eastAsia="pl-PL"/>
              </w:rPr>
            </w:pPr>
            <w:r w:rsidRPr="00D94B5E">
              <w:rPr>
                <w:color w:val="000000"/>
                <w:szCs w:val="20"/>
                <w:lang w:eastAsia="pl-PL"/>
              </w:rPr>
              <w:t>2022</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3C016408" w14:textId="77777777" w:rsidR="00E54E14" w:rsidRPr="00D94B5E" w:rsidRDefault="00E54E14">
            <w:pPr>
              <w:spacing w:after="0"/>
              <w:jc w:val="center"/>
              <w:rPr>
                <w:color w:val="000000"/>
                <w:szCs w:val="20"/>
                <w:lang w:eastAsia="pl-PL"/>
              </w:rPr>
            </w:pPr>
            <w:r w:rsidRPr="00D94B5E">
              <w:rPr>
                <w:color w:val="000000"/>
                <w:szCs w:val="20"/>
                <w:lang w:eastAsia="pl-PL"/>
              </w:rPr>
              <w:t>2023</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1C676578" w14:textId="77777777" w:rsidR="00E54E14" w:rsidRPr="00D94B5E" w:rsidRDefault="00E54E14">
            <w:pPr>
              <w:spacing w:after="0"/>
              <w:jc w:val="center"/>
              <w:rPr>
                <w:color w:val="000000"/>
                <w:szCs w:val="20"/>
                <w:lang w:eastAsia="pl-PL"/>
              </w:rPr>
            </w:pPr>
            <w:r w:rsidRPr="00D94B5E">
              <w:rPr>
                <w:color w:val="000000"/>
                <w:szCs w:val="20"/>
                <w:lang w:eastAsia="pl-PL"/>
              </w:rPr>
              <w:t>2024</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14:paraId="45AC68E9" w14:textId="77777777" w:rsidR="00E54E14" w:rsidRPr="00D94B5E" w:rsidRDefault="00E54E14">
            <w:pPr>
              <w:spacing w:after="0"/>
              <w:jc w:val="center"/>
              <w:rPr>
                <w:color w:val="000000"/>
                <w:szCs w:val="20"/>
                <w:lang w:eastAsia="pl-PL"/>
              </w:rPr>
            </w:pPr>
            <w:r w:rsidRPr="00D94B5E">
              <w:rPr>
                <w:color w:val="000000"/>
                <w:szCs w:val="20"/>
                <w:lang w:eastAsia="pl-PL"/>
              </w:rPr>
              <w:t>2025</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14:paraId="024194F4" w14:textId="77777777" w:rsidR="00E54E14" w:rsidRPr="00D94B5E" w:rsidRDefault="00E54E14">
            <w:pPr>
              <w:spacing w:after="0"/>
              <w:jc w:val="center"/>
              <w:rPr>
                <w:color w:val="000000"/>
                <w:szCs w:val="20"/>
                <w:lang w:eastAsia="pl-PL"/>
              </w:rPr>
            </w:pPr>
            <w:r w:rsidRPr="00D94B5E">
              <w:rPr>
                <w:color w:val="000000"/>
                <w:szCs w:val="20"/>
                <w:lang w:eastAsia="pl-PL"/>
              </w:rPr>
              <w:t>2026</w:t>
            </w:r>
          </w:p>
        </w:tc>
        <w:tc>
          <w:tcPr>
            <w:tcW w:w="651" w:type="dxa"/>
            <w:tcBorders>
              <w:top w:val="single" w:sz="4" w:space="0" w:color="auto"/>
              <w:left w:val="single" w:sz="4" w:space="0" w:color="auto"/>
              <w:bottom w:val="single" w:sz="4" w:space="0" w:color="auto"/>
              <w:right w:val="single" w:sz="4" w:space="0" w:color="auto"/>
            </w:tcBorders>
            <w:vAlign w:val="center"/>
          </w:tcPr>
          <w:p w14:paraId="28FC141B" w14:textId="77777777" w:rsidR="00E54E14" w:rsidRPr="00D94B5E" w:rsidRDefault="00E54E14">
            <w:pPr>
              <w:spacing w:after="0"/>
              <w:jc w:val="center"/>
              <w:rPr>
                <w:color w:val="000000"/>
                <w:szCs w:val="20"/>
                <w:lang w:eastAsia="pl-PL"/>
              </w:rPr>
            </w:pPr>
            <w:r w:rsidRPr="00D94B5E">
              <w:rPr>
                <w:color w:val="000000"/>
                <w:szCs w:val="20"/>
                <w:lang w:eastAsia="pl-PL"/>
              </w:rPr>
              <w:t>2027</w:t>
            </w:r>
          </w:p>
        </w:tc>
        <w:tc>
          <w:tcPr>
            <w:tcW w:w="651" w:type="dxa"/>
            <w:tcBorders>
              <w:top w:val="single" w:sz="4" w:space="0" w:color="auto"/>
              <w:left w:val="single" w:sz="4" w:space="0" w:color="auto"/>
              <w:bottom w:val="single" w:sz="4" w:space="0" w:color="auto"/>
              <w:right w:val="single" w:sz="4" w:space="0" w:color="auto"/>
            </w:tcBorders>
            <w:vAlign w:val="center"/>
          </w:tcPr>
          <w:p w14:paraId="699C23E1" w14:textId="77777777" w:rsidR="00E54E14" w:rsidRPr="00D94B5E" w:rsidRDefault="00E54E14">
            <w:pPr>
              <w:spacing w:after="0"/>
              <w:jc w:val="center"/>
              <w:rPr>
                <w:color w:val="000000"/>
                <w:szCs w:val="20"/>
                <w:lang w:eastAsia="pl-PL"/>
              </w:rPr>
            </w:pPr>
            <w:r w:rsidRPr="00D94B5E">
              <w:rPr>
                <w:color w:val="000000"/>
                <w:szCs w:val="20"/>
                <w:lang w:eastAsia="pl-PL"/>
              </w:rPr>
              <w:t>2028</w:t>
            </w:r>
          </w:p>
        </w:tc>
        <w:tc>
          <w:tcPr>
            <w:tcW w:w="651" w:type="dxa"/>
            <w:tcBorders>
              <w:top w:val="single" w:sz="4" w:space="0" w:color="auto"/>
              <w:left w:val="single" w:sz="4" w:space="0" w:color="auto"/>
              <w:bottom w:val="single" w:sz="4" w:space="0" w:color="auto"/>
              <w:right w:val="single" w:sz="4" w:space="0" w:color="auto"/>
            </w:tcBorders>
            <w:vAlign w:val="center"/>
          </w:tcPr>
          <w:p w14:paraId="261957F1" w14:textId="77777777" w:rsidR="00E54E14" w:rsidRPr="00D94B5E" w:rsidRDefault="00E54E14">
            <w:pPr>
              <w:spacing w:after="0"/>
              <w:jc w:val="center"/>
              <w:rPr>
                <w:color w:val="000000"/>
                <w:szCs w:val="20"/>
                <w:lang w:eastAsia="pl-PL"/>
              </w:rPr>
            </w:pPr>
            <w:r w:rsidRPr="00D94B5E">
              <w:rPr>
                <w:color w:val="000000"/>
                <w:szCs w:val="20"/>
                <w:lang w:eastAsia="pl-PL"/>
              </w:rPr>
              <w:t>2029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F6CED" w14:textId="77777777" w:rsidR="00E54E14" w:rsidRPr="00D94B5E" w:rsidRDefault="00E54E14">
            <w:pPr>
              <w:spacing w:after="0"/>
              <w:jc w:val="center"/>
              <w:rPr>
                <w:color w:val="000000"/>
                <w:szCs w:val="20"/>
                <w:lang w:eastAsia="pl-PL"/>
              </w:rPr>
            </w:pPr>
            <w:r w:rsidRPr="00D94B5E">
              <w:rPr>
                <w:color w:val="000000"/>
                <w:szCs w:val="20"/>
                <w:lang w:eastAsia="pl-PL"/>
              </w:rPr>
              <w:t>2030</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298AA" w14:textId="77777777" w:rsidR="00E54E14" w:rsidRPr="00D94B5E" w:rsidRDefault="00E54E14">
            <w:pPr>
              <w:spacing w:after="0"/>
              <w:jc w:val="center"/>
              <w:rPr>
                <w:color w:val="000000"/>
                <w:szCs w:val="20"/>
                <w:lang w:eastAsia="pl-PL"/>
              </w:rPr>
            </w:pPr>
          </w:p>
        </w:tc>
      </w:tr>
      <w:tr w:rsidR="00E54E14" w:rsidRPr="00D94B5E" w14:paraId="296D4EB6" w14:textId="77777777">
        <w:trPr>
          <w:trHeight w:val="273"/>
        </w:trPr>
        <w:tc>
          <w:tcPr>
            <w:tcW w:w="1456" w:type="dxa"/>
            <w:vMerge w:val="restart"/>
            <w:tcBorders>
              <w:top w:val="nil"/>
              <w:left w:val="single" w:sz="4" w:space="0" w:color="auto"/>
              <w:right w:val="single" w:sz="4" w:space="0" w:color="auto"/>
            </w:tcBorders>
            <w:shd w:val="clear" w:color="auto" w:fill="auto"/>
            <w:vAlign w:val="center"/>
            <w:hideMark/>
          </w:tcPr>
          <w:p w14:paraId="7278922B" w14:textId="77777777" w:rsidR="00E54E14" w:rsidRPr="00D94B5E" w:rsidRDefault="00E54E14">
            <w:pPr>
              <w:spacing w:after="0"/>
              <w:jc w:val="center"/>
              <w:rPr>
                <w:color w:val="000000"/>
                <w:szCs w:val="20"/>
                <w:lang w:eastAsia="pl-PL"/>
              </w:rPr>
            </w:pPr>
            <w:r w:rsidRPr="00D94B5E">
              <w:rPr>
                <w:color w:val="000000"/>
                <w:szCs w:val="20"/>
                <w:lang w:eastAsia="pl-PL"/>
              </w:rPr>
              <w:t>Oszczędności końcowego zużycia energii (ktoe)</w:t>
            </w:r>
          </w:p>
        </w:tc>
        <w:tc>
          <w:tcPr>
            <w:tcW w:w="699" w:type="dxa"/>
            <w:tcBorders>
              <w:top w:val="nil"/>
              <w:left w:val="nil"/>
              <w:bottom w:val="single" w:sz="4" w:space="0" w:color="auto"/>
              <w:right w:val="single" w:sz="4" w:space="0" w:color="auto"/>
            </w:tcBorders>
            <w:shd w:val="clear" w:color="auto" w:fill="auto"/>
            <w:noWrap/>
            <w:vAlign w:val="center"/>
          </w:tcPr>
          <w:p w14:paraId="168C69D8"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23C53E70"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60F926A7"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514CB7F2"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0739B29B"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4B85A92B"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61B7ADB0"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5E8F1553"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3231E992"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A4667"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1473" w:type="dxa"/>
            <w:vMerge w:val="restart"/>
            <w:tcBorders>
              <w:top w:val="nil"/>
              <w:left w:val="single" w:sz="4" w:space="0" w:color="auto"/>
              <w:right w:val="single" w:sz="4" w:space="0" w:color="auto"/>
            </w:tcBorders>
            <w:shd w:val="clear" w:color="auto" w:fill="auto"/>
            <w:vAlign w:val="center"/>
            <w:hideMark/>
          </w:tcPr>
          <w:p w14:paraId="33CBB862" w14:textId="77777777" w:rsidR="00E54E14" w:rsidRPr="00D94B5E" w:rsidRDefault="00E54E14">
            <w:pPr>
              <w:spacing w:after="0"/>
              <w:jc w:val="center"/>
              <w:rPr>
                <w:color w:val="000000"/>
                <w:szCs w:val="20"/>
                <w:lang w:eastAsia="pl-PL"/>
              </w:rPr>
            </w:pPr>
            <w:r w:rsidRPr="00D94B5E">
              <w:rPr>
                <w:color w:val="000000"/>
                <w:szCs w:val="20"/>
                <w:lang w:eastAsia="pl-PL"/>
              </w:rPr>
              <w:t>Całkowite skumulowane oszczędności końcowego zużycia energii (do 2030)</w:t>
            </w:r>
          </w:p>
        </w:tc>
      </w:tr>
      <w:tr w:rsidR="00E54E14" w:rsidRPr="00D94B5E" w14:paraId="10E98585" w14:textId="77777777">
        <w:trPr>
          <w:trHeight w:val="273"/>
        </w:trPr>
        <w:tc>
          <w:tcPr>
            <w:tcW w:w="1456" w:type="dxa"/>
            <w:vMerge/>
            <w:tcBorders>
              <w:left w:val="single" w:sz="4" w:space="0" w:color="auto"/>
              <w:right w:val="single" w:sz="4" w:space="0" w:color="auto"/>
            </w:tcBorders>
            <w:shd w:val="clear" w:color="auto" w:fill="auto"/>
            <w:vAlign w:val="center"/>
            <w:hideMark/>
          </w:tcPr>
          <w:p w14:paraId="61715E0D" w14:textId="77777777" w:rsidR="00E54E14" w:rsidRPr="00D94B5E" w:rsidRDefault="00E54E14">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553212EE"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7D0D181D"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7A6300B3"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431ED015"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1021959E"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737575A8"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7C2FB520"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4D4479A5"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56FB93DE"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49F31"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shd w:val="clear" w:color="auto" w:fill="auto"/>
            <w:vAlign w:val="center"/>
            <w:hideMark/>
          </w:tcPr>
          <w:p w14:paraId="0B3BD1BA" w14:textId="77777777" w:rsidR="00E54E14" w:rsidRPr="00D94B5E" w:rsidRDefault="00E54E14">
            <w:pPr>
              <w:spacing w:after="0"/>
              <w:jc w:val="center"/>
              <w:rPr>
                <w:color w:val="000000"/>
                <w:szCs w:val="20"/>
                <w:lang w:eastAsia="pl-PL"/>
              </w:rPr>
            </w:pPr>
          </w:p>
        </w:tc>
      </w:tr>
      <w:tr w:rsidR="00E54E14" w:rsidRPr="00D94B5E" w14:paraId="029F98CD" w14:textId="77777777">
        <w:trPr>
          <w:trHeight w:val="273"/>
        </w:trPr>
        <w:tc>
          <w:tcPr>
            <w:tcW w:w="1456" w:type="dxa"/>
            <w:vMerge/>
            <w:tcBorders>
              <w:left w:val="single" w:sz="4" w:space="0" w:color="auto"/>
              <w:right w:val="single" w:sz="4" w:space="0" w:color="auto"/>
            </w:tcBorders>
            <w:shd w:val="clear" w:color="auto" w:fill="auto"/>
            <w:vAlign w:val="center"/>
            <w:hideMark/>
          </w:tcPr>
          <w:p w14:paraId="69B3F497" w14:textId="77777777" w:rsidR="00E54E14" w:rsidRPr="00D94B5E" w:rsidRDefault="00E54E14">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37BB2451"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216CFAA3"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6CD8166E"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38E16449"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39D114C5"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251691A6"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6DDE5D1A"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06A69972"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40596C93"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72C27"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shd w:val="clear" w:color="auto" w:fill="auto"/>
            <w:vAlign w:val="center"/>
            <w:hideMark/>
          </w:tcPr>
          <w:p w14:paraId="4555AB76" w14:textId="77777777" w:rsidR="00E54E14" w:rsidRPr="00D94B5E" w:rsidRDefault="00E54E14">
            <w:pPr>
              <w:spacing w:after="0"/>
              <w:jc w:val="center"/>
              <w:rPr>
                <w:color w:val="000000"/>
                <w:szCs w:val="20"/>
                <w:lang w:eastAsia="pl-PL"/>
              </w:rPr>
            </w:pPr>
          </w:p>
        </w:tc>
      </w:tr>
      <w:tr w:rsidR="00E54E14" w:rsidRPr="00D94B5E" w14:paraId="7082BD64" w14:textId="77777777">
        <w:trPr>
          <w:trHeight w:val="273"/>
        </w:trPr>
        <w:tc>
          <w:tcPr>
            <w:tcW w:w="1456" w:type="dxa"/>
            <w:vMerge/>
            <w:tcBorders>
              <w:left w:val="single" w:sz="4" w:space="0" w:color="auto"/>
              <w:right w:val="single" w:sz="4" w:space="0" w:color="auto"/>
            </w:tcBorders>
            <w:vAlign w:val="center"/>
            <w:hideMark/>
          </w:tcPr>
          <w:p w14:paraId="3FB59629" w14:textId="77777777" w:rsidR="00E54E14" w:rsidRPr="00D94B5E" w:rsidRDefault="00E54E14">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344E8AC0"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442DA8CA"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26B11A56"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734C1D9F"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4A19486F"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46FCA4EA"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single" w:sz="4" w:space="0" w:color="auto"/>
              <w:left w:val="single" w:sz="4" w:space="0" w:color="auto"/>
              <w:bottom w:val="single" w:sz="4" w:space="0" w:color="auto"/>
              <w:right w:val="single" w:sz="4" w:space="0" w:color="auto"/>
            </w:tcBorders>
            <w:vAlign w:val="center"/>
          </w:tcPr>
          <w:p w14:paraId="654F6FA2"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337A96C2"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00F66274"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BA4AE"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shd w:val="clear" w:color="auto" w:fill="auto"/>
            <w:vAlign w:val="center"/>
            <w:hideMark/>
          </w:tcPr>
          <w:p w14:paraId="305964F4" w14:textId="77777777" w:rsidR="00E54E14" w:rsidRPr="00D94B5E" w:rsidRDefault="00E54E14">
            <w:pPr>
              <w:spacing w:after="0"/>
              <w:jc w:val="center"/>
              <w:rPr>
                <w:color w:val="000000"/>
                <w:szCs w:val="20"/>
                <w:lang w:eastAsia="pl-PL"/>
              </w:rPr>
            </w:pPr>
          </w:p>
        </w:tc>
      </w:tr>
      <w:tr w:rsidR="00E54E14" w:rsidRPr="00D94B5E" w14:paraId="2003B564" w14:textId="77777777">
        <w:trPr>
          <w:trHeight w:val="273"/>
        </w:trPr>
        <w:tc>
          <w:tcPr>
            <w:tcW w:w="1456" w:type="dxa"/>
            <w:vMerge/>
            <w:tcBorders>
              <w:left w:val="single" w:sz="4" w:space="0" w:color="auto"/>
              <w:right w:val="single" w:sz="4" w:space="0" w:color="auto"/>
            </w:tcBorders>
            <w:vAlign w:val="center"/>
            <w:hideMark/>
          </w:tcPr>
          <w:p w14:paraId="62A8983B" w14:textId="77777777" w:rsidR="00E54E14" w:rsidRPr="00D94B5E" w:rsidRDefault="00E54E14">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78E4EB11"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011AF100"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019C505D"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bottom"/>
          </w:tcPr>
          <w:p w14:paraId="64C3BE93" w14:textId="77777777" w:rsidR="00E54E14" w:rsidRPr="00D94B5E" w:rsidRDefault="00E54E14">
            <w:pPr>
              <w:spacing w:after="0"/>
              <w:jc w:val="center"/>
              <w:rPr>
                <w:color w:val="000000"/>
                <w:szCs w:val="20"/>
                <w:lang w:eastAsia="pl-PL"/>
              </w:rPr>
            </w:pPr>
          </w:p>
        </w:tc>
        <w:tc>
          <w:tcPr>
            <w:tcW w:w="684" w:type="dxa"/>
            <w:tcBorders>
              <w:top w:val="nil"/>
              <w:left w:val="nil"/>
              <w:bottom w:val="single" w:sz="4" w:space="0" w:color="auto"/>
              <w:right w:val="single" w:sz="4" w:space="0" w:color="auto"/>
            </w:tcBorders>
            <w:shd w:val="clear" w:color="auto" w:fill="auto"/>
            <w:noWrap/>
            <w:vAlign w:val="center"/>
          </w:tcPr>
          <w:p w14:paraId="4472FAFC"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0A135E28"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240FD862"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0EECF5C1"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339CB1E6"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194A8"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vAlign w:val="center"/>
            <w:hideMark/>
          </w:tcPr>
          <w:p w14:paraId="4390AB2D" w14:textId="77777777" w:rsidR="00E54E14" w:rsidRPr="00D94B5E" w:rsidRDefault="00E54E14">
            <w:pPr>
              <w:spacing w:after="0"/>
              <w:jc w:val="center"/>
              <w:rPr>
                <w:color w:val="000000"/>
                <w:szCs w:val="20"/>
                <w:lang w:eastAsia="pl-PL"/>
              </w:rPr>
            </w:pPr>
          </w:p>
        </w:tc>
      </w:tr>
      <w:tr w:rsidR="00E54E14" w:rsidRPr="00D94B5E" w14:paraId="11BBA759" w14:textId="77777777">
        <w:trPr>
          <w:trHeight w:val="273"/>
        </w:trPr>
        <w:tc>
          <w:tcPr>
            <w:tcW w:w="1456" w:type="dxa"/>
            <w:vMerge/>
            <w:tcBorders>
              <w:left w:val="single" w:sz="4" w:space="0" w:color="auto"/>
              <w:right w:val="single" w:sz="4" w:space="0" w:color="auto"/>
            </w:tcBorders>
            <w:vAlign w:val="center"/>
            <w:hideMark/>
          </w:tcPr>
          <w:p w14:paraId="49528137" w14:textId="77777777" w:rsidR="00E54E14" w:rsidRPr="00D94B5E" w:rsidRDefault="00E54E14">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7D33E42F"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4AC5CAAC"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20FCFC08"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245D86B1"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84" w:type="dxa"/>
            <w:tcBorders>
              <w:top w:val="nil"/>
              <w:left w:val="nil"/>
              <w:bottom w:val="single" w:sz="4" w:space="0" w:color="auto"/>
              <w:right w:val="single" w:sz="4" w:space="0" w:color="auto"/>
            </w:tcBorders>
            <w:shd w:val="clear" w:color="auto" w:fill="auto"/>
            <w:noWrap/>
            <w:vAlign w:val="center"/>
          </w:tcPr>
          <w:p w14:paraId="3304E83A"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5E4DCE30"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69EBEE76"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1B281BB5"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6CBBA560"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43DAC"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shd w:val="clear" w:color="auto" w:fill="auto"/>
            <w:vAlign w:val="center"/>
            <w:hideMark/>
          </w:tcPr>
          <w:p w14:paraId="047EDB9C" w14:textId="77777777" w:rsidR="00E54E14" w:rsidRPr="00D94B5E" w:rsidRDefault="00E54E14">
            <w:pPr>
              <w:spacing w:after="0"/>
              <w:jc w:val="center"/>
              <w:rPr>
                <w:color w:val="000000"/>
                <w:szCs w:val="20"/>
                <w:lang w:eastAsia="pl-PL"/>
              </w:rPr>
            </w:pPr>
          </w:p>
        </w:tc>
      </w:tr>
      <w:tr w:rsidR="00E54E14" w:rsidRPr="00D94B5E" w14:paraId="26AAB7A0" w14:textId="77777777">
        <w:trPr>
          <w:trHeight w:val="273"/>
        </w:trPr>
        <w:tc>
          <w:tcPr>
            <w:tcW w:w="1456" w:type="dxa"/>
            <w:vMerge/>
            <w:tcBorders>
              <w:left w:val="single" w:sz="4" w:space="0" w:color="auto"/>
              <w:right w:val="single" w:sz="4" w:space="0" w:color="auto"/>
            </w:tcBorders>
            <w:vAlign w:val="center"/>
            <w:hideMark/>
          </w:tcPr>
          <w:p w14:paraId="670FB33B" w14:textId="77777777" w:rsidR="00E54E14" w:rsidRPr="00D94B5E" w:rsidRDefault="00E54E14">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605BDD96"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3F50A6B3"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1417E763"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741489F1"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52FCDF9B"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4A1B1D4B"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0D3F93E0"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5B18B2BE"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5D8E0FF8"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77AFB"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vAlign w:val="center"/>
            <w:hideMark/>
          </w:tcPr>
          <w:p w14:paraId="7005B983" w14:textId="77777777" w:rsidR="00E54E14" w:rsidRPr="00D94B5E" w:rsidRDefault="00E54E14">
            <w:pPr>
              <w:spacing w:after="0"/>
              <w:jc w:val="center"/>
              <w:rPr>
                <w:color w:val="000000"/>
                <w:szCs w:val="20"/>
                <w:lang w:eastAsia="pl-PL"/>
              </w:rPr>
            </w:pPr>
          </w:p>
        </w:tc>
      </w:tr>
      <w:tr w:rsidR="00E54E14" w:rsidRPr="00D94B5E" w14:paraId="0B89FB4F" w14:textId="77777777">
        <w:trPr>
          <w:trHeight w:val="273"/>
        </w:trPr>
        <w:tc>
          <w:tcPr>
            <w:tcW w:w="1456" w:type="dxa"/>
            <w:vMerge/>
            <w:tcBorders>
              <w:left w:val="single" w:sz="4" w:space="0" w:color="auto"/>
              <w:right w:val="single" w:sz="4" w:space="0" w:color="auto"/>
            </w:tcBorders>
            <w:vAlign w:val="center"/>
          </w:tcPr>
          <w:p w14:paraId="7E53314A" w14:textId="77777777" w:rsidR="00E54E14" w:rsidRPr="00D94B5E" w:rsidRDefault="00E54E14">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5896DE9D"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2EE71B42"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730D6DDE"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nil"/>
              <w:left w:val="nil"/>
              <w:bottom w:val="single" w:sz="4" w:space="0" w:color="auto"/>
              <w:right w:val="single" w:sz="4" w:space="0" w:color="auto"/>
            </w:tcBorders>
            <w:shd w:val="clear" w:color="auto" w:fill="auto"/>
            <w:noWrap/>
            <w:vAlign w:val="center"/>
          </w:tcPr>
          <w:p w14:paraId="653CD502"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69C49533"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359CBFD0"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597752D2"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51B12E56"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154B703D"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D8338"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vAlign w:val="center"/>
          </w:tcPr>
          <w:p w14:paraId="293FB185" w14:textId="77777777" w:rsidR="00E54E14" w:rsidRPr="00D94B5E" w:rsidRDefault="00E54E14">
            <w:pPr>
              <w:spacing w:after="0"/>
              <w:jc w:val="center"/>
              <w:rPr>
                <w:color w:val="000000"/>
                <w:szCs w:val="20"/>
                <w:lang w:eastAsia="pl-PL"/>
              </w:rPr>
            </w:pPr>
          </w:p>
        </w:tc>
      </w:tr>
      <w:tr w:rsidR="00E54E14" w:rsidRPr="00D94B5E" w14:paraId="5F9BF5F5" w14:textId="77777777">
        <w:trPr>
          <w:trHeight w:val="273"/>
        </w:trPr>
        <w:tc>
          <w:tcPr>
            <w:tcW w:w="1456" w:type="dxa"/>
            <w:vMerge/>
            <w:tcBorders>
              <w:left w:val="single" w:sz="4" w:space="0" w:color="auto"/>
              <w:right w:val="single" w:sz="4" w:space="0" w:color="auto"/>
            </w:tcBorders>
            <w:vAlign w:val="center"/>
          </w:tcPr>
          <w:p w14:paraId="477ABDD2" w14:textId="77777777" w:rsidR="00E54E14" w:rsidRPr="00D94B5E" w:rsidRDefault="00E54E14">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4AD0FD00" w14:textId="77777777" w:rsidR="00E54E14" w:rsidRPr="00D94B5E" w:rsidRDefault="00E54E14">
            <w:pPr>
              <w:spacing w:after="0"/>
              <w:jc w:val="center"/>
              <w:rPr>
                <w:color w:val="000000"/>
                <w:szCs w:val="20"/>
                <w:lang w:eastAsia="pl-PL"/>
              </w:rPr>
            </w:pPr>
            <w:r w:rsidRPr="00D94B5E">
              <w:rPr>
                <w:rFonts w:cs="Calibri"/>
                <w:color w:val="000000"/>
                <w:szCs w:val="20"/>
              </w:rPr>
              <w:t> </w:t>
            </w:r>
          </w:p>
        </w:tc>
        <w:tc>
          <w:tcPr>
            <w:tcW w:w="651" w:type="dxa"/>
            <w:tcBorders>
              <w:top w:val="nil"/>
              <w:left w:val="nil"/>
              <w:bottom w:val="single" w:sz="4" w:space="0" w:color="auto"/>
              <w:right w:val="single" w:sz="4" w:space="0" w:color="auto"/>
            </w:tcBorders>
            <w:shd w:val="clear" w:color="auto" w:fill="auto"/>
            <w:noWrap/>
            <w:vAlign w:val="center"/>
          </w:tcPr>
          <w:p w14:paraId="4E86CF6D"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nil"/>
              <w:left w:val="nil"/>
              <w:bottom w:val="single" w:sz="4" w:space="0" w:color="auto"/>
              <w:right w:val="single" w:sz="4" w:space="0" w:color="auto"/>
            </w:tcBorders>
            <w:shd w:val="clear" w:color="auto" w:fill="auto"/>
            <w:noWrap/>
            <w:vAlign w:val="center"/>
          </w:tcPr>
          <w:p w14:paraId="24D06E0D"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nil"/>
              <w:left w:val="nil"/>
              <w:bottom w:val="single" w:sz="4" w:space="0" w:color="auto"/>
              <w:right w:val="single" w:sz="4" w:space="0" w:color="auto"/>
            </w:tcBorders>
            <w:shd w:val="clear" w:color="auto" w:fill="auto"/>
            <w:noWrap/>
            <w:vAlign w:val="center"/>
          </w:tcPr>
          <w:p w14:paraId="6B1AC050"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7C50A3DC"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nil"/>
              <w:left w:val="nil"/>
              <w:bottom w:val="single" w:sz="4" w:space="0" w:color="auto"/>
              <w:right w:val="single" w:sz="4" w:space="0" w:color="auto"/>
            </w:tcBorders>
            <w:shd w:val="clear" w:color="auto" w:fill="auto"/>
            <w:noWrap/>
            <w:vAlign w:val="center"/>
          </w:tcPr>
          <w:p w14:paraId="3CAB3738"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0F722268"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289EB910"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51" w:type="dxa"/>
            <w:tcBorders>
              <w:top w:val="single" w:sz="4" w:space="0" w:color="auto"/>
              <w:left w:val="single" w:sz="4" w:space="0" w:color="auto"/>
              <w:bottom w:val="single" w:sz="4" w:space="0" w:color="auto"/>
              <w:right w:val="single" w:sz="4" w:space="0" w:color="auto"/>
            </w:tcBorders>
            <w:vAlign w:val="center"/>
          </w:tcPr>
          <w:p w14:paraId="6C2E6703"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2D3E0" w14:textId="77777777" w:rsidR="00E54E14" w:rsidRPr="00D94B5E" w:rsidRDefault="00E54E14">
            <w:pPr>
              <w:spacing w:after="0"/>
              <w:jc w:val="center"/>
              <w:rPr>
                <w:color w:val="000000"/>
                <w:szCs w:val="20"/>
                <w:lang w:eastAsia="pl-PL"/>
              </w:rPr>
            </w:pPr>
            <w:r w:rsidRPr="00D94B5E">
              <w:rPr>
                <w:rFonts w:cs="Calibri"/>
                <w:color w:val="000000"/>
                <w:szCs w:val="20"/>
              </w:rPr>
              <w:t>6</w:t>
            </w:r>
          </w:p>
        </w:tc>
        <w:tc>
          <w:tcPr>
            <w:tcW w:w="1473" w:type="dxa"/>
            <w:vMerge/>
            <w:tcBorders>
              <w:left w:val="single" w:sz="4" w:space="0" w:color="auto"/>
              <w:right w:val="single" w:sz="4" w:space="0" w:color="auto"/>
            </w:tcBorders>
            <w:vAlign w:val="center"/>
          </w:tcPr>
          <w:p w14:paraId="77F726E4" w14:textId="77777777" w:rsidR="00E54E14" w:rsidRPr="00D94B5E" w:rsidRDefault="00E54E14">
            <w:pPr>
              <w:spacing w:after="0"/>
              <w:jc w:val="center"/>
              <w:rPr>
                <w:color w:val="000000"/>
                <w:szCs w:val="20"/>
                <w:lang w:eastAsia="pl-PL"/>
              </w:rPr>
            </w:pPr>
          </w:p>
        </w:tc>
      </w:tr>
      <w:tr w:rsidR="00E54E14" w:rsidRPr="00D94B5E" w14:paraId="19252484" w14:textId="77777777">
        <w:trPr>
          <w:trHeight w:val="273"/>
        </w:trPr>
        <w:tc>
          <w:tcPr>
            <w:tcW w:w="1456" w:type="dxa"/>
            <w:vMerge/>
            <w:tcBorders>
              <w:left w:val="single" w:sz="4" w:space="0" w:color="auto"/>
              <w:bottom w:val="single" w:sz="4" w:space="0" w:color="auto"/>
              <w:right w:val="single" w:sz="4" w:space="0" w:color="auto"/>
            </w:tcBorders>
            <w:vAlign w:val="center"/>
          </w:tcPr>
          <w:p w14:paraId="7D379F07" w14:textId="77777777" w:rsidR="00E54E14" w:rsidRPr="00D94B5E" w:rsidRDefault="00E54E14">
            <w:pPr>
              <w:spacing w:after="0"/>
              <w:jc w:val="center"/>
              <w:rPr>
                <w:color w:val="000000"/>
                <w:szCs w:val="20"/>
                <w:lang w:eastAsia="pl-PL"/>
              </w:rPr>
            </w:pPr>
          </w:p>
        </w:tc>
        <w:tc>
          <w:tcPr>
            <w:tcW w:w="699" w:type="dxa"/>
            <w:tcBorders>
              <w:top w:val="nil"/>
              <w:left w:val="nil"/>
              <w:bottom w:val="single" w:sz="4" w:space="0" w:color="auto"/>
              <w:right w:val="single" w:sz="4" w:space="0" w:color="auto"/>
            </w:tcBorders>
            <w:shd w:val="clear" w:color="auto" w:fill="auto"/>
            <w:noWrap/>
            <w:vAlign w:val="center"/>
          </w:tcPr>
          <w:p w14:paraId="59DCC661" w14:textId="77777777" w:rsidR="00E54E14" w:rsidRPr="00D94B5E" w:rsidRDefault="00E54E14">
            <w:pPr>
              <w:spacing w:after="0"/>
              <w:jc w:val="center"/>
              <w:rPr>
                <w:color w:val="000000"/>
                <w:szCs w:val="20"/>
                <w:lang w:eastAsia="pl-PL"/>
              </w:rPr>
            </w:pPr>
            <w:r w:rsidRPr="00D94B5E">
              <w:rPr>
                <w:rFonts w:cs="Calibri"/>
                <w:color w:val="000000"/>
                <w:szCs w:val="20"/>
              </w:rPr>
              <w:t>0</w:t>
            </w:r>
          </w:p>
        </w:tc>
        <w:tc>
          <w:tcPr>
            <w:tcW w:w="651" w:type="dxa"/>
            <w:tcBorders>
              <w:top w:val="nil"/>
              <w:left w:val="nil"/>
              <w:bottom w:val="single" w:sz="4" w:space="0" w:color="auto"/>
              <w:right w:val="single" w:sz="4" w:space="0" w:color="auto"/>
            </w:tcBorders>
            <w:shd w:val="clear" w:color="auto" w:fill="auto"/>
            <w:noWrap/>
            <w:vAlign w:val="center"/>
          </w:tcPr>
          <w:p w14:paraId="05B35461" w14:textId="77777777" w:rsidR="00E54E14" w:rsidRPr="00D94B5E" w:rsidRDefault="00E54E14">
            <w:pPr>
              <w:spacing w:after="0"/>
              <w:jc w:val="center"/>
              <w:rPr>
                <w:color w:val="000000"/>
                <w:szCs w:val="20"/>
                <w:lang w:eastAsia="pl-PL"/>
              </w:rPr>
            </w:pPr>
            <w:r w:rsidRPr="00D94B5E">
              <w:rPr>
                <w:rFonts w:cs="Calibri"/>
                <w:color w:val="000000"/>
                <w:szCs w:val="20"/>
              </w:rPr>
              <w:t>0</w:t>
            </w:r>
          </w:p>
        </w:tc>
        <w:tc>
          <w:tcPr>
            <w:tcW w:w="651" w:type="dxa"/>
            <w:tcBorders>
              <w:top w:val="nil"/>
              <w:left w:val="nil"/>
              <w:bottom w:val="single" w:sz="4" w:space="0" w:color="auto"/>
              <w:right w:val="single" w:sz="4" w:space="0" w:color="auto"/>
            </w:tcBorders>
            <w:shd w:val="clear" w:color="auto" w:fill="auto"/>
            <w:noWrap/>
            <w:vAlign w:val="center"/>
          </w:tcPr>
          <w:p w14:paraId="4BB8B83F" w14:textId="77777777" w:rsidR="00E54E14" w:rsidRPr="00D94B5E" w:rsidRDefault="00E54E14">
            <w:pPr>
              <w:spacing w:after="0"/>
              <w:jc w:val="center"/>
              <w:rPr>
                <w:color w:val="000000"/>
                <w:szCs w:val="20"/>
                <w:lang w:eastAsia="pl-PL"/>
              </w:rPr>
            </w:pPr>
            <w:r w:rsidRPr="00D94B5E">
              <w:rPr>
                <w:rFonts w:cs="Calibri"/>
                <w:color w:val="000000"/>
                <w:szCs w:val="20"/>
              </w:rPr>
              <w:t>0</w:t>
            </w:r>
          </w:p>
        </w:tc>
        <w:tc>
          <w:tcPr>
            <w:tcW w:w="651" w:type="dxa"/>
            <w:tcBorders>
              <w:top w:val="nil"/>
              <w:left w:val="nil"/>
              <w:bottom w:val="single" w:sz="4" w:space="0" w:color="auto"/>
              <w:right w:val="single" w:sz="4" w:space="0" w:color="auto"/>
            </w:tcBorders>
            <w:shd w:val="clear" w:color="auto" w:fill="auto"/>
            <w:noWrap/>
            <w:vAlign w:val="center"/>
          </w:tcPr>
          <w:p w14:paraId="08812CC5" w14:textId="77777777" w:rsidR="00E54E14" w:rsidRPr="00D94B5E" w:rsidRDefault="00E54E14">
            <w:pPr>
              <w:spacing w:after="0"/>
              <w:jc w:val="center"/>
              <w:rPr>
                <w:color w:val="000000"/>
                <w:szCs w:val="20"/>
                <w:lang w:eastAsia="pl-PL"/>
              </w:rPr>
            </w:pPr>
            <w:r w:rsidRPr="00D94B5E">
              <w:rPr>
                <w:rFonts w:cs="Calibri"/>
                <w:color w:val="000000"/>
                <w:szCs w:val="20"/>
              </w:rPr>
              <w:t>0</w:t>
            </w:r>
          </w:p>
        </w:tc>
        <w:tc>
          <w:tcPr>
            <w:tcW w:w="684" w:type="dxa"/>
            <w:tcBorders>
              <w:top w:val="nil"/>
              <w:left w:val="nil"/>
              <w:bottom w:val="single" w:sz="4" w:space="0" w:color="auto"/>
              <w:right w:val="single" w:sz="4" w:space="0" w:color="auto"/>
            </w:tcBorders>
            <w:shd w:val="clear" w:color="auto" w:fill="auto"/>
            <w:noWrap/>
            <w:vAlign w:val="center"/>
          </w:tcPr>
          <w:p w14:paraId="5E9F39E9" w14:textId="77777777" w:rsidR="00E54E14" w:rsidRPr="00D94B5E" w:rsidRDefault="00E54E14">
            <w:pPr>
              <w:spacing w:after="0"/>
              <w:jc w:val="center"/>
              <w:rPr>
                <w:color w:val="000000"/>
                <w:szCs w:val="20"/>
                <w:lang w:eastAsia="pl-PL"/>
              </w:rPr>
            </w:pPr>
            <w:r w:rsidRPr="00D94B5E">
              <w:rPr>
                <w:rFonts w:cs="Calibri"/>
                <w:color w:val="000000"/>
                <w:szCs w:val="20"/>
              </w:rPr>
              <w:t>0</w:t>
            </w:r>
          </w:p>
        </w:tc>
        <w:tc>
          <w:tcPr>
            <w:tcW w:w="684" w:type="dxa"/>
            <w:tcBorders>
              <w:top w:val="nil"/>
              <w:left w:val="nil"/>
              <w:bottom w:val="single" w:sz="4" w:space="0" w:color="auto"/>
              <w:right w:val="single" w:sz="4" w:space="0" w:color="auto"/>
            </w:tcBorders>
            <w:shd w:val="clear" w:color="auto" w:fill="auto"/>
            <w:noWrap/>
            <w:vAlign w:val="center"/>
          </w:tcPr>
          <w:p w14:paraId="1D7D9044" w14:textId="77777777" w:rsidR="00E54E14" w:rsidRPr="00D94B5E" w:rsidRDefault="00E54E14">
            <w:pPr>
              <w:spacing w:after="0"/>
              <w:jc w:val="center"/>
              <w:rPr>
                <w:color w:val="000000"/>
                <w:szCs w:val="20"/>
                <w:lang w:eastAsia="pl-PL"/>
              </w:rPr>
            </w:pPr>
            <w:r w:rsidRPr="00D94B5E">
              <w:rPr>
                <w:rFonts w:cs="Calibri"/>
                <w:color w:val="000000"/>
                <w:szCs w:val="20"/>
              </w:rPr>
              <w:t>0</w:t>
            </w:r>
          </w:p>
        </w:tc>
        <w:tc>
          <w:tcPr>
            <w:tcW w:w="651" w:type="dxa"/>
            <w:tcBorders>
              <w:top w:val="single" w:sz="4" w:space="0" w:color="auto"/>
              <w:left w:val="single" w:sz="4" w:space="0" w:color="auto"/>
              <w:bottom w:val="single" w:sz="4" w:space="0" w:color="auto"/>
              <w:right w:val="single" w:sz="4" w:space="0" w:color="auto"/>
            </w:tcBorders>
            <w:vAlign w:val="center"/>
          </w:tcPr>
          <w:p w14:paraId="75143467" w14:textId="77777777" w:rsidR="00E54E14" w:rsidRPr="00D94B5E" w:rsidRDefault="00E54E14">
            <w:pPr>
              <w:spacing w:after="0"/>
              <w:jc w:val="center"/>
              <w:rPr>
                <w:color w:val="000000"/>
                <w:szCs w:val="20"/>
                <w:lang w:eastAsia="pl-PL"/>
              </w:rPr>
            </w:pPr>
            <w:r w:rsidRPr="00D94B5E">
              <w:rPr>
                <w:rFonts w:cs="Calibri"/>
                <w:color w:val="000000"/>
                <w:szCs w:val="20"/>
              </w:rPr>
              <w:t>0</w:t>
            </w:r>
          </w:p>
        </w:tc>
        <w:tc>
          <w:tcPr>
            <w:tcW w:w="651" w:type="dxa"/>
            <w:tcBorders>
              <w:top w:val="single" w:sz="4" w:space="0" w:color="auto"/>
              <w:left w:val="single" w:sz="4" w:space="0" w:color="auto"/>
              <w:bottom w:val="single" w:sz="4" w:space="0" w:color="auto"/>
              <w:right w:val="single" w:sz="4" w:space="0" w:color="auto"/>
            </w:tcBorders>
            <w:vAlign w:val="center"/>
          </w:tcPr>
          <w:p w14:paraId="232B39FF" w14:textId="77777777" w:rsidR="00E54E14" w:rsidRPr="00D94B5E" w:rsidRDefault="00E54E14">
            <w:pPr>
              <w:spacing w:after="0"/>
              <w:jc w:val="center"/>
              <w:rPr>
                <w:color w:val="000000"/>
                <w:szCs w:val="20"/>
                <w:lang w:eastAsia="pl-PL"/>
              </w:rPr>
            </w:pPr>
            <w:r w:rsidRPr="00D94B5E">
              <w:rPr>
                <w:rFonts w:cs="Calibri"/>
                <w:color w:val="000000"/>
                <w:szCs w:val="20"/>
              </w:rPr>
              <w:t>0</w:t>
            </w:r>
          </w:p>
        </w:tc>
        <w:tc>
          <w:tcPr>
            <w:tcW w:w="651" w:type="dxa"/>
            <w:tcBorders>
              <w:top w:val="single" w:sz="4" w:space="0" w:color="auto"/>
              <w:left w:val="single" w:sz="4" w:space="0" w:color="auto"/>
              <w:bottom w:val="single" w:sz="4" w:space="0" w:color="auto"/>
              <w:right w:val="single" w:sz="4" w:space="0" w:color="auto"/>
            </w:tcBorders>
            <w:vAlign w:val="center"/>
          </w:tcPr>
          <w:p w14:paraId="4C5CB8BD" w14:textId="77777777" w:rsidR="00E54E14" w:rsidRPr="00D94B5E" w:rsidRDefault="00E54E14">
            <w:pPr>
              <w:spacing w:after="0"/>
              <w:jc w:val="center"/>
              <w:rPr>
                <w:color w:val="000000"/>
                <w:szCs w:val="20"/>
                <w:lang w:eastAsia="pl-PL"/>
              </w:rPr>
            </w:pPr>
            <w:r w:rsidRPr="00D94B5E">
              <w:rPr>
                <w:rFonts w:cs="Calibri"/>
                <w:color w:val="000000"/>
                <w:szCs w:val="20"/>
              </w:rPr>
              <w:t>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800FB" w14:textId="77777777" w:rsidR="00E54E14" w:rsidRPr="00D94B5E" w:rsidRDefault="00E54E14">
            <w:pPr>
              <w:spacing w:after="0"/>
              <w:jc w:val="center"/>
              <w:rPr>
                <w:color w:val="000000"/>
                <w:szCs w:val="20"/>
                <w:lang w:eastAsia="pl-PL"/>
              </w:rPr>
            </w:pPr>
            <w:r w:rsidRPr="00D94B5E">
              <w:rPr>
                <w:rFonts w:cs="Calibri"/>
                <w:color w:val="000000"/>
                <w:szCs w:val="20"/>
              </w:rPr>
              <w:t>0</w:t>
            </w:r>
          </w:p>
        </w:tc>
        <w:tc>
          <w:tcPr>
            <w:tcW w:w="1473" w:type="dxa"/>
            <w:vMerge/>
            <w:tcBorders>
              <w:left w:val="single" w:sz="4" w:space="0" w:color="auto"/>
              <w:bottom w:val="single" w:sz="4" w:space="0" w:color="auto"/>
              <w:right w:val="single" w:sz="4" w:space="0" w:color="auto"/>
            </w:tcBorders>
            <w:vAlign w:val="center"/>
          </w:tcPr>
          <w:p w14:paraId="45BA5A40" w14:textId="77777777" w:rsidR="00E54E14" w:rsidRPr="00D94B5E" w:rsidRDefault="00E54E14">
            <w:pPr>
              <w:spacing w:after="0"/>
              <w:jc w:val="center"/>
              <w:rPr>
                <w:color w:val="000000"/>
                <w:szCs w:val="20"/>
                <w:lang w:eastAsia="pl-PL"/>
              </w:rPr>
            </w:pPr>
          </w:p>
        </w:tc>
      </w:tr>
      <w:tr w:rsidR="00E54E14" w:rsidRPr="00D94B5E" w14:paraId="50338036" w14:textId="77777777">
        <w:trPr>
          <w:trHeight w:val="273"/>
        </w:trPr>
        <w:tc>
          <w:tcPr>
            <w:tcW w:w="1456" w:type="dxa"/>
            <w:tcBorders>
              <w:top w:val="nil"/>
              <w:left w:val="single" w:sz="4" w:space="0" w:color="auto"/>
              <w:bottom w:val="single" w:sz="4" w:space="0" w:color="auto"/>
              <w:right w:val="single" w:sz="4" w:space="0" w:color="auto"/>
            </w:tcBorders>
            <w:shd w:val="clear" w:color="auto" w:fill="auto"/>
            <w:noWrap/>
            <w:vAlign w:val="center"/>
            <w:hideMark/>
          </w:tcPr>
          <w:p w14:paraId="40F69892" w14:textId="77777777" w:rsidR="00E54E14" w:rsidRPr="00D94B5E" w:rsidRDefault="00E54E14">
            <w:pPr>
              <w:spacing w:after="0"/>
              <w:jc w:val="center"/>
              <w:rPr>
                <w:color w:val="000000"/>
                <w:szCs w:val="20"/>
                <w:lang w:eastAsia="pl-PL"/>
              </w:rPr>
            </w:pPr>
            <w:r w:rsidRPr="00D94B5E">
              <w:rPr>
                <w:color w:val="000000"/>
                <w:szCs w:val="20"/>
                <w:lang w:eastAsia="pl-PL"/>
              </w:rPr>
              <w:t>Razem (ktoe)</w:t>
            </w:r>
          </w:p>
        </w:tc>
        <w:tc>
          <w:tcPr>
            <w:tcW w:w="699" w:type="dxa"/>
            <w:tcBorders>
              <w:top w:val="nil"/>
              <w:left w:val="nil"/>
              <w:bottom w:val="single" w:sz="4" w:space="0" w:color="auto"/>
              <w:right w:val="single" w:sz="4" w:space="0" w:color="auto"/>
            </w:tcBorders>
            <w:shd w:val="clear" w:color="auto" w:fill="auto"/>
            <w:noWrap/>
            <w:vAlign w:val="center"/>
          </w:tcPr>
          <w:p w14:paraId="4F47F0DB" w14:textId="77777777" w:rsidR="00E54E14" w:rsidRPr="00D94B5E" w:rsidRDefault="00E54E14">
            <w:pPr>
              <w:spacing w:after="0"/>
              <w:jc w:val="center"/>
              <w:rPr>
                <w:b/>
                <w:bCs/>
                <w:color w:val="000000"/>
                <w:szCs w:val="20"/>
                <w:lang w:eastAsia="pl-PL"/>
              </w:rPr>
            </w:pPr>
            <w:r w:rsidRPr="00D94B5E">
              <w:rPr>
                <w:rFonts w:cs="Calibri"/>
                <w:b/>
                <w:bCs/>
                <w:color w:val="000000"/>
                <w:szCs w:val="20"/>
              </w:rPr>
              <w:t>0</w:t>
            </w:r>
          </w:p>
        </w:tc>
        <w:tc>
          <w:tcPr>
            <w:tcW w:w="651" w:type="dxa"/>
            <w:tcBorders>
              <w:top w:val="nil"/>
              <w:left w:val="nil"/>
              <w:bottom w:val="single" w:sz="4" w:space="0" w:color="auto"/>
              <w:right w:val="single" w:sz="4" w:space="0" w:color="auto"/>
            </w:tcBorders>
            <w:shd w:val="clear" w:color="auto" w:fill="auto"/>
            <w:noWrap/>
            <w:vAlign w:val="center"/>
          </w:tcPr>
          <w:p w14:paraId="15EFD6E8" w14:textId="77777777" w:rsidR="00E54E14" w:rsidRPr="00D94B5E" w:rsidRDefault="00E54E14">
            <w:pPr>
              <w:spacing w:after="0"/>
              <w:jc w:val="center"/>
              <w:rPr>
                <w:b/>
                <w:bCs/>
                <w:color w:val="000000"/>
                <w:szCs w:val="20"/>
                <w:lang w:eastAsia="pl-PL"/>
              </w:rPr>
            </w:pPr>
            <w:r w:rsidRPr="00D94B5E">
              <w:rPr>
                <w:rFonts w:cs="Calibri"/>
                <w:b/>
                <w:bCs/>
                <w:color w:val="000000"/>
                <w:szCs w:val="20"/>
              </w:rPr>
              <w:t>6</w:t>
            </w:r>
          </w:p>
        </w:tc>
        <w:tc>
          <w:tcPr>
            <w:tcW w:w="651" w:type="dxa"/>
            <w:tcBorders>
              <w:top w:val="nil"/>
              <w:left w:val="nil"/>
              <w:bottom w:val="single" w:sz="4" w:space="0" w:color="auto"/>
              <w:right w:val="single" w:sz="4" w:space="0" w:color="auto"/>
            </w:tcBorders>
            <w:shd w:val="clear" w:color="auto" w:fill="auto"/>
            <w:noWrap/>
            <w:vAlign w:val="center"/>
          </w:tcPr>
          <w:p w14:paraId="2D14317D" w14:textId="77777777" w:rsidR="00E54E14" w:rsidRPr="00D94B5E" w:rsidRDefault="00E54E14">
            <w:pPr>
              <w:spacing w:after="0"/>
              <w:jc w:val="center"/>
              <w:rPr>
                <w:b/>
                <w:bCs/>
                <w:color w:val="000000"/>
                <w:szCs w:val="20"/>
                <w:lang w:eastAsia="pl-PL"/>
              </w:rPr>
            </w:pPr>
            <w:r w:rsidRPr="00D94B5E">
              <w:rPr>
                <w:rFonts w:cs="Calibri"/>
                <w:b/>
                <w:bCs/>
                <w:color w:val="000000"/>
                <w:szCs w:val="20"/>
              </w:rPr>
              <w:t>12</w:t>
            </w:r>
          </w:p>
        </w:tc>
        <w:tc>
          <w:tcPr>
            <w:tcW w:w="651" w:type="dxa"/>
            <w:tcBorders>
              <w:top w:val="nil"/>
              <w:left w:val="nil"/>
              <w:bottom w:val="single" w:sz="4" w:space="0" w:color="auto"/>
              <w:right w:val="single" w:sz="4" w:space="0" w:color="auto"/>
            </w:tcBorders>
            <w:shd w:val="clear" w:color="auto" w:fill="auto"/>
            <w:noWrap/>
            <w:vAlign w:val="center"/>
          </w:tcPr>
          <w:p w14:paraId="7ABB4C84" w14:textId="77777777" w:rsidR="00E54E14" w:rsidRPr="00D94B5E" w:rsidRDefault="00E54E14">
            <w:pPr>
              <w:spacing w:after="0"/>
              <w:jc w:val="center"/>
              <w:rPr>
                <w:b/>
                <w:bCs/>
                <w:color w:val="000000"/>
                <w:szCs w:val="20"/>
                <w:lang w:eastAsia="pl-PL"/>
              </w:rPr>
            </w:pPr>
            <w:r w:rsidRPr="00D94B5E">
              <w:rPr>
                <w:rFonts w:cs="Calibri"/>
                <w:b/>
                <w:bCs/>
                <w:color w:val="000000"/>
                <w:szCs w:val="20"/>
              </w:rPr>
              <w:t>18</w:t>
            </w:r>
          </w:p>
        </w:tc>
        <w:tc>
          <w:tcPr>
            <w:tcW w:w="684" w:type="dxa"/>
            <w:tcBorders>
              <w:top w:val="nil"/>
              <w:left w:val="nil"/>
              <w:bottom w:val="single" w:sz="4" w:space="0" w:color="auto"/>
              <w:right w:val="single" w:sz="4" w:space="0" w:color="auto"/>
            </w:tcBorders>
            <w:shd w:val="clear" w:color="auto" w:fill="auto"/>
            <w:noWrap/>
            <w:vAlign w:val="center"/>
          </w:tcPr>
          <w:p w14:paraId="7E73686C" w14:textId="77777777" w:rsidR="00E54E14" w:rsidRPr="00D94B5E" w:rsidRDefault="00E54E14">
            <w:pPr>
              <w:spacing w:after="0"/>
              <w:jc w:val="center"/>
              <w:rPr>
                <w:b/>
                <w:bCs/>
                <w:color w:val="000000"/>
                <w:szCs w:val="20"/>
                <w:lang w:eastAsia="pl-PL"/>
              </w:rPr>
            </w:pPr>
            <w:r w:rsidRPr="00D94B5E">
              <w:rPr>
                <w:rFonts w:cs="Calibri"/>
                <w:b/>
                <w:bCs/>
                <w:color w:val="000000"/>
                <w:szCs w:val="20"/>
              </w:rPr>
              <w:t>24</w:t>
            </w:r>
          </w:p>
        </w:tc>
        <w:tc>
          <w:tcPr>
            <w:tcW w:w="684" w:type="dxa"/>
            <w:tcBorders>
              <w:top w:val="nil"/>
              <w:left w:val="nil"/>
              <w:bottom w:val="single" w:sz="4" w:space="0" w:color="auto"/>
              <w:right w:val="single" w:sz="4" w:space="0" w:color="auto"/>
            </w:tcBorders>
            <w:shd w:val="clear" w:color="auto" w:fill="auto"/>
            <w:noWrap/>
            <w:vAlign w:val="center"/>
          </w:tcPr>
          <w:p w14:paraId="2C79FCD5" w14:textId="77777777" w:rsidR="00E54E14" w:rsidRPr="00D94B5E" w:rsidRDefault="00E54E14">
            <w:pPr>
              <w:spacing w:after="0"/>
              <w:jc w:val="center"/>
              <w:rPr>
                <w:b/>
                <w:bCs/>
                <w:color w:val="000000"/>
                <w:szCs w:val="20"/>
                <w:lang w:eastAsia="pl-PL"/>
              </w:rPr>
            </w:pPr>
            <w:r w:rsidRPr="00D94B5E">
              <w:rPr>
                <w:rFonts w:cs="Calibri"/>
                <w:b/>
                <w:bCs/>
                <w:color w:val="000000"/>
                <w:szCs w:val="20"/>
              </w:rPr>
              <w:t>30</w:t>
            </w:r>
          </w:p>
        </w:tc>
        <w:tc>
          <w:tcPr>
            <w:tcW w:w="651" w:type="dxa"/>
            <w:tcBorders>
              <w:top w:val="single" w:sz="4" w:space="0" w:color="auto"/>
              <w:left w:val="single" w:sz="4" w:space="0" w:color="auto"/>
              <w:bottom w:val="single" w:sz="4" w:space="0" w:color="auto"/>
              <w:right w:val="single" w:sz="4" w:space="0" w:color="auto"/>
            </w:tcBorders>
            <w:vAlign w:val="center"/>
          </w:tcPr>
          <w:p w14:paraId="5EE54C1F" w14:textId="77777777" w:rsidR="00E54E14" w:rsidRPr="00D94B5E" w:rsidRDefault="00E54E14">
            <w:pPr>
              <w:spacing w:after="0"/>
              <w:jc w:val="center"/>
              <w:rPr>
                <w:b/>
                <w:bCs/>
                <w:color w:val="000000"/>
                <w:szCs w:val="20"/>
                <w:lang w:eastAsia="pl-PL"/>
              </w:rPr>
            </w:pPr>
            <w:r w:rsidRPr="00D94B5E">
              <w:rPr>
                <w:rFonts w:cs="Calibri"/>
                <w:b/>
                <w:bCs/>
                <w:color w:val="000000"/>
                <w:szCs w:val="20"/>
              </w:rPr>
              <w:t>36</w:t>
            </w:r>
          </w:p>
        </w:tc>
        <w:tc>
          <w:tcPr>
            <w:tcW w:w="651" w:type="dxa"/>
            <w:tcBorders>
              <w:top w:val="single" w:sz="4" w:space="0" w:color="auto"/>
              <w:left w:val="single" w:sz="4" w:space="0" w:color="auto"/>
              <w:bottom w:val="single" w:sz="4" w:space="0" w:color="auto"/>
              <w:right w:val="single" w:sz="4" w:space="0" w:color="auto"/>
            </w:tcBorders>
            <w:vAlign w:val="center"/>
          </w:tcPr>
          <w:p w14:paraId="1DA62BD0" w14:textId="77777777" w:rsidR="00E54E14" w:rsidRPr="00D94B5E" w:rsidRDefault="00E54E14">
            <w:pPr>
              <w:spacing w:after="0"/>
              <w:jc w:val="center"/>
              <w:rPr>
                <w:b/>
                <w:bCs/>
                <w:color w:val="000000"/>
                <w:szCs w:val="20"/>
                <w:lang w:eastAsia="pl-PL"/>
              </w:rPr>
            </w:pPr>
            <w:r w:rsidRPr="00D94B5E">
              <w:rPr>
                <w:rFonts w:cs="Calibri"/>
                <w:b/>
                <w:bCs/>
                <w:color w:val="000000"/>
                <w:szCs w:val="20"/>
              </w:rPr>
              <w:t>42</w:t>
            </w:r>
          </w:p>
        </w:tc>
        <w:tc>
          <w:tcPr>
            <w:tcW w:w="651" w:type="dxa"/>
            <w:tcBorders>
              <w:top w:val="single" w:sz="4" w:space="0" w:color="auto"/>
              <w:left w:val="single" w:sz="4" w:space="0" w:color="auto"/>
              <w:bottom w:val="single" w:sz="4" w:space="0" w:color="auto"/>
              <w:right w:val="single" w:sz="4" w:space="0" w:color="auto"/>
            </w:tcBorders>
            <w:vAlign w:val="center"/>
          </w:tcPr>
          <w:p w14:paraId="0AEB8948" w14:textId="77777777" w:rsidR="00E54E14" w:rsidRPr="00D94B5E" w:rsidRDefault="00E54E14">
            <w:pPr>
              <w:spacing w:after="0"/>
              <w:jc w:val="center"/>
              <w:rPr>
                <w:b/>
                <w:bCs/>
                <w:color w:val="000000"/>
                <w:szCs w:val="20"/>
                <w:lang w:eastAsia="pl-PL"/>
              </w:rPr>
            </w:pPr>
            <w:r w:rsidRPr="00D94B5E">
              <w:rPr>
                <w:rFonts w:cs="Calibri"/>
                <w:b/>
                <w:bCs/>
                <w:color w:val="000000"/>
                <w:szCs w:val="20"/>
              </w:rPr>
              <w:t>48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E43E9" w14:textId="77777777" w:rsidR="00E54E14" w:rsidRPr="00D94B5E" w:rsidRDefault="00E54E14">
            <w:pPr>
              <w:spacing w:after="0"/>
              <w:jc w:val="center"/>
              <w:rPr>
                <w:b/>
                <w:bCs/>
                <w:color w:val="000000"/>
                <w:szCs w:val="20"/>
                <w:lang w:eastAsia="pl-PL"/>
              </w:rPr>
            </w:pPr>
            <w:r w:rsidRPr="00D94B5E">
              <w:rPr>
                <w:rFonts w:cs="Calibri"/>
                <w:b/>
                <w:bCs/>
                <w:color w:val="000000"/>
                <w:szCs w:val="20"/>
              </w:rPr>
              <w:t>54</w:t>
            </w:r>
          </w:p>
        </w:tc>
        <w:tc>
          <w:tcPr>
            <w:tcW w:w="1473" w:type="dxa"/>
            <w:tcBorders>
              <w:top w:val="nil"/>
              <w:left w:val="single" w:sz="4" w:space="0" w:color="auto"/>
              <w:bottom w:val="single" w:sz="4" w:space="0" w:color="auto"/>
              <w:right w:val="single" w:sz="4" w:space="0" w:color="auto"/>
            </w:tcBorders>
            <w:shd w:val="clear" w:color="auto" w:fill="auto"/>
            <w:noWrap/>
            <w:vAlign w:val="center"/>
            <w:hideMark/>
          </w:tcPr>
          <w:p w14:paraId="1D7FF054" w14:textId="77777777" w:rsidR="00E54E14" w:rsidRPr="00D94B5E" w:rsidRDefault="00E54E14">
            <w:pPr>
              <w:spacing w:after="0"/>
              <w:jc w:val="center"/>
              <w:rPr>
                <w:b/>
                <w:bCs/>
                <w:color w:val="000000"/>
                <w:szCs w:val="20"/>
                <w:lang w:eastAsia="pl-PL"/>
              </w:rPr>
            </w:pPr>
            <w:r w:rsidRPr="00D94B5E">
              <w:rPr>
                <w:b/>
                <w:bCs/>
                <w:color w:val="000000"/>
                <w:szCs w:val="20"/>
                <w:lang w:eastAsia="pl-PL"/>
              </w:rPr>
              <w:t>270</w:t>
            </w:r>
          </w:p>
        </w:tc>
      </w:tr>
    </w:tbl>
    <w:p w14:paraId="0AA6303B" w14:textId="77777777" w:rsidR="00E54E14" w:rsidRPr="000246CE" w:rsidRDefault="00E54E14" w:rsidP="00805E07">
      <w:pPr>
        <w:pStyle w:val="Nagwek4"/>
      </w:pPr>
      <w:r w:rsidRPr="000246CE">
        <w:t>Monitorowanie i weryfikacja</w:t>
      </w:r>
    </w:p>
    <w:p w14:paraId="24950E65" w14:textId="6A48781F" w:rsidR="00E54E14" w:rsidRDefault="00E54E14" w:rsidP="00373FD3">
      <w:r w:rsidRPr="00EF4FC0">
        <w:t>WFOŚiGW</w:t>
      </w:r>
      <w:r>
        <w:t xml:space="preserve"> i JST</w:t>
      </w:r>
      <w:r w:rsidRPr="00EF4FC0">
        <w:t xml:space="preserve"> w ramach umów udostępnienia środków zobowiązane są do przekazywania efektów ekologicznych i rzeczowy wynikających z podpisanych i zakończonych umów z beneficjentami. Powyższe dane przekazywane są do NFOŚiGW </w:t>
      </w:r>
      <w:r>
        <w:t>i/lub</w:t>
      </w:r>
      <w:r w:rsidRPr="00EF4FC0">
        <w:t xml:space="preserve"> do Centralnego Rejestru Oszczędności Energii Finalnej</w:t>
      </w:r>
      <w:r>
        <w:t xml:space="preserve"> (CROEF)</w:t>
      </w:r>
      <w:r w:rsidRPr="00EF4FC0">
        <w:t>.</w:t>
      </w:r>
      <w:r>
        <w:t xml:space="preserve"> </w:t>
      </w:r>
      <w:r w:rsidRPr="00EF4FC0">
        <w:t xml:space="preserve">CROEF służy do agregacji i weryfikacji przedsięwzięć realizowanych w ramach tzw. środków alternatywnych. Instytucje podpisujące umowy o dofinansowanie z odbiorcą końcowym są zobowiązane </w:t>
      </w:r>
      <w:r w:rsidRPr="00EF4FC0">
        <w:lastRenderedPageBreak/>
        <w:t xml:space="preserve">do przekazania jednostkowych danych na temat przedsięwzięcia do 31 marca każdego </w:t>
      </w:r>
      <w:r w:rsidR="0011179A">
        <w:t>r.</w:t>
      </w:r>
      <w:r w:rsidRPr="00EF4FC0">
        <w:t xml:space="preserve">, po zakończonej inwestycji. System następnie weryfikuje czy nie występuje tzw. podwójne zliczania. </w:t>
      </w:r>
    </w:p>
    <w:p w14:paraId="54CC2D6B" w14:textId="3F074AF4" w:rsidR="00E54E14" w:rsidRPr="00CF531B" w:rsidRDefault="00E54E14" w:rsidP="00373FD3">
      <w:r w:rsidRPr="00EF4FC0">
        <w:t>Dodatkowo wprowadzony został moduł weryfikacji przedsięwzięć przez administratorów systemu. Każde przedsięwzięcie dodane w CROEF musi zostać sprawdzone pod względem merytorycznym</w:t>
      </w:r>
      <w:r>
        <w:t xml:space="preserve"> (tj. rodzaj przedsięwzięcia, ilość średniorocznych oszczędności, okres uzyskiwania oszczędności oraz potwierdzenie uzyskiwanych oszczędności energii finalnej)</w:t>
      </w:r>
      <w:r w:rsidRPr="00EF4FC0">
        <w:t xml:space="preserve"> przez administratora Ministerstwa Klimatu i Środowiska. </w:t>
      </w:r>
      <w:r w:rsidR="00197F96">
        <w:br w:type="page"/>
      </w:r>
    </w:p>
    <w:p w14:paraId="4AD8C17A" w14:textId="420C561A" w:rsidR="00AD75DF" w:rsidRPr="00373FD3" w:rsidRDefault="00AD75DF" w:rsidP="00805E07">
      <w:pPr>
        <w:pStyle w:val="Nagwek1"/>
      </w:pPr>
      <w:bookmarkStart w:id="25" w:name="_Toc202967820"/>
      <w:r w:rsidRPr="00805E07">
        <w:lastRenderedPageBreak/>
        <w:t>Wartości</w:t>
      </w:r>
      <w:r w:rsidRPr="00373FD3">
        <w:t xml:space="preserve"> współczynnika nakładu </w:t>
      </w:r>
      <w:r w:rsidR="007117A9">
        <w:t xml:space="preserve">nieodnawialnej </w:t>
      </w:r>
      <w:r w:rsidRPr="00373FD3">
        <w:t>energii pierwotnej dla energii elektrycznej z</w:t>
      </w:r>
      <w:r w:rsidR="007117A9">
        <w:t> </w:t>
      </w:r>
      <w:r w:rsidRPr="00373FD3">
        <w:t>sieci</w:t>
      </w:r>
      <w:r>
        <w:t xml:space="preserve"> e</w:t>
      </w:r>
      <w:r w:rsidRPr="00373FD3">
        <w:t>lektroenergetycznej</w:t>
      </w:r>
      <w:r>
        <w:t xml:space="preserve"> </w:t>
      </w:r>
      <w:r w:rsidRPr="00373FD3">
        <w:t>dla Polski</w:t>
      </w:r>
      <w:bookmarkEnd w:id="25"/>
      <w:r w:rsidRPr="00373FD3">
        <w:t xml:space="preserve"> </w:t>
      </w:r>
    </w:p>
    <w:p w14:paraId="25BB6750" w14:textId="52ADF518" w:rsidR="007C22DD" w:rsidRPr="007C22DD" w:rsidRDefault="00AD75DF" w:rsidP="00373FD3">
      <w:pPr>
        <w:rPr>
          <w:b/>
          <w:bCs/>
          <w:sz w:val="22"/>
          <w:szCs w:val="24"/>
        </w:rPr>
      </w:pPr>
      <w:r w:rsidRPr="007C22DD">
        <w:rPr>
          <w:b/>
          <w:bCs/>
          <w:sz w:val="22"/>
          <w:szCs w:val="24"/>
        </w:rPr>
        <w:t xml:space="preserve">Obowiązującą aktualnie w Polsce wartość współczynnika nakładu nieodnawialnej energii pierwotnej wynosi 2,5. </w:t>
      </w:r>
    </w:p>
    <w:p w14:paraId="788346F3" w14:textId="2F81E859" w:rsidR="00AD75DF" w:rsidRPr="0057041F" w:rsidRDefault="00AD75DF" w:rsidP="00373FD3">
      <w:pPr>
        <w:rPr>
          <w:b/>
          <w:bCs/>
        </w:rPr>
      </w:pPr>
    </w:p>
    <w:p w14:paraId="5F45CC1D" w14:textId="4AA8180E" w:rsidR="00AD75DF" w:rsidRPr="00373FD3" w:rsidRDefault="007117A9" w:rsidP="00373FD3">
      <w:r w:rsidRPr="007117A9">
        <w:t>Artykuł 31 ust. 3 dyrektywy 2023/1791</w:t>
      </w:r>
      <w:r w:rsidR="00AD75DF" w:rsidRPr="00373FD3">
        <w:t xml:space="preserve"> stanowi, że dla oszczędności wyrażonej w kWh państwa członkowskie mogą zastosować współczynnik domyślny wynoszący 1,9 lub skorzystać z prawa do określenia innego współczynnika, pod warunkiem</w:t>
      </w:r>
      <w:r w:rsidR="001D4A88">
        <w:t>,</w:t>
      </w:r>
      <w:r w:rsidR="00AD75DF" w:rsidRPr="00373FD3">
        <w:t xml:space="preserve"> że mogą go uzasadnić.</w:t>
      </w:r>
    </w:p>
    <w:p w14:paraId="0BE6D43C" w14:textId="5E18DF12" w:rsidR="00AD75DF" w:rsidRPr="00373FD3" w:rsidRDefault="00755FF8" w:rsidP="00755FF8">
      <w:pPr>
        <w:spacing w:before="360"/>
      </w:pPr>
      <w:r>
        <w:t>Polska przyjmuje inn</w:t>
      </w:r>
      <w:r w:rsidR="003D28CA">
        <w:t xml:space="preserve">y </w:t>
      </w:r>
      <w:r>
        <w:t xml:space="preserve">współczynnik </w:t>
      </w:r>
      <w:r w:rsidR="00AD75DF" w:rsidRPr="00373FD3">
        <w:t>niż</w:t>
      </w:r>
      <w:r w:rsidR="003D28CA">
        <w:t xml:space="preserve"> współczynnik domyślny (tj. </w:t>
      </w:r>
      <w:r w:rsidR="00AD75DF" w:rsidRPr="00373FD3">
        <w:t>1,9</w:t>
      </w:r>
      <w:r w:rsidR="003D28CA">
        <w:t>)</w:t>
      </w:r>
      <w:r>
        <w:t>, co zostało uzasadnione poniżej</w:t>
      </w:r>
      <w:r w:rsidR="00AD75DF" w:rsidRPr="00373FD3">
        <w:t>.</w:t>
      </w:r>
    </w:p>
    <w:p w14:paraId="3168B054" w14:textId="1FD944A9" w:rsidR="00AD75DF" w:rsidRPr="00373FD3" w:rsidRDefault="00AD75DF" w:rsidP="00373FD3">
      <w:r w:rsidRPr="00373FD3">
        <w:t xml:space="preserve">W Polsce konsekwentnie od 2008 </w:t>
      </w:r>
      <w:r w:rsidR="0011179A">
        <w:t>r.</w:t>
      </w:r>
      <w:r w:rsidRPr="00373FD3">
        <w:t xml:space="preserve"> stosuje się wartości współczynnika nakładu nieodnawialnej energii pierwotnej. Przebieg zmian wartości współczynnika nakładu nieodnawialnej energii pierwotnej, przyjmowanych w krajowych regulacjach był jak następuje:</w:t>
      </w:r>
    </w:p>
    <w:p w14:paraId="184158A4" w14:textId="7DA22BA0" w:rsidR="00AD75DF" w:rsidRPr="00197DA8" w:rsidRDefault="00AD75DF" w:rsidP="00755FF8">
      <w:pPr>
        <w:pStyle w:val="Akapitzlist"/>
        <w:numPr>
          <w:ilvl w:val="0"/>
          <w:numId w:val="26"/>
        </w:numPr>
        <w:ind w:left="714" w:hanging="357"/>
        <w:contextualSpacing w:val="0"/>
      </w:pPr>
      <w:r w:rsidRPr="00197DA8">
        <w:t xml:space="preserve">w odniesieniu do </w:t>
      </w:r>
      <w:r w:rsidR="00755FF8">
        <w:t>d</w:t>
      </w:r>
      <w:r w:rsidRPr="00197DA8">
        <w:t>yrektywy w sprawie charakterystyki energetycznej budynków 2010/21/UE (dalej: EPBD</w:t>
      </w:r>
      <w:r>
        <w:t>)</w:t>
      </w:r>
      <w:r w:rsidRPr="00197DA8">
        <w:t xml:space="preserve">, rozporządzenie Ministra Infrastruktury z dnia 6 listopada 2008 r. </w:t>
      </w:r>
      <w:r w:rsidRPr="00373FD3">
        <w:t>w sprawie metodologii obliczania charakterystyki energetycznej budynku i lokalu mieszkalnego lub części budynku stanowiącej samodzielną całość techniczno-użytkową oraz sposobu sporządzania i wzorów świadectw ich charakterystyki energetycznej</w:t>
      </w:r>
      <w:r w:rsidRPr="00197DA8">
        <w:t xml:space="preserve"> (Dz.</w:t>
      </w:r>
      <w:r w:rsidR="00755FF8">
        <w:t xml:space="preserve"> </w:t>
      </w:r>
      <w:r w:rsidRPr="00197DA8">
        <w:t>U.</w:t>
      </w:r>
      <w:r w:rsidR="00755FF8">
        <w:t xml:space="preserve"> N</w:t>
      </w:r>
      <w:r w:rsidRPr="00197DA8">
        <w:t>r 201</w:t>
      </w:r>
      <w:r w:rsidR="00755FF8">
        <w:t>,</w:t>
      </w:r>
      <w:r w:rsidRPr="00197DA8">
        <w:t xml:space="preserve"> poz. 1240) ustaliło </w:t>
      </w:r>
      <w:r w:rsidRPr="00755FF8">
        <w:rPr>
          <w:b/>
          <w:bCs/>
        </w:rPr>
        <w:t>wartość współczynnika nakładu nieodnawialnej energii pierwotnej wynoszącą 3</w:t>
      </w:r>
      <w:r w:rsidRPr="00197DA8">
        <w:t>;</w:t>
      </w:r>
    </w:p>
    <w:p w14:paraId="1DF2420E" w14:textId="517095A8" w:rsidR="00AD75DF" w:rsidRPr="00F1243E" w:rsidRDefault="00AD75DF" w:rsidP="00755FF8">
      <w:pPr>
        <w:pStyle w:val="Akapitzlist"/>
        <w:numPr>
          <w:ilvl w:val="0"/>
          <w:numId w:val="26"/>
        </w:numPr>
        <w:ind w:left="714" w:hanging="357"/>
        <w:contextualSpacing w:val="0"/>
      </w:pPr>
      <w:r>
        <w:t>o</w:t>
      </w:r>
      <w:r w:rsidRPr="00F1243E">
        <w:t xml:space="preserve">bowiązujące aktualnie rozporządzenie Ministra Rozwoju i Technologii z dnia 28 marca 2023 r. </w:t>
      </w:r>
      <w:r w:rsidRPr="00755FF8">
        <w:rPr>
          <w:i/>
          <w:iCs/>
        </w:rPr>
        <w:t>zmieniające rozporządzenie w sprawie metodologii wyznaczania charakterystyki energetycznej budynku lub części budynku oraz świadectw charakterystyki energetycznej</w:t>
      </w:r>
      <w:r w:rsidRPr="00F1243E">
        <w:t xml:space="preserve"> (Dz.U. poz.</w:t>
      </w:r>
      <w:r w:rsidR="00755FF8">
        <w:t> </w:t>
      </w:r>
      <w:r w:rsidRPr="00F1243E">
        <w:t xml:space="preserve">697) </w:t>
      </w:r>
      <w:r w:rsidRPr="00755FF8">
        <w:rPr>
          <w:b/>
          <w:bCs/>
        </w:rPr>
        <w:t>ustaliło wartość 2,5</w:t>
      </w:r>
      <w:r w:rsidRPr="00F1243E">
        <w:t xml:space="preserve"> </w:t>
      </w:r>
      <w:r w:rsidRPr="00755FF8">
        <w:rPr>
          <w:b/>
          <w:bCs/>
        </w:rPr>
        <w:t>współczynnika nakładu nieodnawialnej energii pierwotnej na wytworzenie i dostarczenie energii elektrycznej z systemowej sieci elektroenergetycznej</w:t>
      </w:r>
      <w:r w:rsidRPr="00F1243E">
        <w:t>. (Rozporządzenie weszło</w:t>
      </w:r>
      <w:r w:rsidR="00767FC5">
        <w:t xml:space="preserve"> </w:t>
      </w:r>
      <w:r w:rsidRPr="00F1243E">
        <w:t>w życie z dniem 28 kwietnia 2023 r.).</w:t>
      </w:r>
      <w:r>
        <w:t>;</w:t>
      </w:r>
    </w:p>
    <w:p w14:paraId="71DCC895" w14:textId="1ECD7E79" w:rsidR="00AD75DF" w:rsidRPr="00F1243E" w:rsidRDefault="00AD75DF" w:rsidP="00755FF8">
      <w:pPr>
        <w:pStyle w:val="Akapitzlist"/>
        <w:numPr>
          <w:ilvl w:val="0"/>
          <w:numId w:val="26"/>
        </w:numPr>
        <w:ind w:left="714" w:hanging="357"/>
        <w:contextualSpacing w:val="0"/>
      </w:pPr>
      <w:r w:rsidRPr="00F1243E">
        <w:t xml:space="preserve">w rozporządzeniu Ministra Gospodarki z dnia 4 września 2012 r. </w:t>
      </w:r>
      <w:r w:rsidRPr="00755FF8">
        <w:rPr>
          <w:i/>
          <w:iCs/>
        </w:rPr>
        <w:t>w sprawie sposobu obliczania ilości energii pierwotnej odpowiadającej wartości świadectwa efektywności energetycznej oraz wysokości jednostkowej opłaty zastępczej</w:t>
      </w:r>
      <w:r w:rsidRPr="00F1243E">
        <w:t xml:space="preserve"> (Dz.</w:t>
      </w:r>
      <w:r w:rsidR="00755FF8">
        <w:t xml:space="preserve"> </w:t>
      </w:r>
      <w:r w:rsidRPr="00F1243E">
        <w:t xml:space="preserve">U. poz. 1039) </w:t>
      </w:r>
      <w:r w:rsidRPr="007E41F2">
        <w:rPr>
          <w:b/>
          <w:bCs/>
        </w:rPr>
        <w:t xml:space="preserve">ustalono wielkość sprawności systemu elektroenergetycznego przyjęto 0,33, co odpowiada wartości </w:t>
      </w:r>
      <w:r w:rsidR="007E41F2" w:rsidRPr="007E41F2">
        <w:rPr>
          <w:b/>
          <w:bCs/>
        </w:rPr>
        <w:t xml:space="preserve">współczynnika nakładu </w:t>
      </w:r>
      <w:r w:rsidR="007117A9" w:rsidRPr="007E41F2">
        <w:rPr>
          <w:b/>
          <w:bCs/>
        </w:rPr>
        <w:t xml:space="preserve">nieodnawialnej </w:t>
      </w:r>
      <w:r w:rsidR="007E41F2" w:rsidRPr="007E41F2">
        <w:rPr>
          <w:b/>
          <w:bCs/>
        </w:rPr>
        <w:t xml:space="preserve">energii pierwotnej </w:t>
      </w:r>
      <w:r w:rsidR="007E41F2">
        <w:rPr>
          <w:b/>
          <w:bCs/>
        </w:rPr>
        <w:t>(</w:t>
      </w:r>
      <w:r w:rsidRPr="007E41F2">
        <w:rPr>
          <w:b/>
          <w:bCs/>
        </w:rPr>
        <w:t>PEF</w:t>
      </w:r>
      <w:r w:rsidR="007E41F2">
        <w:rPr>
          <w:b/>
          <w:bCs/>
        </w:rPr>
        <w:t>)</w:t>
      </w:r>
      <w:r w:rsidRPr="007E41F2">
        <w:rPr>
          <w:b/>
          <w:bCs/>
        </w:rPr>
        <w:t xml:space="preserve"> wynoszącej 3</w:t>
      </w:r>
      <w:r w:rsidRPr="00F1243E">
        <w:t>.</w:t>
      </w:r>
    </w:p>
    <w:p w14:paraId="3E07F07E" w14:textId="4872B869" w:rsidR="00AD75DF" w:rsidRDefault="007C22DD" w:rsidP="004C1307">
      <w:pPr>
        <w:spacing w:before="360"/>
      </w:pPr>
      <w:r w:rsidRPr="004C1307">
        <w:rPr>
          <w:b/>
          <w:bCs/>
          <w:sz w:val="24"/>
          <w:szCs w:val="28"/>
        </w:rPr>
        <w:t>O</w:t>
      </w:r>
      <w:r w:rsidR="00AD75DF" w:rsidRPr="004C1307">
        <w:rPr>
          <w:b/>
          <w:bCs/>
          <w:sz w:val="24"/>
          <w:szCs w:val="28"/>
        </w:rPr>
        <w:t xml:space="preserve">bowiązującą aktualnie wartość </w:t>
      </w:r>
      <w:r w:rsidR="00581E9C" w:rsidRPr="00581E9C">
        <w:rPr>
          <w:b/>
          <w:bCs/>
          <w:sz w:val="24"/>
          <w:szCs w:val="28"/>
        </w:rPr>
        <w:t xml:space="preserve">współczynnika nakładu nieodnawialnej energii pierwotnej </w:t>
      </w:r>
      <w:r w:rsidR="00581E9C">
        <w:rPr>
          <w:b/>
          <w:bCs/>
          <w:sz w:val="24"/>
          <w:szCs w:val="28"/>
        </w:rPr>
        <w:t xml:space="preserve">na poziomie </w:t>
      </w:r>
      <w:r w:rsidR="00AD75DF" w:rsidRPr="004C1307">
        <w:rPr>
          <w:b/>
          <w:bCs/>
          <w:sz w:val="24"/>
          <w:szCs w:val="28"/>
        </w:rPr>
        <w:t xml:space="preserve">2,5 </w:t>
      </w:r>
      <w:r w:rsidR="00AD75DF" w:rsidRPr="006C2A77">
        <w:rPr>
          <w:b/>
          <w:bCs/>
        </w:rPr>
        <w:t>ustaliło rozporządzenie Ministra Energii</w:t>
      </w:r>
      <w:r w:rsidR="00AD75DF" w:rsidRPr="00F1243E">
        <w:t xml:space="preserve"> z dnia 5</w:t>
      </w:r>
      <w:r w:rsidR="00AD75DF">
        <w:t> </w:t>
      </w:r>
      <w:r w:rsidR="00AD75DF" w:rsidRPr="00F1243E">
        <w:t>października 2017</w:t>
      </w:r>
      <w:r w:rsidR="006C2A77">
        <w:t> </w:t>
      </w:r>
      <w:r w:rsidR="00AD75DF" w:rsidRPr="00F1243E">
        <w:t xml:space="preserve">r. </w:t>
      </w:r>
      <w:r w:rsidR="00AD75DF" w:rsidRPr="006C2A77">
        <w:rPr>
          <w:i/>
          <w:iCs/>
        </w:rPr>
        <w:t>w sprawie szczegółowego zakresu i sposobu sporządzania audytu efektywności energetycznej oraz metod obliczania oszczędności energii</w:t>
      </w:r>
      <w:r w:rsidR="00AD75DF" w:rsidRPr="00F1243E">
        <w:t xml:space="preserve"> (Dz.</w:t>
      </w:r>
      <w:r w:rsidR="006C2A77">
        <w:t xml:space="preserve"> </w:t>
      </w:r>
      <w:r w:rsidR="00AD75DF" w:rsidRPr="00F1243E">
        <w:t xml:space="preserve">U. </w:t>
      </w:r>
      <w:r w:rsidR="007117A9">
        <w:t xml:space="preserve">z 2023 r. </w:t>
      </w:r>
      <w:r w:rsidR="00AD75DF" w:rsidRPr="00F1243E">
        <w:t xml:space="preserve">poz. </w:t>
      </w:r>
      <w:r w:rsidR="007117A9">
        <w:t>1220</w:t>
      </w:r>
      <w:r w:rsidR="00AD75DF" w:rsidRPr="00F1243E">
        <w:t>).</w:t>
      </w:r>
    </w:p>
    <w:p w14:paraId="51A1EF0F" w14:textId="4F895CAD" w:rsidR="00AD75DF" w:rsidRPr="00706980" w:rsidRDefault="00AD75DF" w:rsidP="00373FD3">
      <w:r w:rsidRPr="00706980">
        <w:t xml:space="preserve">W 2022 </w:t>
      </w:r>
      <w:r w:rsidR="0011179A">
        <w:t>r.</w:t>
      </w:r>
      <w:bookmarkStart w:id="26" w:name="_Ref135218349"/>
      <w:r w:rsidRPr="00706980">
        <w:t xml:space="preserve"> przeprowadzona została analiza</w:t>
      </w:r>
      <w:bookmarkEnd w:id="26"/>
      <w:r>
        <w:t xml:space="preserve"> </w:t>
      </w:r>
      <w:r w:rsidRPr="00706980">
        <w:t>obliczenia wartości współczynnika nakładu całkowitej oraz nieodnawialnej energii pierwotnej dla miksu energetycznego Polski</w:t>
      </w:r>
      <w:bookmarkStart w:id="27" w:name="_Ref137037688"/>
      <w:r w:rsidRPr="0057041F">
        <w:rPr>
          <w:vertAlign w:val="superscript"/>
        </w:rPr>
        <w:footnoteReference w:id="15"/>
      </w:r>
      <w:bookmarkEnd w:id="27"/>
      <w:r w:rsidRPr="00706980">
        <w:t>,</w:t>
      </w:r>
      <w:r w:rsidR="00767FC5">
        <w:t xml:space="preserve"> </w:t>
      </w:r>
      <w:r w:rsidRPr="00706980">
        <w:t>z wykorzystaniem zasad kalkulacji określonych w normie PN-EN 17423.</w:t>
      </w:r>
    </w:p>
    <w:p w14:paraId="4C5CF1C2" w14:textId="022079F2" w:rsidR="00AD75DF" w:rsidRDefault="00AD75DF" w:rsidP="00373FD3">
      <w:r w:rsidRPr="00706980">
        <w:lastRenderedPageBreak/>
        <w:t>Zestawienie danych oraz wyniki obliczeń współczynnika nakładu całkowitej energii pierwotnej dla energii elektrycznej pochodzącej z sieci elektroenergetycznej, dla lat 2005</w:t>
      </w:r>
      <w:r w:rsidR="004B0F0A">
        <w:t>–20</w:t>
      </w:r>
      <w:r w:rsidRPr="00706980">
        <w:t xml:space="preserve">20 przedstawiono w </w:t>
      </w:r>
      <w:r w:rsidR="00B142C1">
        <w:t xml:space="preserve">tabeli </w:t>
      </w:r>
      <w:r w:rsidRPr="00706980">
        <w:t>poniżej</w:t>
      </w:r>
      <w:r w:rsidR="00B142C1">
        <w:t>.</w:t>
      </w:r>
    </w:p>
    <w:p w14:paraId="24B37B1E" w14:textId="72E73374" w:rsidR="00AD75DF" w:rsidRDefault="008061D1" w:rsidP="0087751B">
      <w:pPr>
        <w:pStyle w:val="Legenda"/>
        <w:keepNext/>
        <w:spacing w:after="120"/>
        <w:rPr>
          <w:rStyle w:val="rynqvb"/>
          <w:bCs/>
        </w:rPr>
      </w:pPr>
      <w:r>
        <w:t xml:space="preserve">Tabela </w:t>
      </w:r>
      <w:fldSimple w:instr=" SEQ Tabela \* ARABIC ">
        <w:r w:rsidR="00CC735D">
          <w:rPr>
            <w:noProof/>
          </w:rPr>
          <w:t>7</w:t>
        </w:r>
      </w:fldSimple>
      <w:r>
        <w:t xml:space="preserve">. </w:t>
      </w:r>
      <w:r w:rsidR="00AD75DF" w:rsidRPr="004E6921">
        <w:rPr>
          <w:rStyle w:val="rynqvb"/>
          <w:bCs/>
        </w:rPr>
        <w:t xml:space="preserve">Wyniki </w:t>
      </w:r>
      <w:r w:rsidR="00AD75DF" w:rsidRPr="008061D1">
        <w:rPr>
          <w:rStyle w:val="rynqvb"/>
        </w:rPr>
        <w:t>obliczeń</w:t>
      </w:r>
      <w:r w:rsidR="00AD75DF" w:rsidRPr="004E6921">
        <w:rPr>
          <w:rStyle w:val="rynqvb"/>
          <w:bCs/>
        </w:rPr>
        <w:t xml:space="preserve"> wskaźnika całkowitej energii pierwotnej dla miksu energetycznego Polski </w:t>
      </w:r>
    </w:p>
    <w:tbl>
      <w:tblPr>
        <w:tblStyle w:val="TableGrid"/>
        <w:tblW w:w="9064" w:type="dxa"/>
        <w:tblInd w:w="5" w:type="dxa"/>
        <w:tblCellMar>
          <w:top w:w="8" w:type="dxa"/>
          <w:left w:w="6" w:type="dxa"/>
          <w:right w:w="6" w:type="dxa"/>
        </w:tblCellMar>
        <w:tblLook w:val="04A0" w:firstRow="1" w:lastRow="0" w:firstColumn="1" w:lastColumn="0" w:noHBand="0" w:noVBand="1"/>
      </w:tblPr>
      <w:tblGrid>
        <w:gridCol w:w="905"/>
        <w:gridCol w:w="1135"/>
        <w:gridCol w:w="519"/>
        <w:gridCol w:w="519"/>
        <w:gridCol w:w="546"/>
        <w:gridCol w:w="519"/>
        <w:gridCol w:w="528"/>
        <w:gridCol w:w="546"/>
        <w:gridCol w:w="493"/>
        <w:gridCol w:w="554"/>
        <w:gridCol w:w="554"/>
        <w:gridCol w:w="528"/>
        <w:gridCol w:w="546"/>
        <w:gridCol w:w="581"/>
        <w:gridCol w:w="591"/>
      </w:tblGrid>
      <w:tr w:rsidR="0087751B" w:rsidRPr="0087751B" w14:paraId="14C3643D" w14:textId="77777777" w:rsidTr="0087751B">
        <w:trPr>
          <w:trHeight w:val="176"/>
        </w:trPr>
        <w:tc>
          <w:tcPr>
            <w:tcW w:w="905" w:type="dxa"/>
            <w:tcBorders>
              <w:top w:val="single" w:sz="4" w:space="0" w:color="000000"/>
              <w:left w:val="single" w:sz="4" w:space="0" w:color="000000"/>
              <w:bottom w:val="single" w:sz="4" w:space="0" w:color="000000"/>
              <w:right w:val="single" w:sz="4" w:space="0" w:color="000000"/>
            </w:tcBorders>
            <w:vAlign w:val="center"/>
            <w:hideMark/>
          </w:tcPr>
          <w:p w14:paraId="66936EE2" w14:textId="77777777" w:rsidR="0087751B" w:rsidRPr="0087751B" w:rsidRDefault="0087751B" w:rsidP="0087751B">
            <w:pPr>
              <w:ind w:right="21"/>
              <w:jc w:val="center"/>
              <w:rPr>
                <w:rFonts w:ascii="Century Gothic" w:eastAsia="Century Gothic" w:hAnsi="Century Gothic" w:cs="Century Gothic"/>
                <w:color w:val="000000"/>
              </w:rPr>
            </w:pPr>
            <w:r w:rsidRPr="0087751B">
              <w:rPr>
                <w:rFonts w:ascii="Arial" w:eastAsia="Arial" w:hAnsi="Arial" w:cs="Arial"/>
                <w:b/>
                <w:color w:val="000000"/>
                <w:sz w:val="13"/>
              </w:rPr>
              <w:t>Paliwo</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4111B163" w14:textId="77777777" w:rsidR="0087751B" w:rsidRPr="0087751B" w:rsidRDefault="0087751B" w:rsidP="0087751B">
            <w:pPr>
              <w:ind w:right="11"/>
              <w:jc w:val="center"/>
              <w:rPr>
                <w:rFonts w:ascii="Century Gothic" w:eastAsia="Century Gothic" w:hAnsi="Century Gothic" w:cs="Century Gothic"/>
                <w:color w:val="000000"/>
              </w:rPr>
            </w:pPr>
            <w:r w:rsidRPr="0087751B">
              <w:rPr>
                <w:rFonts w:ascii="Arial" w:eastAsia="Arial" w:hAnsi="Arial" w:cs="Arial"/>
                <w:b/>
                <w:color w:val="000000"/>
                <w:sz w:val="13"/>
              </w:rPr>
              <w:t>Wielkość</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ECF0246" w14:textId="77777777" w:rsidR="0087751B" w:rsidRPr="0087751B" w:rsidRDefault="0087751B" w:rsidP="0087751B">
            <w:pPr>
              <w:ind w:left="70"/>
              <w:jc w:val="left"/>
              <w:rPr>
                <w:rFonts w:ascii="Century Gothic" w:eastAsia="Century Gothic" w:hAnsi="Century Gothic" w:cs="Century Gothic"/>
                <w:color w:val="000000"/>
              </w:rPr>
            </w:pPr>
            <w:r w:rsidRPr="0087751B">
              <w:rPr>
                <w:rFonts w:ascii="Arial" w:eastAsia="Arial" w:hAnsi="Arial" w:cs="Arial"/>
                <w:b/>
                <w:color w:val="000000"/>
                <w:sz w:val="13"/>
              </w:rPr>
              <w:t>Jedn.</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46971311" w14:textId="77777777" w:rsidR="0087751B" w:rsidRPr="0087751B" w:rsidRDefault="0087751B" w:rsidP="0087751B">
            <w:pPr>
              <w:ind w:left="97"/>
              <w:jc w:val="left"/>
              <w:rPr>
                <w:rFonts w:ascii="Century Gothic" w:eastAsia="Century Gothic" w:hAnsi="Century Gothic" w:cs="Century Gothic"/>
                <w:color w:val="000000"/>
              </w:rPr>
            </w:pPr>
            <w:r w:rsidRPr="0087751B">
              <w:rPr>
                <w:rFonts w:ascii="Arial" w:eastAsia="Arial" w:hAnsi="Arial" w:cs="Arial"/>
                <w:b/>
                <w:color w:val="000000"/>
                <w:sz w:val="13"/>
              </w:rPr>
              <w:t>2005</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2CC352A3" w14:textId="77777777" w:rsidR="0087751B" w:rsidRPr="0087751B" w:rsidRDefault="0087751B" w:rsidP="0087751B">
            <w:pPr>
              <w:ind w:left="115"/>
              <w:jc w:val="left"/>
              <w:rPr>
                <w:rFonts w:ascii="Century Gothic" w:eastAsia="Century Gothic" w:hAnsi="Century Gothic" w:cs="Century Gothic"/>
                <w:color w:val="000000"/>
              </w:rPr>
            </w:pPr>
            <w:r w:rsidRPr="0087751B">
              <w:rPr>
                <w:rFonts w:ascii="Arial" w:eastAsia="Arial" w:hAnsi="Arial" w:cs="Arial"/>
                <w:b/>
                <w:color w:val="000000"/>
                <w:sz w:val="13"/>
              </w:rPr>
              <w:t>2010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C45FA6D" w14:textId="77777777" w:rsidR="0087751B" w:rsidRPr="0087751B" w:rsidRDefault="0087751B" w:rsidP="0087751B">
            <w:pPr>
              <w:ind w:left="97"/>
              <w:jc w:val="left"/>
              <w:rPr>
                <w:rFonts w:ascii="Century Gothic" w:eastAsia="Century Gothic" w:hAnsi="Century Gothic" w:cs="Century Gothic"/>
                <w:color w:val="000000"/>
              </w:rPr>
            </w:pPr>
            <w:r w:rsidRPr="0087751B">
              <w:rPr>
                <w:rFonts w:ascii="Arial" w:eastAsia="Arial" w:hAnsi="Arial" w:cs="Arial"/>
                <w:b/>
                <w:color w:val="000000"/>
                <w:sz w:val="13"/>
              </w:rPr>
              <w:t>2011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03A4FED1" w14:textId="77777777" w:rsidR="0087751B" w:rsidRPr="0087751B" w:rsidRDefault="0087751B" w:rsidP="0087751B">
            <w:pPr>
              <w:ind w:left="105"/>
              <w:jc w:val="left"/>
              <w:rPr>
                <w:rFonts w:ascii="Century Gothic" w:eastAsia="Century Gothic" w:hAnsi="Century Gothic" w:cs="Century Gothic"/>
                <w:color w:val="000000"/>
              </w:rPr>
            </w:pPr>
            <w:r w:rsidRPr="0087751B">
              <w:rPr>
                <w:rFonts w:ascii="Arial" w:eastAsia="Arial" w:hAnsi="Arial" w:cs="Arial"/>
                <w:b/>
                <w:color w:val="000000"/>
                <w:sz w:val="13"/>
              </w:rPr>
              <w:t>2012</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6BD05BE2" w14:textId="77777777" w:rsidR="0087751B" w:rsidRPr="0087751B" w:rsidRDefault="0087751B" w:rsidP="0087751B">
            <w:pPr>
              <w:ind w:left="115"/>
              <w:jc w:val="left"/>
              <w:rPr>
                <w:rFonts w:ascii="Century Gothic" w:eastAsia="Century Gothic" w:hAnsi="Century Gothic" w:cs="Century Gothic"/>
                <w:color w:val="000000"/>
              </w:rPr>
            </w:pPr>
            <w:r w:rsidRPr="0087751B">
              <w:rPr>
                <w:rFonts w:ascii="Arial" w:eastAsia="Arial" w:hAnsi="Arial" w:cs="Arial"/>
                <w:b/>
                <w:color w:val="000000"/>
                <w:sz w:val="13"/>
              </w:rPr>
              <w:t>2013</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3361E3A4"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b/>
                <w:color w:val="000000"/>
                <w:sz w:val="13"/>
              </w:rPr>
              <w:t>2014</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D66CBD7" w14:textId="77777777" w:rsidR="0087751B" w:rsidRPr="0087751B" w:rsidRDefault="0087751B" w:rsidP="0087751B">
            <w:pPr>
              <w:ind w:left="114"/>
              <w:jc w:val="left"/>
              <w:rPr>
                <w:rFonts w:ascii="Century Gothic" w:eastAsia="Century Gothic" w:hAnsi="Century Gothic" w:cs="Century Gothic"/>
                <w:color w:val="000000"/>
              </w:rPr>
            </w:pPr>
            <w:r w:rsidRPr="0087751B">
              <w:rPr>
                <w:rFonts w:ascii="Arial" w:eastAsia="Arial" w:hAnsi="Arial" w:cs="Arial"/>
                <w:b/>
                <w:color w:val="000000"/>
                <w:sz w:val="13"/>
              </w:rPr>
              <w:t>2015</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7BA6D8F5" w14:textId="77777777" w:rsidR="0087751B" w:rsidRPr="0087751B" w:rsidRDefault="0087751B" w:rsidP="0087751B">
            <w:pPr>
              <w:ind w:left="114"/>
              <w:jc w:val="left"/>
              <w:rPr>
                <w:rFonts w:ascii="Century Gothic" w:eastAsia="Century Gothic" w:hAnsi="Century Gothic" w:cs="Century Gothic"/>
                <w:color w:val="000000"/>
              </w:rPr>
            </w:pPr>
            <w:r w:rsidRPr="0087751B">
              <w:rPr>
                <w:rFonts w:ascii="Arial" w:eastAsia="Arial" w:hAnsi="Arial" w:cs="Arial"/>
                <w:b/>
                <w:color w:val="000000"/>
                <w:sz w:val="13"/>
              </w:rPr>
              <w:t>2016</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4ADE37BF" w14:textId="77777777" w:rsidR="0087751B" w:rsidRPr="0087751B" w:rsidRDefault="0087751B" w:rsidP="0087751B">
            <w:pPr>
              <w:ind w:left="106"/>
              <w:jc w:val="left"/>
              <w:rPr>
                <w:rFonts w:ascii="Century Gothic" w:eastAsia="Century Gothic" w:hAnsi="Century Gothic" w:cs="Century Gothic"/>
                <w:color w:val="000000"/>
              </w:rPr>
            </w:pPr>
            <w:r w:rsidRPr="0087751B">
              <w:rPr>
                <w:rFonts w:ascii="Arial" w:eastAsia="Arial" w:hAnsi="Arial" w:cs="Arial"/>
                <w:b/>
                <w:color w:val="000000"/>
                <w:sz w:val="13"/>
              </w:rPr>
              <w:t>2017</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A0D8742" w14:textId="77777777" w:rsidR="0087751B" w:rsidRPr="0087751B" w:rsidRDefault="0087751B" w:rsidP="0087751B">
            <w:pPr>
              <w:ind w:left="115"/>
              <w:jc w:val="left"/>
              <w:rPr>
                <w:rFonts w:ascii="Century Gothic" w:eastAsia="Century Gothic" w:hAnsi="Century Gothic" w:cs="Century Gothic"/>
                <w:color w:val="000000"/>
              </w:rPr>
            </w:pPr>
            <w:r w:rsidRPr="0087751B">
              <w:rPr>
                <w:rFonts w:ascii="Arial" w:eastAsia="Arial" w:hAnsi="Arial" w:cs="Arial"/>
                <w:b/>
                <w:color w:val="000000"/>
                <w:sz w:val="13"/>
              </w:rPr>
              <w:t>2018</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040AC5E6" w14:textId="77777777" w:rsidR="0087751B" w:rsidRPr="0087751B" w:rsidRDefault="0087751B" w:rsidP="0087751B">
            <w:pPr>
              <w:ind w:right="10"/>
              <w:jc w:val="center"/>
              <w:rPr>
                <w:rFonts w:ascii="Century Gothic" w:eastAsia="Century Gothic" w:hAnsi="Century Gothic" w:cs="Century Gothic"/>
                <w:color w:val="000000"/>
              </w:rPr>
            </w:pPr>
            <w:r w:rsidRPr="0087751B">
              <w:rPr>
                <w:rFonts w:ascii="Arial" w:eastAsia="Arial" w:hAnsi="Arial" w:cs="Arial"/>
                <w:b/>
                <w:color w:val="000000"/>
                <w:sz w:val="13"/>
              </w:rPr>
              <w:t>2019</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2C56B0A5" w14:textId="77777777" w:rsidR="0087751B" w:rsidRPr="0087751B" w:rsidRDefault="0087751B" w:rsidP="0087751B">
            <w:pPr>
              <w:ind w:right="20"/>
              <w:jc w:val="center"/>
              <w:rPr>
                <w:rFonts w:ascii="Century Gothic" w:eastAsia="Century Gothic" w:hAnsi="Century Gothic" w:cs="Century Gothic"/>
                <w:color w:val="000000"/>
              </w:rPr>
            </w:pPr>
            <w:r w:rsidRPr="0087751B">
              <w:rPr>
                <w:rFonts w:ascii="Arial" w:eastAsia="Arial" w:hAnsi="Arial" w:cs="Arial"/>
                <w:b/>
                <w:color w:val="000000"/>
                <w:sz w:val="13"/>
              </w:rPr>
              <w:t>2020</w:t>
            </w:r>
          </w:p>
        </w:tc>
      </w:tr>
      <w:tr w:rsidR="0087751B" w:rsidRPr="0087751B" w14:paraId="0B67B882" w14:textId="77777777" w:rsidTr="0087751B">
        <w:trPr>
          <w:trHeight w:val="220"/>
        </w:trPr>
        <w:tc>
          <w:tcPr>
            <w:tcW w:w="905" w:type="dxa"/>
            <w:vMerge w:val="restart"/>
            <w:tcBorders>
              <w:top w:val="single" w:sz="4" w:space="0" w:color="000000"/>
              <w:left w:val="single" w:sz="4" w:space="0" w:color="000000"/>
              <w:bottom w:val="single" w:sz="4" w:space="0" w:color="000000"/>
              <w:right w:val="single" w:sz="4" w:space="0" w:color="000000"/>
            </w:tcBorders>
            <w:vAlign w:val="center"/>
            <w:hideMark/>
          </w:tcPr>
          <w:p w14:paraId="26E937C7" w14:textId="77777777" w:rsidR="0087751B" w:rsidRPr="0087751B" w:rsidRDefault="0087751B" w:rsidP="0087751B">
            <w:pPr>
              <w:ind w:right="22"/>
              <w:jc w:val="center"/>
              <w:rPr>
                <w:rFonts w:ascii="Century Gothic" w:eastAsia="Century Gothic" w:hAnsi="Century Gothic" w:cs="Century Gothic"/>
                <w:color w:val="000000"/>
              </w:rPr>
            </w:pPr>
            <w:r w:rsidRPr="0087751B">
              <w:rPr>
                <w:rFonts w:ascii="Arial" w:eastAsia="Arial" w:hAnsi="Arial" w:cs="Arial"/>
                <w:color w:val="000000"/>
                <w:sz w:val="13"/>
              </w:rPr>
              <w:t>PV</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5C0D88EF"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Produkcja E</w:t>
            </w:r>
            <w:r w:rsidRPr="0087751B">
              <w:rPr>
                <w:rFonts w:ascii="Arial" w:eastAsia="Arial" w:hAnsi="Arial" w:cs="Arial"/>
                <w:color w:val="000000"/>
                <w:sz w:val="13"/>
                <w:vertAlign w:val="subscript"/>
              </w:rPr>
              <w:t>prod,el,j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0E4B2925"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4762EA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4E7CD8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BC565D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EE0342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A3CC62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688AC32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E6D61B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57</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54BA72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124</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3258DAB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165</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5CC4E6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300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59E821F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711</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396C50E2"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1958</w:t>
            </w:r>
          </w:p>
        </w:tc>
      </w:tr>
      <w:tr w:rsidR="0087751B" w:rsidRPr="0087751B" w14:paraId="7C50EE6E"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1E14DE"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0E1340A0"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Sprawność η</w:t>
            </w:r>
            <w:r w:rsidRPr="0087751B">
              <w:rPr>
                <w:rFonts w:ascii="Arial" w:eastAsia="Arial" w:hAnsi="Arial" w:cs="Arial"/>
                <w:color w:val="000000"/>
                <w:sz w:val="13"/>
                <w:vertAlign w:val="subscript"/>
              </w:rPr>
              <w:t>prod,j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3A2E18A" w14:textId="77777777" w:rsidR="0087751B" w:rsidRPr="0087751B" w:rsidRDefault="0087751B" w:rsidP="0087751B">
            <w:pPr>
              <w:ind w:left="185"/>
              <w:jc w:val="left"/>
              <w:rPr>
                <w:rFonts w:ascii="Century Gothic" w:eastAsia="Century Gothic" w:hAnsi="Century Gothic" w:cs="Century Gothic"/>
                <w:color w:val="000000"/>
              </w:rPr>
            </w:pPr>
            <w:r w:rsidRPr="0087751B">
              <w:rPr>
                <w:rFonts w:ascii="Arial" w:eastAsia="Arial" w:hAnsi="Arial" w:cs="Arial"/>
                <w:color w:val="000000"/>
                <w:sz w:val="13"/>
              </w:rPr>
              <w:t>%</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6AB3337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7C9346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CEBBEF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7B09CD1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20DD09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2707CD41"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100%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715A0A6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64D2E4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79F59AE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E43AD5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655CAE6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2F9B852D"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100%</w:t>
            </w:r>
          </w:p>
        </w:tc>
      </w:tr>
      <w:tr w:rsidR="0087751B" w:rsidRPr="0087751B" w14:paraId="147A80BD"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D7DF0E"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3F9507E8"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f</w:t>
            </w:r>
            <w:r w:rsidRPr="0087751B">
              <w:rPr>
                <w:rFonts w:ascii="Arial" w:eastAsia="Arial" w:hAnsi="Arial" w:cs="Arial"/>
                <w:color w:val="000000"/>
                <w:sz w:val="9"/>
              </w:rPr>
              <w:t>nren,j</w:t>
            </w:r>
          </w:p>
        </w:tc>
        <w:tc>
          <w:tcPr>
            <w:tcW w:w="519" w:type="dxa"/>
            <w:tcBorders>
              <w:top w:val="single" w:sz="4" w:space="0" w:color="000000"/>
              <w:left w:val="single" w:sz="4" w:space="0" w:color="000000"/>
              <w:bottom w:val="single" w:sz="4" w:space="0" w:color="000000"/>
              <w:right w:val="single" w:sz="4" w:space="0" w:color="000000"/>
            </w:tcBorders>
            <w:vAlign w:val="center"/>
          </w:tcPr>
          <w:p w14:paraId="535D37BB" w14:textId="77777777" w:rsidR="0087751B" w:rsidRPr="0087751B" w:rsidRDefault="0087751B" w:rsidP="0087751B">
            <w:pPr>
              <w:jc w:val="left"/>
              <w:rPr>
                <w:rFonts w:ascii="Century Gothic" w:eastAsia="Century Gothic" w:hAnsi="Century Gothic" w:cs="Century Gothic"/>
                <w:color w:val="000000"/>
              </w:rPr>
            </w:pP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A2FE2B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A1961E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ACD58B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2D266F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6CC4C17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533E9A6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3B5D5F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1DDD38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0607918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6B6661B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51C0D2B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6D5FEFAC"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0</w:t>
            </w:r>
          </w:p>
        </w:tc>
      </w:tr>
      <w:tr w:rsidR="0087751B" w:rsidRPr="0087751B" w14:paraId="7464605C"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A991D3"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164C2A37"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PE</w:t>
            </w:r>
            <w:r w:rsidRPr="0087751B">
              <w:rPr>
                <w:rFonts w:ascii="Arial" w:eastAsia="Arial" w:hAnsi="Arial" w:cs="Arial"/>
                <w:color w:val="000000"/>
                <w:sz w:val="13"/>
                <w:vertAlign w:val="subscript"/>
              </w:rPr>
              <w:t>nren,j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02FC3C4D"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1A211E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619623D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7E9B3D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3BA4220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22BB57B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0820DF2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701D7C3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633016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DCA9C5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0DBDAF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4D6B31A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245BE4C7"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0</w:t>
            </w:r>
          </w:p>
        </w:tc>
      </w:tr>
      <w:tr w:rsidR="0087751B" w:rsidRPr="0087751B" w14:paraId="0E7C9C7B" w14:textId="77777777" w:rsidTr="0087751B">
        <w:trPr>
          <w:trHeight w:val="220"/>
        </w:trPr>
        <w:tc>
          <w:tcPr>
            <w:tcW w:w="905" w:type="dxa"/>
            <w:vMerge w:val="restart"/>
            <w:tcBorders>
              <w:top w:val="single" w:sz="4" w:space="0" w:color="000000"/>
              <w:left w:val="single" w:sz="4" w:space="0" w:color="000000"/>
              <w:bottom w:val="single" w:sz="4" w:space="0" w:color="000000"/>
              <w:right w:val="single" w:sz="4" w:space="0" w:color="000000"/>
            </w:tcBorders>
            <w:vAlign w:val="center"/>
            <w:hideMark/>
          </w:tcPr>
          <w:p w14:paraId="49D1A0DB" w14:textId="77777777" w:rsidR="0087751B" w:rsidRPr="0087751B" w:rsidRDefault="0087751B" w:rsidP="0087751B">
            <w:pPr>
              <w:ind w:right="31"/>
              <w:jc w:val="center"/>
              <w:rPr>
                <w:rFonts w:ascii="Century Gothic" w:eastAsia="Century Gothic" w:hAnsi="Century Gothic" w:cs="Century Gothic"/>
                <w:color w:val="000000"/>
              </w:rPr>
            </w:pPr>
            <w:r w:rsidRPr="0087751B">
              <w:rPr>
                <w:rFonts w:ascii="Arial" w:eastAsia="Arial" w:hAnsi="Arial" w:cs="Arial"/>
                <w:color w:val="000000"/>
                <w:sz w:val="13"/>
              </w:rPr>
              <w:t>Wiatr</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0A14E015"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Produkcja E</w:t>
            </w:r>
            <w:r w:rsidRPr="0087751B">
              <w:rPr>
                <w:rFonts w:ascii="Arial" w:eastAsia="Arial" w:hAnsi="Arial" w:cs="Arial"/>
                <w:color w:val="000000"/>
                <w:sz w:val="13"/>
                <w:vertAlign w:val="subscript"/>
              </w:rPr>
              <w:t>prod,el,j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DE53608"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D56B7C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135</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2D55C8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1664</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0E4C98D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3205</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2B8F4C9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4747</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337AEFD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6004</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0E4FC58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7676</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55A7FC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10858</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BE4A8B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12588</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2E287F5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14909</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62AB16A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12799</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58911F3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15107</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52688329"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15800</w:t>
            </w:r>
          </w:p>
        </w:tc>
      </w:tr>
      <w:tr w:rsidR="0087751B" w:rsidRPr="0087751B" w14:paraId="0105CD05"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8BD354"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583723A4"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Sprawność η</w:t>
            </w:r>
            <w:r w:rsidRPr="0087751B">
              <w:rPr>
                <w:rFonts w:ascii="Arial" w:eastAsia="Arial" w:hAnsi="Arial" w:cs="Arial"/>
                <w:color w:val="000000"/>
                <w:sz w:val="13"/>
                <w:vertAlign w:val="subscript"/>
              </w:rPr>
              <w:t>prod,j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65F3A85" w14:textId="77777777" w:rsidR="0087751B" w:rsidRPr="0087751B" w:rsidRDefault="0087751B" w:rsidP="0087751B">
            <w:pPr>
              <w:ind w:left="185"/>
              <w:jc w:val="left"/>
              <w:rPr>
                <w:rFonts w:ascii="Century Gothic" w:eastAsia="Century Gothic" w:hAnsi="Century Gothic" w:cs="Century Gothic"/>
                <w:color w:val="000000"/>
              </w:rPr>
            </w:pPr>
            <w:r w:rsidRPr="0087751B">
              <w:rPr>
                <w:rFonts w:ascii="Arial" w:eastAsia="Arial" w:hAnsi="Arial" w:cs="Arial"/>
                <w:color w:val="000000"/>
                <w:sz w:val="13"/>
              </w:rPr>
              <w:t>%</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E54E86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3A6429A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F9DF58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9E044E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BC0597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6D34F442"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100%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38B738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7DAC22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E57250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034C66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13AD1C9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732F84C7"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100%</w:t>
            </w:r>
          </w:p>
        </w:tc>
      </w:tr>
      <w:tr w:rsidR="0087751B" w:rsidRPr="0087751B" w14:paraId="6B2BFCF5"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96DCB5"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749DE5D1"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f</w:t>
            </w:r>
            <w:r w:rsidRPr="0087751B">
              <w:rPr>
                <w:rFonts w:ascii="Arial" w:eastAsia="Arial" w:hAnsi="Arial" w:cs="Arial"/>
                <w:color w:val="000000"/>
                <w:sz w:val="9"/>
              </w:rPr>
              <w:t>nren,j</w:t>
            </w:r>
          </w:p>
        </w:tc>
        <w:tc>
          <w:tcPr>
            <w:tcW w:w="519" w:type="dxa"/>
            <w:tcBorders>
              <w:top w:val="single" w:sz="4" w:space="0" w:color="000000"/>
              <w:left w:val="single" w:sz="4" w:space="0" w:color="000000"/>
              <w:bottom w:val="single" w:sz="4" w:space="0" w:color="000000"/>
              <w:right w:val="single" w:sz="4" w:space="0" w:color="000000"/>
            </w:tcBorders>
            <w:vAlign w:val="center"/>
          </w:tcPr>
          <w:p w14:paraId="688674F7" w14:textId="77777777" w:rsidR="0087751B" w:rsidRPr="0087751B" w:rsidRDefault="0087751B" w:rsidP="0087751B">
            <w:pPr>
              <w:jc w:val="left"/>
              <w:rPr>
                <w:rFonts w:ascii="Century Gothic" w:eastAsia="Century Gothic" w:hAnsi="Century Gothic" w:cs="Century Gothic"/>
                <w:color w:val="000000"/>
              </w:rPr>
            </w:pP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0942134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6E9713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04A830B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4361434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55FDFF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4A204F1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486F3F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849C63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2146C98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33AE492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4039932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7BCFBA53"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0</w:t>
            </w:r>
          </w:p>
        </w:tc>
      </w:tr>
      <w:tr w:rsidR="0087751B" w:rsidRPr="0087751B" w14:paraId="7B3C2177"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94381F"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7E39AD23"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PE</w:t>
            </w:r>
            <w:r w:rsidRPr="0087751B">
              <w:rPr>
                <w:rFonts w:ascii="Arial" w:eastAsia="Arial" w:hAnsi="Arial" w:cs="Arial"/>
                <w:color w:val="000000"/>
                <w:sz w:val="13"/>
                <w:vertAlign w:val="subscript"/>
              </w:rPr>
              <w:t>nren,j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05B41A8B"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696AFFA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8DF0D4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00E161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277174E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69D820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2392196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6E5CD4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901DBF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47614AA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A79EF6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32E1996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13C80388"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0</w:t>
            </w:r>
          </w:p>
        </w:tc>
      </w:tr>
      <w:tr w:rsidR="0087751B" w:rsidRPr="0087751B" w14:paraId="504FD1E7" w14:textId="77777777" w:rsidTr="0087751B">
        <w:trPr>
          <w:trHeight w:val="220"/>
        </w:trPr>
        <w:tc>
          <w:tcPr>
            <w:tcW w:w="905" w:type="dxa"/>
            <w:vMerge w:val="restart"/>
            <w:tcBorders>
              <w:top w:val="single" w:sz="4" w:space="0" w:color="000000"/>
              <w:left w:val="single" w:sz="4" w:space="0" w:color="000000"/>
              <w:bottom w:val="single" w:sz="4" w:space="0" w:color="000000"/>
              <w:right w:val="single" w:sz="4" w:space="0" w:color="000000"/>
            </w:tcBorders>
            <w:vAlign w:val="center"/>
            <w:hideMark/>
          </w:tcPr>
          <w:p w14:paraId="4CDCC0C0" w14:textId="77777777" w:rsidR="0087751B" w:rsidRPr="0087751B" w:rsidRDefault="0087751B" w:rsidP="0087751B">
            <w:pPr>
              <w:ind w:right="28"/>
              <w:jc w:val="center"/>
              <w:rPr>
                <w:rFonts w:ascii="Century Gothic" w:eastAsia="Century Gothic" w:hAnsi="Century Gothic" w:cs="Century Gothic"/>
                <w:color w:val="000000"/>
              </w:rPr>
            </w:pPr>
            <w:r w:rsidRPr="0087751B">
              <w:rPr>
                <w:rFonts w:ascii="Arial" w:eastAsia="Arial" w:hAnsi="Arial" w:cs="Arial"/>
                <w:color w:val="000000"/>
                <w:sz w:val="13"/>
              </w:rPr>
              <w:t>Wodne</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4BDB5C97"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Produkcja E</w:t>
            </w:r>
            <w:r w:rsidRPr="0087751B">
              <w:rPr>
                <w:rFonts w:ascii="Arial" w:eastAsia="Arial" w:hAnsi="Arial" w:cs="Arial"/>
                <w:color w:val="000000"/>
                <w:sz w:val="13"/>
                <w:vertAlign w:val="subscript"/>
              </w:rPr>
              <w:t>prod,el,j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97BFAB3"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644D89C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2201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DAC897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2920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F21733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2331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314DE38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2037</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41F07D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2439</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057B98D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2182</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71A4627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1832</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A62B66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2139</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47FBECA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2560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26B3743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1970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4D7EA49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1958</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0E7C442B"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2118</w:t>
            </w:r>
          </w:p>
        </w:tc>
      </w:tr>
      <w:tr w:rsidR="0087751B" w:rsidRPr="0087751B" w14:paraId="5422AB03"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34722C"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740CC0FF"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Sprawność η</w:t>
            </w:r>
            <w:r w:rsidRPr="0087751B">
              <w:rPr>
                <w:rFonts w:ascii="Arial" w:eastAsia="Arial" w:hAnsi="Arial" w:cs="Arial"/>
                <w:color w:val="000000"/>
                <w:sz w:val="13"/>
                <w:vertAlign w:val="subscript"/>
              </w:rPr>
              <w:t>prod,j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854EDA0" w14:textId="77777777" w:rsidR="0087751B" w:rsidRPr="0087751B" w:rsidRDefault="0087751B" w:rsidP="0087751B">
            <w:pPr>
              <w:ind w:left="185"/>
              <w:jc w:val="left"/>
              <w:rPr>
                <w:rFonts w:ascii="Century Gothic" w:eastAsia="Century Gothic" w:hAnsi="Century Gothic" w:cs="Century Gothic"/>
                <w:color w:val="000000"/>
              </w:rPr>
            </w:pPr>
            <w:r w:rsidRPr="0087751B">
              <w:rPr>
                <w:rFonts w:ascii="Arial" w:eastAsia="Arial" w:hAnsi="Arial" w:cs="Arial"/>
                <w:color w:val="000000"/>
                <w:sz w:val="13"/>
              </w:rPr>
              <w:t>%</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D2CD7A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C5B362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2387CD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7C1ADAD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2D4A388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13688052"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100%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B0F906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F226A6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3658956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F67B1A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4816764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20C58241"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100%</w:t>
            </w:r>
          </w:p>
        </w:tc>
      </w:tr>
      <w:tr w:rsidR="0087751B" w:rsidRPr="0087751B" w14:paraId="68EE12E5"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078328"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283F730B"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f</w:t>
            </w:r>
            <w:r w:rsidRPr="0087751B">
              <w:rPr>
                <w:rFonts w:ascii="Arial" w:eastAsia="Arial" w:hAnsi="Arial" w:cs="Arial"/>
                <w:color w:val="000000"/>
                <w:sz w:val="9"/>
              </w:rPr>
              <w:t>nren,j</w:t>
            </w:r>
          </w:p>
        </w:tc>
        <w:tc>
          <w:tcPr>
            <w:tcW w:w="519" w:type="dxa"/>
            <w:tcBorders>
              <w:top w:val="single" w:sz="4" w:space="0" w:color="000000"/>
              <w:left w:val="single" w:sz="4" w:space="0" w:color="000000"/>
              <w:bottom w:val="single" w:sz="4" w:space="0" w:color="000000"/>
              <w:right w:val="single" w:sz="4" w:space="0" w:color="000000"/>
            </w:tcBorders>
            <w:vAlign w:val="center"/>
          </w:tcPr>
          <w:p w14:paraId="252D3AD9" w14:textId="77777777" w:rsidR="0087751B" w:rsidRPr="0087751B" w:rsidRDefault="0087751B" w:rsidP="0087751B">
            <w:pPr>
              <w:jc w:val="left"/>
              <w:rPr>
                <w:rFonts w:ascii="Century Gothic" w:eastAsia="Century Gothic" w:hAnsi="Century Gothic" w:cs="Century Gothic"/>
                <w:color w:val="000000"/>
              </w:rPr>
            </w:pP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337661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F54FA6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4A16AD5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6304A25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3D5E01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7F02BA6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6B6F34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39F415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1F9B2F1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F6AD9A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612BBF8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665F1679"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0</w:t>
            </w:r>
          </w:p>
        </w:tc>
      </w:tr>
      <w:tr w:rsidR="0087751B" w:rsidRPr="0087751B" w14:paraId="343A66F4"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57CD76"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1371DB6C"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PE</w:t>
            </w:r>
            <w:r w:rsidRPr="0087751B">
              <w:rPr>
                <w:rFonts w:ascii="Arial" w:eastAsia="Arial" w:hAnsi="Arial" w:cs="Arial"/>
                <w:color w:val="000000"/>
                <w:sz w:val="13"/>
                <w:vertAlign w:val="subscript"/>
              </w:rPr>
              <w:t>nren,j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1FB7084"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61826D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797948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D29A0F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3111C84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23C1DE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275350C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24DB3E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9FCBE0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3012E31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F9ECD4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6A37356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6307905F"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0</w:t>
            </w:r>
          </w:p>
        </w:tc>
      </w:tr>
      <w:tr w:rsidR="0087751B" w:rsidRPr="0087751B" w14:paraId="2E28ABDB" w14:textId="77777777" w:rsidTr="0087751B">
        <w:trPr>
          <w:trHeight w:val="220"/>
        </w:trPr>
        <w:tc>
          <w:tcPr>
            <w:tcW w:w="905" w:type="dxa"/>
            <w:vMerge w:val="restart"/>
            <w:tcBorders>
              <w:top w:val="single" w:sz="4" w:space="0" w:color="000000"/>
              <w:left w:val="single" w:sz="4" w:space="0" w:color="000000"/>
              <w:bottom w:val="single" w:sz="4" w:space="0" w:color="000000"/>
              <w:right w:val="single" w:sz="4" w:space="0" w:color="000000"/>
            </w:tcBorders>
            <w:vAlign w:val="center"/>
            <w:hideMark/>
          </w:tcPr>
          <w:p w14:paraId="3F8C5B55" w14:textId="77777777" w:rsidR="0087751B" w:rsidRPr="0087751B" w:rsidRDefault="0087751B" w:rsidP="0087751B">
            <w:pPr>
              <w:jc w:val="center"/>
              <w:rPr>
                <w:rFonts w:ascii="Century Gothic" w:eastAsia="Century Gothic" w:hAnsi="Century Gothic" w:cs="Century Gothic"/>
                <w:color w:val="000000"/>
              </w:rPr>
            </w:pPr>
            <w:r w:rsidRPr="0087751B">
              <w:rPr>
                <w:rFonts w:ascii="Arial" w:eastAsia="Arial" w:hAnsi="Arial" w:cs="Arial"/>
                <w:color w:val="000000"/>
                <w:sz w:val="13"/>
              </w:rPr>
              <w:t>Pozostałe paliwa</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0698AAAB"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Produkcja E</w:t>
            </w:r>
            <w:r w:rsidRPr="0087751B">
              <w:rPr>
                <w:rFonts w:ascii="Arial" w:eastAsia="Arial" w:hAnsi="Arial" w:cs="Arial"/>
                <w:color w:val="000000"/>
                <w:sz w:val="13"/>
                <w:vertAlign w:val="subscript"/>
              </w:rPr>
              <w:t>prod,el,j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9D80CFB"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6076CF2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4466</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8F4E59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4797</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618284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4200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17CDC02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3991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B52416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3900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2DA4226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3810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CC97BC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4200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89F36E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5193</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7F09DDB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4613</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388B65E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4 745</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56D0762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4 620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1650A077"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4291</w:t>
            </w:r>
          </w:p>
        </w:tc>
      </w:tr>
      <w:tr w:rsidR="0087751B" w:rsidRPr="0087751B" w14:paraId="796F1DD3"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55B3FE"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17E70366"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Sprawność η</w:t>
            </w:r>
            <w:r w:rsidRPr="0087751B">
              <w:rPr>
                <w:rFonts w:ascii="Arial" w:eastAsia="Arial" w:hAnsi="Arial" w:cs="Arial"/>
                <w:color w:val="000000"/>
                <w:sz w:val="13"/>
                <w:vertAlign w:val="subscript"/>
              </w:rPr>
              <w:t>prod,j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47A17A8" w14:textId="77777777" w:rsidR="0087751B" w:rsidRPr="0087751B" w:rsidRDefault="0087751B" w:rsidP="0087751B">
            <w:pPr>
              <w:ind w:left="185"/>
              <w:jc w:val="left"/>
              <w:rPr>
                <w:rFonts w:ascii="Century Gothic" w:eastAsia="Century Gothic" w:hAnsi="Century Gothic" w:cs="Century Gothic"/>
                <w:color w:val="000000"/>
              </w:rPr>
            </w:pPr>
            <w:r w:rsidRPr="0087751B">
              <w:rPr>
                <w:rFonts w:ascii="Arial" w:eastAsia="Arial" w:hAnsi="Arial" w:cs="Arial"/>
                <w:color w:val="000000"/>
                <w:sz w:val="13"/>
              </w:rPr>
              <w:t>%</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AEA32F7" w14:textId="77777777" w:rsidR="0087751B" w:rsidRPr="0087751B" w:rsidRDefault="0087751B" w:rsidP="0087751B">
            <w:pPr>
              <w:ind w:left="115"/>
              <w:jc w:val="left"/>
              <w:rPr>
                <w:rFonts w:ascii="Century Gothic" w:eastAsia="Century Gothic" w:hAnsi="Century Gothic" w:cs="Century Gothic"/>
                <w:color w:val="000000"/>
              </w:rPr>
            </w:pPr>
            <w:r w:rsidRPr="0087751B">
              <w:rPr>
                <w:rFonts w:ascii="Arial" w:eastAsia="Arial" w:hAnsi="Arial" w:cs="Arial"/>
                <w:color w:val="000000"/>
                <w:sz w:val="13"/>
              </w:rPr>
              <w:t>36,2%</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5B20AA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36,2%</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4A4F1869" w14:textId="77777777" w:rsidR="0087751B" w:rsidRPr="0087751B" w:rsidRDefault="0087751B" w:rsidP="0087751B">
            <w:pPr>
              <w:ind w:left="114"/>
              <w:jc w:val="left"/>
              <w:rPr>
                <w:rFonts w:ascii="Century Gothic" w:eastAsia="Century Gothic" w:hAnsi="Century Gothic" w:cs="Century Gothic"/>
                <w:color w:val="000000"/>
              </w:rPr>
            </w:pPr>
            <w:r w:rsidRPr="0087751B">
              <w:rPr>
                <w:rFonts w:ascii="Arial" w:eastAsia="Arial" w:hAnsi="Arial" w:cs="Arial"/>
                <w:color w:val="000000"/>
                <w:sz w:val="13"/>
              </w:rPr>
              <w:t>36,6%</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7683E19"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36,8%</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52329A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36,7%</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410122EA"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37,0%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3A53689"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37,1%</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42A033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37,5%</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6AC9CF22"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37,6%</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B1C451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37,9%</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6694237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38,1%</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5C2102A3"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38,7%</w:t>
            </w:r>
          </w:p>
        </w:tc>
      </w:tr>
      <w:tr w:rsidR="0087751B" w:rsidRPr="0087751B" w14:paraId="3683AAA2"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D81619"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1AD48D08"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f</w:t>
            </w:r>
            <w:r w:rsidRPr="0087751B">
              <w:rPr>
                <w:rFonts w:ascii="Arial" w:eastAsia="Arial" w:hAnsi="Arial" w:cs="Arial"/>
                <w:color w:val="000000"/>
                <w:sz w:val="9"/>
              </w:rPr>
              <w:t>nren,j</w:t>
            </w:r>
          </w:p>
        </w:tc>
        <w:tc>
          <w:tcPr>
            <w:tcW w:w="519" w:type="dxa"/>
            <w:tcBorders>
              <w:top w:val="single" w:sz="4" w:space="0" w:color="000000"/>
              <w:left w:val="single" w:sz="4" w:space="0" w:color="000000"/>
              <w:bottom w:val="single" w:sz="4" w:space="0" w:color="000000"/>
              <w:right w:val="single" w:sz="4" w:space="0" w:color="000000"/>
            </w:tcBorders>
            <w:vAlign w:val="center"/>
          </w:tcPr>
          <w:p w14:paraId="67333E7A" w14:textId="77777777" w:rsidR="0087751B" w:rsidRPr="0087751B" w:rsidRDefault="0087751B" w:rsidP="0087751B">
            <w:pPr>
              <w:jc w:val="left"/>
              <w:rPr>
                <w:rFonts w:ascii="Century Gothic" w:eastAsia="Century Gothic" w:hAnsi="Century Gothic" w:cs="Century Gothic"/>
                <w:color w:val="000000"/>
              </w:rPr>
            </w:pP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3F0AE9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3367337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92D6CA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7EAE7DD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71E70E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35DE38F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93D316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B9D210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4609A10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A7350F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34F5581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43412DB7"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1,1</w:t>
            </w:r>
          </w:p>
        </w:tc>
      </w:tr>
      <w:tr w:rsidR="0087751B" w:rsidRPr="0087751B" w14:paraId="445B531F"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5EAEE"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5382A3BF"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PE</w:t>
            </w:r>
            <w:r w:rsidRPr="0087751B">
              <w:rPr>
                <w:rFonts w:ascii="Arial" w:eastAsia="Arial" w:hAnsi="Arial" w:cs="Arial"/>
                <w:color w:val="000000"/>
                <w:sz w:val="13"/>
                <w:vertAlign w:val="subscript"/>
              </w:rPr>
              <w:t>nren,j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5D0B6D2"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4302675D"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13571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E4422C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14577</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6F78E94"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12623</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02258C8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11930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58CB27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11689</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31A76B81" w14:textId="77777777" w:rsidR="0087751B" w:rsidRPr="0087751B" w:rsidRDefault="0087751B" w:rsidP="0087751B">
            <w:pPr>
              <w:ind w:left="97"/>
              <w:jc w:val="left"/>
              <w:rPr>
                <w:rFonts w:ascii="Century Gothic" w:eastAsia="Century Gothic" w:hAnsi="Century Gothic" w:cs="Century Gothic"/>
                <w:color w:val="000000"/>
              </w:rPr>
            </w:pPr>
            <w:r w:rsidRPr="0087751B">
              <w:rPr>
                <w:rFonts w:ascii="Arial" w:eastAsia="Arial" w:hAnsi="Arial" w:cs="Arial"/>
                <w:color w:val="000000"/>
                <w:sz w:val="13"/>
              </w:rPr>
              <w:t>11327</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7ED4106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12453</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885FF6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15233</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37A4176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13495</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2D23272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13772</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38A207B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13339</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3B0EDDAF"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12197</w:t>
            </w:r>
          </w:p>
        </w:tc>
      </w:tr>
      <w:tr w:rsidR="0087751B" w:rsidRPr="0087751B" w14:paraId="377B9968" w14:textId="77777777" w:rsidTr="0087751B">
        <w:trPr>
          <w:trHeight w:val="220"/>
        </w:trPr>
        <w:tc>
          <w:tcPr>
            <w:tcW w:w="905" w:type="dxa"/>
            <w:vMerge w:val="restart"/>
            <w:tcBorders>
              <w:top w:val="single" w:sz="4" w:space="0" w:color="000000"/>
              <w:left w:val="single" w:sz="4" w:space="0" w:color="000000"/>
              <w:bottom w:val="single" w:sz="4" w:space="0" w:color="000000"/>
              <w:right w:val="single" w:sz="4" w:space="0" w:color="000000"/>
            </w:tcBorders>
            <w:vAlign w:val="center"/>
            <w:hideMark/>
          </w:tcPr>
          <w:p w14:paraId="7E90B036" w14:textId="77777777" w:rsidR="0087751B" w:rsidRPr="0087751B" w:rsidRDefault="0087751B" w:rsidP="0087751B">
            <w:pPr>
              <w:ind w:left="238" w:hanging="97"/>
              <w:jc w:val="left"/>
              <w:rPr>
                <w:rFonts w:ascii="Century Gothic" w:eastAsia="Century Gothic" w:hAnsi="Century Gothic" w:cs="Century Gothic"/>
                <w:color w:val="000000"/>
              </w:rPr>
            </w:pPr>
            <w:r w:rsidRPr="0087751B">
              <w:rPr>
                <w:rFonts w:ascii="Arial" w:eastAsia="Arial" w:hAnsi="Arial" w:cs="Arial"/>
                <w:color w:val="000000"/>
                <w:sz w:val="13"/>
              </w:rPr>
              <w:t>Biomasa i biogaz</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0FC513A9"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Produkcja E</w:t>
            </w:r>
            <w:r w:rsidRPr="0087751B">
              <w:rPr>
                <w:rFonts w:ascii="Arial" w:eastAsia="Arial" w:hAnsi="Arial" w:cs="Arial"/>
                <w:color w:val="000000"/>
                <w:sz w:val="13"/>
                <w:vertAlign w:val="subscript"/>
              </w:rPr>
              <w:t>prod,el,j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690009B"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D73F55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1511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4985CA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6305</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4266BA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7601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00FC8D0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10094</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3BA472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8622</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4C47F98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9976</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03BD5E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9932</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289EB6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7957</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0191BF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6416</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6E52045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6511</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5B7D391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7578</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6E04569C"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8350</w:t>
            </w:r>
          </w:p>
        </w:tc>
      </w:tr>
      <w:tr w:rsidR="0087751B" w:rsidRPr="0087751B" w14:paraId="2FC268F5"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B8F2A4"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21413879"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Sprawność η</w:t>
            </w:r>
            <w:r w:rsidRPr="0087751B">
              <w:rPr>
                <w:rFonts w:ascii="Arial" w:eastAsia="Arial" w:hAnsi="Arial" w:cs="Arial"/>
                <w:color w:val="000000"/>
                <w:sz w:val="13"/>
                <w:vertAlign w:val="subscript"/>
              </w:rPr>
              <w:t>prod,j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E204AF4" w14:textId="77777777" w:rsidR="0087751B" w:rsidRPr="0087751B" w:rsidRDefault="0087751B" w:rsidP="0087751B">
            <w:pPr>
              <w:ind w:left="185"/>
              <w:jc w:val="left"/>
              <w:rPr>
                <w:rFonts w:ascii="Century Gothic" w:eastAsia="Century Gothic" w:hAnsi="Century Gothic" w:cs="Century Gothic"/>
                <w:color w:val="000000"/>
              </w:rPr>
            </w:pPr>
            <w:r w:rsidRPr="0087751B">
              <w:rPr>
                <w:rFonts w:ascii="Arial" w:eastAsia="Arial" w:hAnsi="Arial" w:cs="Arial"/>
                <w:color w:val="000000"/>
                <w:sz w:val="13"/>
              </w:rPr>
              <w:t>%</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7E85A0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25%</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7D324F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25%</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0A3D46A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25%</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6BCC86B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25%</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205881E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25%</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7E7C64F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25%</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5394C3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25%</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22DABB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25%</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2D21DEE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25%</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7721A9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25%</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3F720FC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25%</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15D53797"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25%</w:t>
            </w:r>
          </w:p>
        </w:tc>
      </w:tr>
      <w:tr w:rsidR="0087751B" w:rsidRPr="0087751B" w14:paraId="1EDBF795"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415552"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75730E37"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f</w:t>
            </w:r>
            <w:r w:rsidRPr="0087751B">
              <w:rPr>
                <w:rFonts w:ascii="Arial" w:eastAsia="Arial" w:hAnsi="Arial" w:cs="Arial"/>
                <w:color w:val="000000"/>
                <w:sz w:val="9"/>
              </w:rPr>
              <w:t>nren,j</w:t>
            </w:r>
          </w:p>
        </w:tc>
        <w:tc>
          <w:tcPr>
            <w:tcW w:w="519" w:type="dxa"/>
            <w:tcBorders>
              <w:top w:val="single" w:sz="4" w:space="0" w:color="000000"/>
              <w:left w:val="single" w:sz="4" w:space="0" w:color="000000"/>
              <w:bottom w:val="single" w:sz="4" w:space="0" w:color="000000"/>
              <w:right w:val="single" w:sz="4" w:space="0" w:color="000000"/>
            </w:tcBorders>
            <w:vAlign w:val="center"/>
          </w:tcPr>
          <w:p w14:paraId="59F5559B" w14:textId="77777777" w:rsidR="0087751B" w:rsidRPr="0087751B" w:rsidRDefault="0087751B" w:rsidP="0087751B">
            <w:pPr>
              <w:jc w:val="left"/>
              <w:rPr>
                <w:rFonts w:ascii="Century Gothic" w:eastAsia="Century Gothic" w:hAnsi="Century Gothic" w:cs="Century Gothic"/>
                <w:color w:val="000000"/>
              </w:rPr>
            </w:pP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3E1FE7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0,2</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FEAF47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0,2</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3B0602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0,2</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0658E8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0,2</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631AEE6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0,2</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1B39835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0,2</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870A63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0,2</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4A4ED8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0,2</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263A6A8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0,2</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2A15A63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0,2</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1B97734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0,2</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1C2DA9E8"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0,2</w:t>
            </w:r>
          </w:p>
        </w:tc>
      </w:tr>
      <w:tr w:rsidR="0087751B" w:rsidRPr="0087751B" w14:paraId="41010F3D"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B5E1D9"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17A6300E"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PE</w:t>
            </w:r>
            <w:r w:rsidRPr="0087751B">
              <w:rPr>
                <w:rFonts w:ascii="Arial" w:eastAsia="Arial" w:hAnsi="Arial" w:cs="Arial"/>
                <w:color w:val="000000"/>
                <w:sz w:val="13"/>
                <w:vertAlign w:val="subscript"/>
              </w:rPr>
              <w:t>nren,j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D8E440E"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5D5A50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1209</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6029C70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5044</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DC43EB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6081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2CA5D12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8075</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055E8F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6898</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2AD701C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7981</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56B219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7946</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9F4FEA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6366</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6D9B06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5133</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851E6B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5209</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790CDF4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6062</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7DDDCCA7"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6680</w:t>
            </w:r>
          </w:p>
        </w:tc>
      </w:tr>
      <w:tr w:rsidR="0087751B" w:rsidRPr="0087751B" w14:paraId="49EF6EFD" w14:textId="77777777" w:rsidTr="0087751B">
        <w:trPr>
          <w:trHeight w:val="220"/>
        </w:trPr>
        <w:tc>
          <w:tcPr>
            <w:tcW w:w="905" w:type="dxa"/>
            <w:vMerge w:val="restart"/>
            <w:tcBorders>
              <w:top w:val="single" w:sz="4" w:space="0" w:color="000000"/>
              <w:left w:val="single" w:sz="4" w:space="0" w:color="000000"/>
              <w:bottom w:val="single" w:sz="4" w:space="0" w:color="000000"/>
              <w:right w:val="single" w:sz="4" w:space="0" w:color="000000"/>
            </w:tcBorders>
            <w:vAlign w:val="center"/>
            <w:hideMark/>
          </w:tcPr>
          <w:p w14:paraId="60B278A4" w14:textId="77777777" w:rsidR="0087751B" w:rsidRPr="0087751B" w:rsidRDefault="0087751B" w:rsidP="0087751B">
            <w:pPr>
              <w:jc w:val="center"/>
              <w:rPr>
                <w:rFonts w:ascii="Century Gothic" w:eastAsia="Century Gothic" w:hAnsi="Century Gothic" w:cs="Century Gothic"/>
                <w:color w:val="000000"/>
              </w:rPr>
            </w:pPr>
            <w:r w:rsidRPr="0087751B">
              <w:rPr>
                <w:rFonts w:ascii="Arial" w:eastAsia="Arial" w:hAnsi="Arial" w:cs="Arial"/>
                <w:color w:val="000000"/>
                <w:sz w:val="13"/>
              </w:rPr>
              <w:t>Wegiel kamienny</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39CB117B"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Produkcja E</w:t>
            </w:r>
            <w:r w:rsidRPr="0087751B">
              <w:rPr>
                <w:rFonts w:ascii="Arial" w:eastAsia="Arial" w:hAnsi="Arial" w:cs="Arial"/>
                <w:color w:val="000000"/>
                <w:sz w:val="13"/>
                <w:vertAlign w:val="subscript"/>
              </w:rPr>
              <w:t>prod,el,j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E6A76B9"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5596549"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87123</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218F5F5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87863</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4493A77"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87326</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854A10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80528</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1B1589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81568</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4B9F64CD" w14:textId="77777777" w:rsidR="0087751B" w:rsidRPr="0087751B" w:rsidRDefault="0087751B" w:rsidP="0087751B">
            <w:pPr>
              <w:ind w:left="97"/>
              <w:jc w:val="left"/>
              <w:rPr>
                <w:rFonts w:ascii="Century Gothic" w:eastAsia="Century Gothic" w:hAnsi="Century Gothic" w:cs="Century Gothic"/>
                <w:color w:val="000000"/>
              </w:rPr>
            </w:pPr>
            <w:r w:rsidRPr="0087751B">
              <w:rPr>
                <w:rFonts w:ascii="Arial" w:eastAsia="Arial" w:hAnsi="Arial" w:cs="Arial"/>
                <w:color w:val="000000"/>
                <w:sz w:val="13"/>
              </w:rPr>
              <w:t>76162</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CEAFA2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77693</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D8C1A7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79400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22E00EB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79022</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8A140E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81257</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2D4376C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76538</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10312F47"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69668</w:t>
            </w:r>
          </w:p>
        </w:tc>
      </w:tr>
      <w:tr w:rsidR="0087751B" w:rsidRPr="0087751B" w14:paraId="6CD0C14C"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81C298"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6A12FD29"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Sprawność η</w:t>
            </w:r>
            <w:r w:rsidRPr="0087751B">
              <w:rPr>
                <w:rFonts w:ascii="Arial" w:eastAsia="Arial" w:hAnsi="Arial" w:cs="Arial"/>
                <w:color w:val="000000"/>
                <w:sz w:val="13"/>
                <w:vertAlign w:val="subscript"/>
              </w:rPr>
              <w:t>prod,j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586F3B8" w14:textId="77777777" w:rsidR="0087751B" w:rsidRPr="0087751B" w:rsidRDefault="0087751B" w:rsidP="0087751B">
            <w:pPr>
              <w:ind w:left="185"/>
              <w:jc w:val="left"/>
              <w:rPr>
                <w:rFonts w:ascii="Century Gothic" w:eastAsia="Century Gothic" w:hAnsi="Century Gothic" w:cs="Century Gothic"/>
                <w:color w:val="000000"/>
              </w:rPr>
            </w:pPr>
            <w:r w:rsidRPr="0087751B">
              <w:rPr>
                <w:rFonts w:ascii="Arial" w:eastAsia="Arial" w:hAnsi="Arial" w:cs="Arial"/>
                <w:color w:val="000000"/>
                <w:sz w:val="13"/>
              </w:rPr>
              <w:t>%</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540DFBD" w14:textId="77777777" w:rsidR="0087751B" w:rsidRPr="0087751B" w:rsidRDefault="0087751B" w:rsidP="0087751B">
            <w:pPr>
              <w:ind w:left="44"/>
              <w:rPr>
                <w:rFonts w:ascii="Century Gothic" w:eastAsia="Century Gothic" w:hAnsi="Century Gothic" w:cs="Century Gothic"/>
                <w:color w:val="000000"/>
              </w:rPr>
            </w:pPr>
            <w:r w:rsidRPr="0087751B">
              <w:rPr>
                <w:rFonts w:ascii="Arial" w:eastAsia="Arial" w:hAnsi="Arial" w:cs="Arial"/>
                <w:color w:val="000000"/>
                <w:sz w:val="13"/>
              </w:rPr>
              <w:t>36,20%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34D44647" w14:textId="77777777" w:rsidR="0087751B" w:rsidRPr="0087751B" w:rsidRDefault="0087751B" w:rsidP="0087751B">
            <w:pPr>
              <w:ind w:left="70"/>
              <w:jc w:val="left"/>
              <w:rPr>
                <w:rFonts w:ascii="Century Gothic" w:eastAsia="Century Gothic" w:hAnsi="Century Gothic" w:cs="Century Gothic"/>
                <w:color w:val="000000"/>
              </w:rPr>
            </w:pPr>
            <w:r w:rsidRPr="0087751B">
              <w:rPr>
                <w:rFonts w:ascii="Arial" w:eastAsia="Arial" w:hAnsi="Arial" w:cs="Arial"/>
                <w:color w:val="000000"/>
                <w:sz w:val="13"/>
              </w:rPr>
              <w:t>36,20%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4E98EBDB" w14:textId="77777777" w:rsidR="0087751B" w:rsidRPr="0087751B" w:rsidRDefault="0087751B" w:rsidP="0087751B">
            <w:pPr>
              <w:ind w:left="44"/>
              <w:rPr>
                <w:rFonts w:ascii="Century Gothic" w:eastAsia="Century Gothic" w:hAnsi="Century Gothic" w:cs="Century Gothic"/>
                <w:color w:val="000000"/>
              </w:rPr>
            </w:pPr>
            <w:r w:rsidRPr="0087751B">
              <w:rPr>
                <w:rFonts w:ascii="Arial" w:eastAsia="Arial" w:hAnsi="Arial" w:cs="Arial"/>
                <w:color w:val="000000"/>
                <w:sz w:val="13"/>
              </w:rPr>
              <w:t>36,60%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B9D1722"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36,80%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348D66BE" w14:textId="77777777" w:rsidR="0087751B" w:rsidRPr="0087751B" w:rsidRDefault="0087751B" w:rsidP="0087751B">
            <w:pPr>
              <w:ind w:left="71"/>
              <w:jc w:val="left"/>
              <w:rPr>
                <w:rFonts w:ascii="Century Gothic" w:eastAsia="Century Gothic" w:hAnsi="Century Gothic" w:cs="Century Gothic"/>
                <w:color w:val="000000"/>
              </w:rPr>
            </w:pPr>
            <w:r w:rsidRPr="0087751B">
              <w:rPr>
                <w:rFonts w:ascii="Arial" w:eastAsia="Arial" w:hAnsi="Arial" w:cs="Arial"/>
                <w:color w:val="000000"/>
                <w:sz w:val="13"/>
              </w:rPr>
              <w:t>36,70%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2FAB5660" w14:textId="77777777" w:rsidR="0087751B" w:rsidRPr="0087751B" w:rsidRDefault="0087751B" w:rsidP="0087751B">
            <w:pPr>
              <w:ind w:left="17"/>
              <w:rPr>
                <w:rFonts w:ascii="Century Gothic" w:eastAsia="Century Gothic" w:hAnsi="Century Gothic" w:cs="Century Gothic"/>
                <w:color w:val="000000"/>
              </w:rPr>
            </w:pPr>
            <w:r w:rsidRPr="0087751B">
              <w:rPr>
                <w:rFonts w:ascii="Arial" w:eastAsia="Arial" w:hAnsi="Arial" w:cs="Arial"/>
                <w:color w:val="000000"/>
                <w:sz w:val="13"/>
              </w:rPr>
              <w:t>37,00%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B1D6210"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37,10%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147DAB4"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37,50%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0C9DEB88"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37,60%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21618677" w14:textId="77777777" w:rsidR="0087751B" w:rsidRPr="0087751B" w:rsidRDefault="0087751B" w:rsidP="0087751B">
            <w:pPr>
              <w:ind w:left="71"/>
              <w:jc w:val="left"/>
              <w:rPr>
                <w:rFonts w:ascii="Century Gothic" w:eastAsia="Century Gothic" w:hAnsi="Century Gothic" w:cs="Century Gothic"/>
                <w:color w:val="000000"/>
              </w:rPr>
            </w:pPr>
            <w:r w:rsidRPr="0087751B">
              <w:rPr>
                <w:rFonts w:ascii="Arial" w:eastAsia="Arial" w:hAnsi="Arial" w:cs="Arial"/>
                <w:color w:val="000000"/>
                <w:sz w:val="13"/>
              </w:rPr>
              <w:t>37,90%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357056B4" w14:textId="77777777" w:rsidR="0087751B" w:rsidRPr="0087751B" w:rsidRDefault="0087751B" w:rsidP="0087751B">
            <w:pPr>
              <w:ind w:left="105"/>
              <w:jc w:val="left"/>
              <w:rPr>
                <w:rFonts w:ascii="Century Gothic" w:eastAsia="Century Gothic" w:hAnsi="Century Gothic" w:cs="Century Gothic"/>
                <w:color w:val="000000"/>
              </w:rPr>
            </w:pPr>
            <w:r w:rsidRPr="0087751B">
              <w:rPr>
                <w:rFonts w:ascii="Arial" w:eastAsia="Arial" w:hAnsi="Arial" w:cs="Arial"/>
                <w:color w:val="000000"/>
                <w:sz w:val="13"/>
              </w:rPr>
              <w:t>38,10%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31BAF834" w14:textId="77777777" w:rsidR="0087751B" w:rsidRPr="0087751B" w:rsidRDefault="0087751B" w:rsidP="0087751B">
            <w:pPr>
              <w:ind w:left="114"/>
              <w:jc w:val="left"/>
              <w:rPr>
                <w:rFonts w:ascii="Century Gothic" w:eastAsia="Century Gothic" w:hAnsi="Century Gothic" w:cs="Century Gothic"/>
                <w:color w:val="000000"/>
              </w:rPr>
            </w:pPr>
            <w:r w:rsidRPr="0087751B">
              <w:rPr>
                <w:rFonts w:ascii="Arial" w:eastAsia="Arial" w:hAnsi="Arial" w:cs="Arial"/>
                <w:color w:val="000000"/>
                <w:sz w:val="13"/>
              </w:rPr>
              <w:t>38,70%</w:t>
            </w:r>
          </w:p>
        </w:tc>
      </w:tr>
      <w:tr w:rsidR="0087751B" w:rsidRPr="0087751B" w14:paraId="181C04F1"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947BB8"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1E5B061B"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f</w:t>
            </w:r>
            <w:r w:rsidRPr="0087751B">
              <w:rPr>
                <w:rFonts w:ascii="Arial" w:eastAsia="Arial" w:hAnsi="Arial" w:cs="Arial"/>
                <w:color w:val="000000"/>
                <w:sz w:val="9"/>
              </w:rPr>
              <w:t>nren,j</w:t>
            </w:r>
          </w:p>
        </w:tc>
        <w:tc>
          <w:tcPr>
            <w:tcW w:w="519" w:type="dxa"/>
            <w:tcBorders>
              <w:top w:val="single" w:sz="4" w:space="0" w:color="000000"/>
              <w:left w:val="single" w:sz="4" w:space="0" w:color="000000"/>
              <w:bottom w:val="single" w:sz="4" w:space="0" w:color="000000"/>
              <w:right w:val="single" w:sz="4" w:space="0" w:color="000000"/>
            </w:tcBorders>
            <w:vAlign w:val="center"/>
          </w:tcPr>
          <w:p w14:paraId="2505FF7E" w14:textId="77777777" w:rsidR="0087751B" w:rsidRPr="0087751B" w:rsidRDefault="0087751B" w:rsidP="0087751B">
            <w:pPr>
              <w:jc w:val="left"/>
              <w:rPr>
                <w:rFonts w:ascii="Century Gothic" w:eastAsia="Century Gothic" w:hAnsi="Century Gothic" w:cs="Century Gothic"/>
                <w:color w:val="000000"/>
              </w:rPr>
            </w:pP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2275BC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6AF8439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147074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2CEFD50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7CC9FB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501853C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0539FE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32A8F9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02D2E3C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6F78256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6F4096E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1BEAC1DD"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1,1</w:t>
            </w:r>
          </w:p>
        </w:tc>
      </w:tr>
      <w:tr w:rsidR="0087751B" w:rsidRPr="0087751B" w14:paraId="6CE2DD42"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65A3C"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56F06A9D"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PE</w:t>
            </w:r>
            <w:r w:rsidRPr="0087751B">
              <w:rPr>
                <w:rFonts w:ascii="Arial" w:eastAsia="Arial" w:hAnsi="Arial" w:cs="Arial"/>
                <w:color w:val="000000"/>
                <w:sz w:val="13"/>
                <w:vertAlign w:val="subscript"/>
              </w:rPr>
              <w:t>nren,j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6036F96D"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80BB61F"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264738</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34568FD7"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266987</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7D8F701"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262455</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988E1A4" w14:textId="77777777" w:rsidR="0087751B" w:rsidRPr="0087751B" w:rsidRDefault="0087751B" w:rsidP="0087751B">
            <w:pPr>
              <w:ind w:left="62"/>
              <w:jc w:val="left"/>
              <w:rPr>
                <w:rFonts w:ascii="Century Gothic" w:eastAsia="Century Gothic" w:hAnsi="Century Gothic" w:cs="Century Gothic"/>
                <w:color w:val="000000"/>
              </w:rPr>
            </w:pPr>
            <w:r w:rsidRPr="0087751B">
              <w:rPr>
                <w:rFonts w:ascii="Arial" w:eastAsia="Arial" w:hAnsi="Arial" w:cs="Arial"/>
                <w:color w:val="000000"/>
                <w:sz w:val="13"/>
              </w:rPr>
              <w:t>240709</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3452937"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244482</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3F4B1E9D" w14:textId="77777777" w:rsidR="0087751B" w:rsidRPr="0087751B" w:rsidRDefault="0087751B" w:rsidP="0087751B">
            <w:pPr>
              <w:ind w:left="26"/>
              <w:rPr>
                <w:rFonts w:ascii="Century Gothic" w:eastAsia="Century Gothic" w:hAnsi="Century Gothic" w:cs="Century Gothic"/>
                <w:color w:val="000000"/>
              </w:rPr>
            </w:pPr>
            <w:r w:rsidRPr="0087751B">
              <w:rPr>
                <w:rFonts w:ascii="Arial" w:eastAsia="Arial" w:hAnsi="Arial" w:cs="Arial"/>
                <w:color w:val="000000"/>
                <w:sz w:val="13"/>
              </w:rPr>
              <w:t>226428</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FE23BC9"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230357</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51C642F"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232907</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0D3C5AEF" w14:textId="77777777" w:rsidR="0087751B" w:rsidRPr="0087751B" w:rsidRDefault="0087751B" w:rsidP="0087751B">
            <w:pPr>
              <w:ind w:left="62"/>
              <w:jc w:val="left"/>
              <w:rPr>
                <w:rFonts w:ascii="Century Gothic" w:eastAsia="Century Gothic" w:hAnsi="Century Gothic" w:cs="Century Gothic"/>
                <w:color w:val="000000"/>
              </w:rPr>
            </w:pPr>
            <w:r w:rsidRPr="0087751B">
              <w:rPr>
                <w:rFonts w:ascii="Arial" w:eastAsia="Arial" w:hAnsi="Arial" w:cs="Arial"/>
                <w:color w:val="000000"/>
                <w:sz w:val="13"/>
              </w:rPr>
              <w:t>231181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F793FF7"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235838</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4997C8F6" w14:textId="77777777" w:rsidR="0087751B" w:rsidRPr="0087751B" w:rsidRDefault="0087751B" w:rsidP="0087751B">
            <w:pPr>
              <w:ind w:left="114"/>
              <w:jc w:val="left"/>
              <w:rPr>
                <w:rFonts w:ascii="Century Gothic" w:eastAsia="Century Gothic" w:hAnsi="Century Gothic" w:cs="Century Gothic"/>
                <w:color w:val="000000"/>
              </w:rPr>
            </w:pPr>
            <w:r w:rsidRPr="0087751B">
              <w:rPr>
                <w:rFonts w:ascii="Arial" w:eastAsia="Arial" w:hAnsi="Arial" w:cs="Arial"/>
                <w:color w:val="000000"/>
                <w:sz w:val="13"/>
              </w:rPr>
              <w:t>220976</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5F05643A"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198023</w:t>
            </w:r>
          </w:p>
        </w:tc>
      </w:tr>
      <w:tr w:rsidR="0087751B" w:rsidRPr="0087751B" w14:paraId="1F69C2FD" w14:textId="77777777" w:rsidTr="0087751B">
        <w:trPr>
          <w:trHeight w:val="220"/>
        </w:trPr>
        <w:tc>
          <w:tcPr>
            <w:tcW w:w="905" w:type="dxa"/>
            <w:vMerge w:val="restart"/>
            <w:tcBorders>
              <w:top w:val="single" w:sz="4" w:space="0" w:color="000000"/>
              <w:left w:val="single" w:sz="4" w:space="0" w:color="000000"/>
              <w:bottom w:val="single" w:sz="4" w:space="0" w:color="000000"/>
              <w:right w:val="single" w:sz="4" w:space="0" w:color="000000"/>
            </w:tcBorders>
            <w:vAlign w:val="center"/>
            <w:hideMark/>
          </w:tcPr>
          <w:p w14:paraId="564F2529" w14:textId="77777777" w:rsidR="0087751B" w:rsidRPr="0087751B" w:rsidRDefault="0087751B" w:rsidP="0087751B">
            <w:pPr>
              <w:jc w:val="center"/>
              <w:rPr>
                <w:rFonts w:ascii="Century Gothic" w:eastAsia="Century Gothic" w:hAnsi="Century Gothic" w:cs="Century Gothic"/>
                <w:color w:val="000000"/>
              </w:rPr>
            </w:pPr>
            <w:r w:rsidRPr="0087751B">
              <w:rPr>
                <w:rFonts w:ascii="Arial" w:eastAsia="Arial" w:hAnsi="Arial" w:cs="Arial"/>
                <w:color w:val="000000"/>
                <w:sz w:val="13"/>
              </w:rPr>
              <w:t>Wegiel brunatny</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35517D39"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Produkcja E</w:t>
            </w:r>
            <w:r w:rsidRPr="0087751B">
              <w:rPr>
                <w:rFonts w:ascii="Arial" w:eastAsia="Arial" w:hAnsi="Arial" w:cs="Arial"/>
                <w:color w:val="000000"/>
                <w:sz w:val="13"/>
                <w:vertAlign w:val="subscript"/>
              </w:rPr>
              <w:t>prod,el,j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23DB9B1"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650987CD"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54758</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39ABAEC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48651</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0A5C999B"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52529</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1D7D813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54054</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2D2CD6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56150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1C1EF1FD" w14:textId="77777777" w:rsidR="0087751B" w:rsidRPr="0087751B" w:rsidRDefault="0087751B" w:rsidP="0087751B">
            <w:pPr>
              <w:ind w:left="97"/>
              <w:jc w:val="left"/>
              <w:rPr>
                <w:rFonts w:ascii="Century Gothic" w:eastAsia="Century Gothic" w:hAnsi="Century Gothic" w:cs="Century Gothic"/>
                <w:color w:val="000000"/>
              </w:rPr>
            </w:pPr>
            <w:r w:rsidRPr="0087751B">
              <w:rPr>
                <w:rFonts w:ascii="Arial" w:eastAsia="Arial" w:hAnsi="Arial" w:cs="Arial"/>
                <w:color w:val="000000"/>
                <w:sz w:val="13"/>
              </w:rPr>
              <w:t>53365</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A363D4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52825</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DD9490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50920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3D4280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52166</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D115AA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49331</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6DCEBF8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41639</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2F95C315"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38148</w:t>
            </w:r>
          </w:p>
        </w:tc>
      </w:tr>
      <w:tr w:rsidR="0087751B" w:rsidRPr="0087751B" w14:paraId="03D01E2B"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6A2CE4"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7F48FD84"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Sprawność η</w:t>
            </w:r>
            <w:r w:rsidRPr="0087751B">
              <w:rPr>
                <w:rFonts w:ascii="Arial" w:eastAsia="Arial" w:hAnsi="Arial" w:cs="Arial"/>
                <w:color w:val="000000"/>
                <w:sz w:val="13"/>
                <w:vertAlign w:val="subscript"/>
              </w:rPr>
              <w:t>prod,j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E32B73A" w14:textId="77777777" w:rsidR="0087751B" w:rsidRPr="0087751B" w:rsidRDefault="0087751B" w:rsidP="0087751B">
            <w:pPr>
              <w:ind w:left="185"/>
              <w:jc w:val="left"/>
              <w:rPr>
                <w:rFonts w:ascii="Century Gothic" w:eastAsia="Century Gothic" w:hAnsi="Century Gothic" w:cs="Century Gothic"/>
                <w:color w:val="000000"/>
              </w:rPr>
            </w:pPr>
            <w:r w:rsidRPr="0087751B">
              <w:rPr>
                <w:rFonts w:ascii="Arial" w:eastAsia="Arial" w:hAnsi="Arial" w:cs="Arial"/>
                <w:color w:val="000000"/>
                <w:sz w:val="13"/>
              </w:rPr>
              <w:t>%</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6AABF2BA" w14:textId="77777777" w:rsidR="0087751B" w:rsidRPr="0087751B" w:rsidRDefault="0087751B" w:rsidP="0087751B">
            <w:pPr>
              <w:ind w:left="44"/>
              <w:rPr>
                <w:rFonts w:ascii="Century Gothic" w:eastAsia="Century Gothic" w:hAnsi="Century Gothic" w:cs="Century Gothic"/>
                <w:color w:val="000000"/>
              </w:rPr>
            </w:pPr>
            <w:r w:rsidRPr="0087751B">
              <w:rPr>
                <w:rFonts w:ascii="Arial" w:eastAsia="Arial" w:hAnsi="Arial" w:cs="Arial"/>
                <w:color w:val="000000"/>
                <w:sz w:val="13"/>
              </w:rPr>
              <w:t>36,20%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618BAE6C" w14:textId="77777777" w:rsidR="0087751B" w:rsidRPr="0087751B" w:rsidRDefault="0087751B" w:rsidP="0087751B">
            <w:pPr>
              <w:ind w:left="70"/>
              <w:jc w:val="left"/>
              <w:rPr>
                <w:rFonts w:ascii="Century Gothic" w:eastAsia="Century Gothic" w:hAnsi="Century Gothic" w:cs="Century Gothic"/>
                <w:color w:val="000000"/>
              </w:rPr>
            </w:pPr>
            <w:r w:rsidRPr="0087751B">
              <w:rPr>
                <w:rFonts w:ascii="Arial" w:eastAsia="Arial" w:hAnsi="Arial" w:cs="Arial"/>
                <w:color w:val="000000"/>
                <w:sz w:val="13"/>
              </w:rPr>
              <w:t>36,20%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46AF51CE" w14:textId="77777777" w:rsidR="0087751B" w:rsidRPr="0087751B" w:rsidRDefault="0087751B" w:rsidP="0087751B">
            <w:pPr>
              <w:ind w:left="44"/>
              <w:rPr>
                <w:rFonts w:ascii="Century Gothic" w:eastAsia="Century Gothic" w:hAnsi="Century Gothic" w:cs="Century Gothic"/>
                <w:color w:val="000000"/>
              </w:rPr>
            </w:pPr>
            <w:r w:rsidRPr="0087751B">
              <w:rPr>
                <w:rFonts w:ascii="Arial" w:eastAsia="Arial" w:hAnsi="Arial" w:cs="Arial"/>
                <w:color w:val="000000"/>
                <w:sz w:val="13"/>
              </w:rPr>
              <w:t>36,60%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4EE22D3E"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36,80%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5EE8275" w14:textId="77777777" w:rsidR="0087751B" w:rsidRPr="0087751B" w:rsidRDefault="0087751B" w:rsidP="0087751B">
            <w:pPr>
              <w:ind w:left="71"/>
              <w:jc w:val="left"/>
              <w:rPr>
                <w:rFonts w:ascii="Century Gothic" w:eastAsia="Century Gothic" w:hAnsi="Century Gothic" w:cs="Century Gothic"/>
                <w:color w:val="000000"/>
              </w:rPr>
            </w:pPr>
            <w:r w:rsidRPr="0087751B">
              <w:rPr>
                <w:rFonts w:ascii="Arial" w:eastAsia="Arial" w:hAnsi="Arial" w:cs="Arial"/>
                <w:color w:val="000000"/>
                <w:sz w:val="13"/>
              </w:rPr>
              <w:t>36,70%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3A0FA1AA" w14:textId="77777777" w:rsidR="0087751B" w:rsidRPr="0087751B" w:rsidRDefault="0087751B" w:rsidP="0087751B">
            <w:pPr>
              <w:ind w:left="17"/>
              <w:rPr>
                <w:rFonts w:ascii="Century Gothic" w:eastAsia="Century Gothic" w:hAnsi="Century Gothic" w:cs="Century Gothic"/>
                <w:color w:val="000000"/>
              </w:rPr>
            </w:pPr>
            <w:r w:rsidRPr="0087751B">
              <w:rPr>
                <w:rFonts w:ascii="Arial" w:eastAsia="Arial" w:hAnsi="Arial" w:cs="Arial"/>
                <w:color w:val="000000"/>
                <w:sz w:val="13"/>
              </w:rPr>
              <w:t>37,00%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4B9C476"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37,10%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5B2A434"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37,50%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115247B8"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37,60%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C9615BE" w14:textId="77777777" w:rsidR="0087751B" w:rsidRPr="0087751B" w:rsidRDefault="0087751B" w:rsidP="0087751B">
            <w:pPr>
              <w:ind w:left="71"/>
              <w:jc w:val="left"/>
              <w:rPr>
                <w:rFonts w:ascii="Century Gothic" w:eastAsia="Century Gothic" w:hAnsi="Century Gothic" w:cs="Century Gothic"/>
                <w:color w:val="000000"/>
              </w:rPr>
            </w:pPr>
            <w:r w:rsidRPr="0087751B">
              <w:rPr>
                <w:rFonts w:ascii="Arial" w:eastAsia="Arial" w:hAnsi="Arial" w:cs="Arial"/>
                <w:color w:val="000000"/>
                <w:sz w:val="13"/>
              </w:rPr>
              <w:t>37,90%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44CCE0D5" w14:textId="77777777" w:rsidR="0087751B" w:rsidRPr="0087751B" w:rsidRDefault="0087751B" w:rsidP="0087751B">
            <w:pPr>
              <w:ind w:left="105"/>
              <w:jc w:val="left"/>
              <w:rPr>
                <w:rFonts w:ascii="Century Gothic" w:eastAsia="Century Gothic" w:hAnsi="Century Gothic" w:cs="Century Gothic"/>
                <w:color w:val="000000"/>
              </w:rPr>
            </w:pPr>
            <w:r w:rsidRPr="0087751B">
              <w:rPr>
                <w:rFonts w:ascii="Arial" w:eastAsia="Arial" w:hAnsi="Arial" w:cs="Arial"/>
                <w:color w:val="000000"/>
                <w:sz w:val="13"/>
              </w:rPr>
              <w:t>38,10%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02DA17CF" w14:textId="77777777" w:rsidR="0087751B" w:rsidRPr="0087751B" w:rsidRDefault="0087751B" w:rsidP="0087751B">
            <w:pPr>
              <w:ind w:left="114"/>
              <w:jc w:val="left"/>
              <w:rPr>
                <w:rFonts w:ascii="Century Gothic" w:eastAsia="Century Gothic" w:hAnsi="Century Gothic" w:cs="Century Gothic"/>
                <w:color w:val="000000"/>
              </w:rPr>
            </w:pPr>
            <w:r w:rsidRPr="0087751B">
              <w:rPr>
                <w:rFonts w:ascii="Arial" w:eastAsia="Arial" w:hAnsi="Arial" w:cs="Arial"/>
                <w:color w:val="000000"/>
                <w:sz w:val="13"/>
              </w:rPr>
              <w:t>38,70%</w:t>
            </w:r>
          </w:p>
        </w:tc>
      </w:tr>
      <w:tr w:rsidR="0087751B" w:rsidRPr="0087751B" w14:paraId="7A2D8CBA"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22136A"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504FB864"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f</w:t>
            </w:r>
            <w:r w:rsidRPr="0087751B">
              <w:rPr>
                <w:rFonts w:ascii="Arial" w:eastAsia="Arial" w:hAnsi="Arial" w:cs="Arial"/>
                <w:color w:val="000000"/>
                <w:sz w:val="9"/>
              </w:rPr>
              <w:t>nren,j</w:t>
            </w:r>
          </w:p>
        </w:tc>
        <w:tc>
          <w:tcPr>
            <w:tcW w:w="519" w:type="dxa"/>
            <w:tcBorders>
              <w:top w:val="single" w:sz="4" w:space="0" w:color="000000"/>
              <w:left w:val="single" w:sz="4" w:space="0" w:color="000000"/>
              <w:bottom w:val="single" w:sz="4" w:space="0" w:color="000000"/>
              <w:right w:val="single" w:sz="4" w:space="0" w:color="000000"/>
            </w:tcBorders>
            <w:vAlign w:val="center"/>
          </w:tcPr>
          <w:p w14:paraId="1D61BEA7" w14:textId="77777777" w:rsidR="0087751B" w:rsidRPr="0087751B" w:rsidRDefault="0087751B" w:rsidP="0087751B">
            <w:pPr>
              <w:jc w:val="left"/>
              <w:rPr>
                <w:rFonts w:ascii="Century Gothic" w:eastAsia="Century Gothic" w:hAnsi="Century Gothic" w:cs="Century Gothic"/>
                <w:color w:val="000000"/>
              </w:rPr>
            </w:pP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49DBDCD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2B40B9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02D270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7F3FE1F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0CD463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6E0C1C9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1B116C1"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1C2E4E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0CD5006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627D8B5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0557889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0A1F9F43"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1,1</w:t>
            </w:r>
          </w:p>
        </w:tc>
      </w:tr>
      <w:tr w:rsidR="0087751B" w:rsidRPr="0087751B" w14:paraId="3D57316C"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7CAF09"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0A53C2AA"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PE</w:t>
            </w:r>
            <w:r w:rsidRPr="0087751B">
              <w:rPr>
                <w:rFonts w:ascii="Arial" w:eastAsia="Arial" w:hAnsi="Arial" w:cs="Arial"/>
                <w:color w:val="000000"/>
                <w:sz w:val="13"/>
                <w:vertAlign w:val="subscript"/>
              </w:rPr>
              <w:t>nren,j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4A5FB7CB"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51ABDE3"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166392</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DF390D1"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147835</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04079C96"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157874</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330EE74E" w14:textId="77777777" w:rsidR="0087751B" w:rsidRPr="0087751B" w:rsidRDefault="0087751B" w:rsidP="0087751B">
            <w:pPr>
              <w:ind w:left="62"/>
              <w:jc w:val="left"/>
              <w:rPr>
                <w:rFonts w:ascii="Century Gothic" w:eastAsia="Century Gothic" w:hAnsi="Century Gothic" w:cs="Century Gothic"/>
                <w:color w:val="000000"/>
              </w:rPr>
            </w:pPr>
            <w:r w:rsidRPr="0087751B">
              <w:rPr>
                <w:rFonts w:ascii="Arial" w:eastAsia="Arial" w:hAnsi="Arial" w:cs="Arial"/>
                <w:color w:val="000000"/>
                <w:sz w:val="13"/>
              </w:rPr>
              <w:t>161574</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DCC79BE"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168297</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08676922" w14:textId="77777777" w:rsidR="0087751B" w:rsidRPr="0087751B" w:rsidRDefault="0087751B" w:rsidP="0087751B">
            <w:pPr>
              <w:ind w:left="26"/>
              <w:rPr>
                <w:rFonts w:ascii="Century Gothic" w:eastAsia="Century Gothic" w:hAnsi="Century Gothic" w:cs="Century Gothic"/>
                <w:color w:val="000000"/>
              </w:rPr>
            </w:pPr>
            <w:r w:rsidRPr="0087751B">
              <w:rPr>
                <w:rFonts w:ascii="Arial" w:eastAsia="Arial" w:hAnsi="Arial" w:cs="Arial"/>
                <w:color w:val="000000"/>
                <w:sz w:val="13"/>
              </w:rPr>
              <w:t>158653</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239018A"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156624</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FFCC9D9"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149365</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7FD864F2" w14:textId="77777777" w:rsidR="0087751B" w:rsidRPr="0087751B" w:rsidRDefault="0087751B" w:rsidP="0087751B">
            <w:pPr>
              <w:ind w:left="62"/>
              <w:jc w:val="left"/>
              <w:rPr>
                <w:rFonts w:ascii="Century Gothic" w:eastAsia="Century Gothic" w:hAnsi="Century Gothic" w:cs="Century Gothic"/>
                <w:color w:val="000000"/>
              </w:rPr>
            </w:pPr>
            <w:r w:rsidRPr="0087751B">
              <w:rPr>
                <w:rFonts w:ascii="Arial" w:eastAsia="Arial" w:hAnsi="Arial" w:cs="Arial"/>
                <w:color w:val="000000"/>
                <w:sz w:val="13"/>
              </w:rPr>
              <w:t>152613</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2BA583F6"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143177</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07C44B83" w14:textId="77777777" w:rsidR="0087751B" w:rsidRPr="0087751B" w:rsidRDefault="0087751B" w:rsidP="0087751B">
            <w:pPr>
              <w:ind w:left="114"/>
              <w:jc w:val="left"/>
              <w:rPr>
                <w:rFonts w:ascii="Century Gothic" w:eastAsia="Century Gothic" w:hAnsi="Century Gothic" w:cs="Century Gothic"/>
                <w:color w:val="000000"/>
              </w:rPr>
            </w:pPr>
            <w:r w:rsidRPr="0087751B">
              <w:rPr>
                <w:rFonts w:ascii="Arial" w:eastAsia="Arial" w:hAnsi="Arial" w:cs="Arial"/>
                <w:color w:val="000000"/>
                <w:sz w:val="13"/>
              </w:rPr>
              <w:t>120218</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10919D96"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108431</w:t>
            </w:r>
          </w:p>
        </w:tc>
      </w:tr>
      <w:tr w:rsidR="0087751B" w:rsidRPr="0087751B" w14:paraId="70B72609" w14:textId="77777777" w:rsidTr="0087751B">
        <w:trPr>
          <w:trHeight w:val="220"/>
        </w:trPr>
        <w:tc>
          <w:tcPr>
            <w:tcW w:w="905" w:type="dxa"/>
            <w:vMerge w:val="restart"/>
            <w:tcBorders>
              <w:top w:val="single" w:sz="4" w:space="0" w:color="000000"/>
              <w:left w:val="single" w:sz="4" w:space="0" w:color="000000"/>
              <w:bottom w:val="single" w:sz="4" w:space="0" w:color="000000"/>
              <w:right w:val="single" w:sz="4" w:space="0" w:color="000000"/>
            </w:tcBorders>
            <w:vAlign w:val="center"/>
            <w:hideMark/>
          </w:tcPr>
          <w:p w14:paraId="550FE356" w14:textId="3FE37170" w:rsidR="0087751B" w:rsidRPr="0087751B" w:rsidRDefault="0087751B" w:rsidP="0087751B">
            <w:pPr>
              <w:jc w:val="center"/>
              <w:rPr>
                <w:rFonts w:ascii="Century Gothic" w:eastAsia="Century Gothic" w:hAnsi="Century Gothic" w:cs="Century Gothic"/>
                <w:color w:val="000000"/>
              </w:rPr>
            </w:pPr>
            <w:r w:rsidRPr="0087751B">
              <w:rPr>
                <w:rFonts w:ascii="Arial" w:eastAsia="Arial" w:hAnsi="Arial" w:cs="Arial"/>
                <w:color w:val="000000"/>
                <w:sz w:val="13"/>
              </w:rPr>
              <w:t xml:space="preserve">Paliwa </w:t>
            </w:r>
            <w:r>
              <w:rPr>
                <w:rFonts w:ascii="Arial" w:eastAsia="Arial" w:hAnsi="Arial" w:cs="Arial"/>
                <w:color w:val="000000"/>
                <w:sz w:val="13"/>
              </w:rPr>
              <w:br/>
            </w:r>
            <w:r w:rsidRPr="0087751B">
              <w:rPr>
                <w:rFonts w:ascii="Arial" w:eastAsia="Arial" w:hAnsi="Arial" w:cs="Arial"/>
                <w:color w:val="000000"/>
                <w:sz w:val="13"/>
              </w:rPr>
              <w:t>gazowe</w:t>
            </w: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5D9131AF"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Produkcja E</w:t>
            </w:r>
            <w:r w:rsidRPr="0087751B">
              <w:rPr>
                <w:rFonts w:ascii="Arial" w:eastAsia="Arial" w:hAnsi="Arial" w:cs="Arial"/>
                <w:color w:val="000000"/>
                <w:sz w:val="13"/>
                <w:vertAlign w:val="subscript"/>
              </w:rPr>
              <w:t>prod,el,j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62BDF71"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C27B5D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5165</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A78A18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4890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0D95B0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5821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4D863B7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6259</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31A3295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5247</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5B765096"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5329</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4FE841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6405</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31EABB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7831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1AAE764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10141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31FB6F3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12709</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15E71F8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15131</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5EB21406"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16891</w:t>
            </w:r>
          </w:p>
        </w:tc>
      </w:tr>
      <w:tr w:rsidR="0087751B" w:rsidRPr="0087751B" w14:paraId="0A68D8E6"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3B0AC6"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1D19302A"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Sprawność η</w:t>
            </w:r>
            <w:r w:rsidRPr="0087751B">
              <w:rPr>
                <w:rFonts w:ascii="Arial" w:eastAsia="Arial" w:hAnsi="Arial" w:cs="Arial"/>
                <w:color w:val="000000"/>
                <w:sz w:val="13"/>
                <w:vertAlign w:val="subscript"/>
              </w:rPr>
              <w:t>prod,j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6A5973C0" w14:textId="77777777" w:rsidR="0087751B" w:rsidRPr="0087751B" w:rsidRDefault="0087751B" w:rsidP="0087751B">
            <w:pPr>
              <w:ind w:left="185"/>
              <w:jc w:val="left"/>
              <w:rPr>
                <w:rFonts w:ascii="Century Gothic" w:eastAsia="Century Gothic" w:hAnsi="Century Gothic" w:cs="Century Gothic"/>
                <w:color w:val="000000"/>
              </w:rPr>
            </w:pPr>
            <w:r w:rsidRPr="0087751B">
              <w:rPr>
                <w:rFonts w:ascii="Arial" w:eastAsia="Arial" w:hAnsi="Arial" w:cs="Arial"/>
                <w:color w:val="000000"/>
                <w:sz w:val="13"/>
              </w:rPr>
              <w:t>%</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04BA8B4F" w14:textId="77777777" w:rsidR="0087751B" w:rsidRPr="0087751B" w:rsidRDefault="0087751B" w:rsidP="0087751B">
            <w:pPr>
              <w:ind w:left="44"/>
              <w:rPr>
                <w:rFonts w:ascii="Century Gothic" w:eastAsia="Century Gothic" w:hAnsi="Century Gothic" w:cs="Century Gothic"/>
                <w:color w:val="000000"/>
              </w:rPr>
            </w:pPr>
            <w:r w:rsidRPr="0087751B">
              <w:rPr>
                <w:rFonts w:ascii="Arial" w:eastAsia="Arial" w:hAnsi="Arial" w:cs="Arial"/>
                <w:color w:val="000000"/>
                <w:sz w:val="13"/>
              </w:rPr>
              <w:t>36,20%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37F0129" w14:textId="77777777" w:rsidR="0087751B" w:rsidRPr="0087751B" w:rsidRDefault="0087751B" w:rsidP="0087751B">
            <w:pPr>
              <w:ind w:left="70"/>
              <w:jc w:val="left"/>
              <w:rPr>
                <w:rFonts w:ascii="Century Gothic" w:eastAsia="Century Gothic" w:hAnsi="Century Gothic" w:cs="Century Gothic"/>
                <w:color w:val="000000"/>
              </w:rPr>
            </w:pPr>
            <w:r w:rsidRPr="0087751B">
              <w:rPr>
                <w:rFonts w:ascii="Arial" w:eastAsia="Arial" w:hAnsi="Arial" w:cs="Arial"/>
                <w:color w:val="000000"/>
                <w:sz w:val="13"/>
              </w:rPr>
              <w:t>36,20%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A5C42DC" w14:textId="77777777" w:rsidR="0087751B" w:rsidRPr="0087751B" w:rsidRDefault="0087751B" w:rsidP="0087751B">
            <w:pPr>
              <w:ind w:left="44"/>
              <w:rPr>
                <w:rFonts w:ascii="Century Gothic" w:eastAsia="Century Gothic" w:hAnsi="Century Gothic" w:cs="Century Gothic"/>
                <w:color w:val="000000"/>
              </w:rPr>
            </w:pPr>
            <w:r w:rsidRPr="0087751B">
              <w:rPr>
                <w:rFonts w:ascii="Arial" w:eastAsia="Arial" w:hAnsi="Arial" w:cs="Arial"/>
                <w:color w:val="000000"/>
                <w:sz w:val="13"/>
              </w:rPr>
              <w:t>36,60%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007DB7E9"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36,80%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2050BC8" w14:textId="77777777" w:rsidR="0087751B" w:rsidRPr="0087751B" w:rsidRDefault="0087751B" w:rsidP="0087751B">
            <w:pPr>
              <w:ind w:left="71"/>
              <w:jc w:val="left"/>
              <w:rPr>
                <w:rFonts w:ascii="Century Gothic" w:eastAsia="Century Gothic" w:hAnsi="Century Gothic" w:cs="Century Gothic"/>
                <w:color w:val="000000"/>
              </w:rPr>
            </w:pPr>
            <w:r w:rsidRPr="0087751B">
              <w:rPr>
                <w:rFonts w:ascii="Arial" w:eastAsia="Arial" w:hAnsi="Arial" w:cs="Arial"/>
                <w:color w:val="000000"/>
                <w:sz w:val="13"/>
              </w:rPr>
              <w:t>36,70%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46A1E2F4" w14:textId="77777777" w:rsidR="0087751B" w:rsidRPr="0087751B" w:rsidRDefault="0087751B" w:rsidP="0087751B">
            <w:pPr>
              <w:ind w:left="17"/>
              <w:rPr>
                <w:rFonts w:ascii="Century Gothic" w:eastAsia="Century Gothic" w:hAnsi="Century Gothic" w:cs="Century Gothic"/>
                <w:color w:val="000000"/>
              </w:rPr>
            </w:pPr>
            <w:r w:rsidRPr="0087751B">
              <w:rPr>
                <w:rFonts w:ascii="Arial" w:eastAsia="Arial" w:hAnsi="Arial" w:cs="Arial"/>
                <w:color w:val="000000"/>
                <w:sz w:val="13"/>
              </w:rPr>
              <w:t>37,00%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B8C9437"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37,10%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6B1ED932"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37,50%</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197F3D7D"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37,60%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166B4A9" w14:textId="77777777" w:rsidR="0087751B" w:rsidRPr="0087751B" w:rsidRDefault="0087751B" w:rsidP="0087751B">
            <w:pPr>
              <w:ind w:left="71"/>
              <w:jc w:val="left"/>
              <w:rPr>
                <w:rFonts w:ascii="Century Gothic" w:eastAsia="Century Gothic" w:hAnsi="Century Gothic" w:cs="Century Gothic"/>
                <w:color w:val="000000"/>
              </w:rPr>
            </w:pPr>
            <w:r w:rsidRPr="0087751B">
              <w:rPr>
                <w:rFonts w:ascii="Arial" w:eastAsia="Arial" w:hAnsi="Arial" w:cs="Arial"/>
                <w:color w:val="000000"/>
                <w:sz w:val="13"/>
              </w:rPr>
              <w:t>37,90%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1C2D7F7A" w14:textId="77777777" w:rsidR="0087751B" w:rsidRPr="0087751B" w:rsidRDefault="0087751B" w:rsidP="0087751B">
            <w:pPr>
              <w:ind w:left="105"/>
              <w:jc w:val="left"/>
              <w:rPr>
                <w:rFonts w:ascii="Century Gothic" w:eastAsia="Century Gothic" w:hAnsi="Century Gothic" w:cs="Century Gothic"/>
                <w:color w:val="000000"/>
              </w:rPr>
            </w:pPr>
            <w:r w:rsidRPr="0087751B">
              <w:rPr>
                <w:rFonts w:ascii="Arial" w:eastAsia="Arial" w:hAnsi="Arial" w:cs="Arial"/>
                <w:color w:val="000000"/>
                <w:sz w:val="13"/>
              </w:rPr>
              <w:t>38,10%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18803B1F" w14:textId="77777777" w:rsidR="0087751B" w:rsidRPr="0087751B" w:rsidRDefault="0087751B" w:rsidP="0087751B">
            <w:pPr>
              <w:ind w:left="114"/>
              <w:jc w:val="left"/>
              <w:rPr>
                <w:rFonts w:ascii="Century Gothic" w:eastAsia="Century Gothic" w:hAnsi="Century Gothic" w:cs="Century Gothic"/>
                <w:color w:val="000000"/>
              </w:rPr>
            </w:pPr>
            <w:r w:rsidRPr="0087751B">
              <w:rPr>
                <w:rFonts w:ascii="Arial" w:eastAsia="Arial" w:hAnsi="Arial" w:cs="Arial"/>
                <w:color w:val="000000"/>
                <w:sz w:val="13"/>
              </w:rPr>
              <w:t>38,70%</w:t>
            </w:r>
          </w:p>
        </w:tc>
      </w:tr>
      <w:tr w:rsidR="0087751B" w:rsidRPr="0087751B" w14:paraId="3153D1E3"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55B1B7"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398FA23B"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f</w:t>
            </w:r>
            <w:r w:rsidRPr="0087751B">
              <w:rPr>
                <w:rFonts w:ascii="Arial" w:eastAsia="Arial" w:hAnsi="Arial" w:cs="Arial"/>
                <w:color w:val="000000"/>
                <w:sz w:val="9"/>
              </w:rPr>
              <w:t>nren,j</w:t>
            </w:r>
          </w:p>
        </w:tc>
        <w:tc>
          <w:tcPr>
            <w:tcW w:w="519" w:type="dxa"/>
            <w:tcBorders>
              <w:top w:val="single" w:sz="4" w:space="0" w:color="000000"/>
              <w:left w:val="single" w:sz="4" w:space="0" w:color="000000"/>
              <w:bottom w:val="single" w:sz="4" w:space="0" w:color="000000"/>
              <w:right w:val="single" w:sz="4" w:space="0" w:color="000000"/>
            </w:tcBorders>
            <w:vAlign w:val="center"/>
          </w:tcPr>
          <w:p w14:paraId="564F88E0" w14:textId="77777777" w:rsidR="0087751B" w:rsidRPr="0087751B" w:rsidRDefault="0087751B" w:rsidP="0087751B">
            <w:pPr>
              <w:jc w:val="left"/>
              <w:rPr>
                <w:rFonts w:ascii="Century Gothic" w:eastAsia="Century Gothic" w:hAnsi="Century Gothic" w:cs="Century Gothic"/>
                <w:color w:val="000000"/>
              </w:rPr>
            </w:pP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4442D23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288585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53B19D7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FF3410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212EFCE"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7B867D2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717B969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2D4DB1E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18AF56B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99E9C39"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74DC063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1,1</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37E6EE61"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1,1</w:t>
            </w:r>
          </w:p>
        </w:tc>
      </w:tr>
      <w:tr w:rsidR="0087751B" w:rsidRPr="0087751B" w14:paraId="5816A37B" w14:textId="77777777" w:rsidTr="0087751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A7B25A" w14:textId="77777777" w:rsidR="0087751B" w:rsidRPr="0087751B" w:rsidRDefault="0087751B" w:rsidP="0087751B">
            <w:pPr>
              <w:jc w:val="left"/>
              <w:rPr>
                <w:rFonts w:ascii="Century Gothic" w:eastAsia="Century Gothic" w:hAnsi="Century Gothic" w:cs="Century Gothic"/>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14:paraId="77720C12"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PE</w:t>
            </w:r>
            <w:r w:rsidRPr="0087751B">
              <w:rPr>
                <w:rFonts w:ascii="Arial" w:eastAsia="Arial" w:hAnsi="Arial" w:cs="Arial"/>
                <w:color w:val="000000"/>
                <w:sz w:val="13"/>
                <w:vertAlign w:val="subscript"/>
              </w:rPr>
              <w:t>nren,j</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6D460599"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251B08D"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15695</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2EECF5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14859</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E950656"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17495</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620E0E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18709</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6607EE4"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15727</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7EF0D886" w14:textId="77777777" w:rsidR="0087751B" w:rsidRPr="0087751B" w:rsidRDefault="0087751B" w:rsidP="0087751B">
            <w:pPr>
              <w:ind w:left="97"/>
              <w:jc w:val="left"/>
              <w:rPr>
                <w:rFonts w:ascii="Century Gothic" w:eastAsia="Century Gothic" w:hAnsi="Century Gothic" w:cs="Century Gothic"/>
                <w:color w:val="000000"/>
              </w:rPr>
            </w:pPr>
            <w:r w:rsidRPr="0087751B">
              <w:rPr>
                <w:rFonts w:ascii="Arial" w:eastAsia="Arial" w:hAnsi="Arial" w:cs="Arial"/>
                <w:color w:val="000000"/>
                <w:sz w:val="13"/>
              </w:rPr>
              <w:t>15843</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78AF9BD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18991</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3FB71F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22971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60509E6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29668</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FD97E5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36886</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25D03D1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43685</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40C4C717"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48011</w:t>
            </w:r>
          </w:p>
        </w:tc>
      </w:tr>
      <w:tr w:rsidR="0087751B" w:rsidRPr="0087751B" w14:paraId="704CD8F4" w14:textId="77777777" w:rsidTr="0087751B">
        <w:trPr>
          <w:trHeight w:val="167"/>
        </w:trPr>
        <w:tc>
          <w:tcPr>
            <w:tcW w:w="2040" w:type="dxa"/>
            <w:gridSpan w:val="2"/>
            <w:tcBorders>
              <w:top w:val="single" w:sz="4" w:space="0" w:color="000000"/>
              <w:left w:val="single" w:sz="4" w:space="0" w:color="000000"/>
              <w:bottom w:val="single" w:sz="4" w:space="0" w:color="000000"/>
              <w:right w:val="single" w:sz="4" w:space="0" w:color="000000"/>
            </w:tcBorders>
            <w:vAlign w:val="center"/>
            <w:hideMark/>
          </w:tcPr>
          <w:p w14:paraId="778A95A0"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 xml:space="preserve">Zużycie energii pierwotnej </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A9B0334"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47D6A0E8"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461604</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FE7B4E8"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449301</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4713ECD7"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456528</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6271D5A9" w14:textId="77777777" w:rsidR="0087751B" w:rsidRPr="0087751B" w:rsidRDefault="0087751B" w:rsidP="0087751B">
            <w:pPr>
              <w:ind w:left="62"/>
              <w:jc w:val="left"/>
              <w:rPr>
                <w:rFonts w:ascii="Century Gothic" w:eastAsia="Century Gothic" w:hAnsi="Century Gothic" w:cs="Century Gothic"/>
                <w:color w:val="000000"/>
              </w:rPr>
            </w:pPr>
            <w:r w:rsidRPr="0087751B">
              <w:rPr>
                <w:rFonts w:ascii="Arial" w:eastAsia="Arial" w:hAnsi="Arial" w:cs="Arial"/>
                <w:color w:val="000000"/>
                <w:sz w:val="13"/>
              </w:rPr>
              <w:t>440997</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41EA144"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447092</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661D849E" w14:textId="77777777" w:rsidR="0087751B" w:rsidRPr="0087751B" w:rsidRDefault="0087751B" w:rsidP="0087751B">
            <w:pPr>
              <w:ind w:left="26"/>
              <w:rPr>
                <w:rFonts w:ascii="Century Gothic" w:eastAsia="Century Gothic" w:hAnsi="Century Gothic" w:cs="Century Gothic"/>
                <w:color w:val="000000"/>
              </w:rPr>
            </w:pPr>
            <w:r w:rsidRPr="0087751B">
              <w:rPr>
                <w:rFonts w:ascii="Arial" w:eastAsia="Arial" w:hAnsi="Arial" w:cs="Arial"/>
                <w:color w:val="000000"/>
                <w:sz w:val="13"/>
              </w:rPr>
              <w:t>420231</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5759637"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426370</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B107646"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426841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21964169" w14:textId="77777777" w:rsidR="0087751B" w:rsidRPr="0087751B" w:rsidRDefault="0087751B" w:rsidP="0087751B">
            <w:pPr>
              <w:ind w:left="62"/>
              <w:jc w:val="left"/>
              <w:rPr>
                <w:rFonts w:ascii="Century Gothic" w:eastAsia="Century Gothic" w:hAnsi="Century Gothic" w:cs="Century Gothic"/>
                <w:color w:val="000000"/>
              </w:rPr>
            </w:pPr>
            <w:r w:rsidRPr="0087751B">
              <w:rPr>
                <w:rFonts w:ascii="Arial" w:eastAsia="Arial" w:hAnsi="Arial" w:cs="Arial"/>
                <w:color w:val="000000"/>
                <w:sz w:val="13"/>
              </w:rPr>
              <w:t>432091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C5814CA"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434882</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7A225355" w14:textId="77777777" w:rsidR="0087751B" w:rsidRPr="0087751B" w:rsidRDefault="0087751B" w:rsidP="0087751B">
            <w:pPr>
              <w:ind w:left="114"/>
              <w:jc w:val="left"/>
              <w:rPr>
                <w:rFonts w:ascii="Century Gothic" w:eastAsia="Century Gothic" w:hAnsi="Century Gothic" w:cs="Century Gothic"/>
                <w:color w:val="000000"/>
              </w:rPr>
            </w:pPr>
            <w:r w:rsidRPr="0087751B">
              <w:rPr>
                <w:rFonts w:ascii="Arial" w:eastAsia="Arial" w:hAnsi="Arial" w:cs="Arial"/>
                <w:color w:val="000000"/>
                <w:sz w:val="13"/>
              </w:rPr>
              <w:t>404280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11E3EECD"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373341</w:t>
            </w:r>
          </w:p>
        </w:tc>
      </w:tr>
      <w:tr w:rsidR="0087751B" w:rsidRPr="0087751B" w14:paraId="7133341D" w14:textId="77777777" w:rsidTr="0087751B">
        <w:trPr>
          <w:trHeight w:val="220"/>
        </w:trPr>
        <w:tc>
          <w:tcPr>
            <w:tcW w:w="2040" w:type="dxa"/>
            <w:gridSpan w:val="2"/>
            <w:tcBorders>
              <w:top w:val="single" w:sz="4" w:space="0" w:color="000000"/>
              <w:left w:val="single" w:sz="4" w:space="0" w:color="000000"/>
              <w:bottom w:val="single" w:sz="4" w:space="0" w:color="000000"/>
              <w:right w:val="single" w:sz="4" w:space="0" w:color="000000"/>
            </w:tcBorders>
            <w:vAlign w:val="center"/>
            <w:hideMark/>
          </w:tcPr>
          <w:p w14:paraId="4F2C0878" w14:textId="77777777" w:rsidR="0087751B" w:rsidRPr="0087751B" w:rsidRDefault="0087751B" w:rsidP="0087751B">
            <w:pPr>
              <w:ind w:right="-11"/>
              <w:rPr>
                <w:rFonts w:ascii="Century Gothic" w:eastAsia="Century Gothic" w:hAnsi="Century Gothic" w:cs="Century Gothic"/>
                <w:color w:val="000000"/>
              </w:rPr>
            </w:pPr>
            <w:r w:rsidRPr="0087751B">
              <w:rPr>
                <w:rFonts w:ascii="Arial" w:eastAsia="Arial" w:hAnsi="Arial" w:cs="Arial"/>
                <w:color w:val="000000"/>
                <w:sz w:val="13"/>
              </w:rPr>
              <w:t>Produkcja energii elektrycznej E</w:t>
            </w:r>
            <w:r w:rsidRPr="0087751B">
              <w:rPr>
                <w:rFonts w:ascii="Arial" w:eastAsia="Arial" w:hAnsi="Arial" w:cs="Arial"/>
                <w:color w:val="000000"/>
                <w:sz w:val="13"/>
                <w:vertAlign w:val="subscript"/>
              </w:rPr>
              <w:t>prod,</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674DB8EF"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BBCA4C2"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156936</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7F096A95"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157658</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74ADA9B"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163548</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7DB1252D" w14:textId="77777777" w:rsidR="0087751B" w:rsidRPr="0087751B" w:rsidRDefault="0087751B" w:rsidP="0087751B">
            <w:pPr>
              <w:ind w:left="62"/>
              <w:jc w:val="left"/>
              <w:rPr>
                <w:rFonts w:ascii="Century Gothic" w:eastAsia="Century Gothic" w:hAnsi="Century Gothic" w:cs="Century Gothic"/>
                <w:color w:val="000000"/>
              </w:rPr>
            </w:pPr>
            <w:r w:rsidRPr="0087751B">
              <w:rPr>
                <w:rFonts w:ascii="Arial" w:eastAsia="Arial" w:hAnsi="Arial" w:cs="Arial"/>
                <w:color w:val="000000"/>
                <w:sz w:val="13"/>
              </w:rPr>
              <w:t>162139</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FEC2A62"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164557</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7222AEF7" w14:textId="77777777" w:rsidR="0087751B" w:rsidRPr="0087751B" w:rsidRDefault="0087751B" w:rsidP="0087751B">
            <w:pPr>
              <w:ind w:left="26"/>
              <w:rPr>
                <w:rFonts w:ascii="Century Gothic" w:eastAsia="Century Gothic" w:hAnsi="Century Gothic" w:cs="Century Gothic"/>
                <w:color w:val="000000"/>
              </w:rPr>
            </w:pPr>
            <w:r w:rsidRPr="0087751B">
              <w:rPr>
                <w:rFonts w:ascii="Arial" w:eastAsia="Arial" w:hAnsi="Arial" w:cs="Arial"/>
                <w:color w:val="000000"/>
                <w:sz w:val="13"/>
              </w:rPr>
              <w:t>159058</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79F30DE"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164944</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7122874B"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166634</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4AD2F7F" w14:textId="77777777" w:rsidR="0087751B" w:rsidRPr="0087751B" w:rsidRDefault="0087751B" w:rsidP="0087751B">
            <w:pPr>
              <w:ind w:left="62"/>
              <w:jc w:val="left"/>
              <w:rPr>
                <w:rFonts w:ascii="Century Gothic" w:eastAsia="Century Gothic" w:hAnsi="Century Gothic" w:cs="Century Gothic"/>
                <w:color w:val="000000"/>
              </w:rPr>
            </w:pPr>
            <w:r w:rsidRPr="0087751B">
              <w:rPr>
                <w:rFonts w:ascii="Arial" w:eastAsia="Arial" w:hAnsi="Arial" w:cs="Arial"/>
                <w:color w:val="000000"/>
                <w:sz w:val="13"/>
              </w:rPr>
              <w:t>170465</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30400AB"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170039</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1B9A5852"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163 989</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0B3AFE1C"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158 043</w:t>
            </w:r>
          </w:p>
        </w:tc>
      </w:tr>
      <w:tr w:rsidR="0087751B" w:rsidRPr="0087751B" w14:paraId="167D106F" w14:textId="77777777" w:rsidTr="0087751B">
        <w:trPr>
          <w:trHeight w:val="220"/>
        </w:trPr>
        <w:tc>
          <w:tcPr>
            <w:tcW w:w="2040" w:type="dxa"/>
            <w:gridSpan w:val="2"/>
            <w:tcBorders>
              <w:top w:val="single" w:sz="4" w:space="0" w:color="000000"/>
              <w:left w:val="single" w:sz="4" w:space="0" w:color="000000"/>
              <w:bottom w:val="single" w:sz="4" w:space="0" w:color="000000"/>
              <w:right w:val="single" w:sz="4" w:space="0" w:color="000000"/>
            </w:tcBorders>
            <w:vAlign w:val="center"/>
            <w:hideMark/>
          </w:tcPr>
          <w:p w14:paraId="5463225D"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Sprawność przesyłu  - η</w:t>
            </w:r>
            <w:r w:rsidRPr="0087751B">
              <w:rPr>
                <w:rFonts w:ascii="Arial" w:eastAsia="Arial" w:hAnsi="Arial" w:cs="Arial"/>
                <w:color w:val="000000"/>
                <w:sz w:val="13"/>
                <w:vertAlign w:val="subscript"/>
              </w:rPr>
              <w:t>del</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A2A1DED" w14:textId="77777777" w:rsidR="0087751B" w:rsidRPr="0087751B" w:rsidRDefault="0087751B" w:rsidP="0087751B">
            <w:pPr>
              <w:ind w:left="185"/>
              <w:jc w:val="left"/>
              <w:rPr>
                <w:rFonts w:ascii="Century Gothic" w:eastAsia="Century Gothic" w:hAnsi="Century Gothic" w:cs="Century Gothic"/>
                <w:color w:val="000000"/>
              </w:rPr>
            </w:pPr>
            <w:r w:rsidRPr="0087751B">
              <w:rPr>
                <w:rFonts w:ascii="Arial" w:eastAsia="Arial" w:hAnsi="Arial" w:cs="Arial"/>
                <w:color w:val="000000"/>
                <w:sz w:val="13"/>
              </w:rPr>
              <w:t>%</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CCB0CA0" w14:textId="77777777" w:rsidR="0087751B" w:rsidRPr="0087751B" w:rsidRDefault="0087751B" w:rsidP="0087751B">
            <w:pPr>
              <w:ind w:left="44"/>
              <w:rPr>
                <w:rFonts w:ascii="Century Gothic" w:eastAsia="Century Gothic" w:hAnsi="Century Gothic" w:cs="Century Gothic"/>
                <w:color w:val="000000"/>
              </w:rPr>
            </w:pPr>
            <w:r w:rsidRPr="0087751B">
              <w:rPr>
                <w:rFonts w:ascii="Arial" w:eastAsia="Arial" w:hAnsi="Arial" w:cs="Arial"/>
                <w:color w:val="000000"/>
                <w:sz w:val="13"/>
              </w:rPr>
              <w:t>90,00%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4B035F5" w14:textId="77777777" w:rsidR="0087751B" w:rsidRPr="0087751B" w:rsidRDefault="0087751B" w:rsidP="0087751B">
            <w:pPr>
              <w:ind w:left="70"/>
              <w:jc w:val="left"/>
              <w:rPr>
                <w:rFonts w:ascii="Century Gothic" w:eastAsia="Century Gothic" w:hAnsi="Century Gothic" w:cs="Century Gothic"/>
                <w:color w:val="000000"/>
              </w:rPr>
            </w:pPr>
            <w:r w:rsidRPr="0087751B">
              <w:rPr>
                <w:rFonts w:ascii="Arial" w:eastAsia="Arial" w:hAnsi="Arial" w:cs="Arial"/>
                <w:color w:val="000000"/>
                <w:sz w:val="13"/>
              </w:rPr>
              <w:t>95,30%</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0712DE0F" w14:textId="77777777" w:rsidR="0087751B" w:rsidRPr="0087751B" w:rsidRDefault="0087751B" w:rsidP="0087751B">
            <w:pPr>
              <w:ind w:left="44"/>
              <w:rPr>
                <w:rFonts w:ascii="Century Gothic" w:eastAsia="Century Gothic" w:hAnsi="Century Gothic" w:cs="Century Gothic"/>
                <w:color w:val="000000"/>
              </w:rPr>
            </w:pPr>
            <w:r w:rsidRPr="0087751B">
              <w:rPr>
                <w:rFonts w:ascii="Arial" w:eastAsia="Arial" w:hAnsi="Arial" w:cs="Arial"/>
                <w:color w:val="000000"/>
                <w:sz w:val="13"/>
              </w:rPr>
              <w:t>95,82%</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79DDA80F"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95,82%</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78533A5" w14:textId="77777777" w:rsidR="0087751B" w:rsidRPr="0087751B" w:rsidRDefault="0087751B" w:rsidP="0087751B">
            <w:pPr>
              <w:ind w:left="71"/>
              <w:jc w:val="left"/>
              <w:rPr>
                <w:rFonts w:ascii="Century Gothic" w:eastAsia="Century Gothic" w:hAnsi="Century Gothic" w:cs="Century Gothic"/>
                <w:color w:val="000000"/>
              </w:rPr>
            </w:pPr>
            <w:r w:rsidRPr="0087751B">
              <w:rPr>
                <w:rFonts w:ascii="Arial" w:eastAsia="Arial" w:hAnsi="Arial" w:cs="Arial"/>
                <w:color w:val="000000"/>
                <w:sz w:val="13"/>
              </w:rPr>
              <w:t>95,82%</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5C1B25DE" w14:textId="77777777" w:rsidR="0087751B" w:rsidRPr="0087751B" w:rsidRDefault="0087751B" w:rsidP="0087751B">
            <w:pPr>
              <w:ind w:left="17"/>
              <w:rPr>
                <w:rFonts w:ascii="Century Gothic" w:eastAsia="Century Gothic" w:hAnsi="Century Gothic" w:cs="Century Gothic"/>
                <w:color w:val="000000"/>
              </w:rPr>
            </w:pPr>
            <w:r w:rsidRPr="0087751B">
              <w:rPr>
                <w:rFonts w:ascii="Arial" w:eastAsia="Arial" w:hAnsi="Arial" w:cs="Arial"/>
                <w:color w:val="000000"/>
                <w:sz w:val="13"/>
              </w:rPr>
              <w:t>95,82%</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1888A931"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95,82%</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DCF73B9"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95,82%</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2A975F84"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95,82%</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C382698" w14:textId="77777777" w:rsidR="0087751B" w:rsidRPr="0087751B" w:rsidRDefault="0087751B" w:rsidP="0087751B">
            <w:pPr>
              <w:ind w:left="71"/>
              <w:jc w:val="left"/>
              <w:rPr>
                <w:rFonts w:ascii="Century Gothic" w:eastAsia="Century Gothic" w:hAnsi="Century Gothic" w:cs="Century Gothic"/>
                <w:color w:val="000000"/>
              </w:rPr>
            </w:pPr>
            <w:r w:rsidRPr="0087751B">
              <w:rPr>
                <w:rFonts w:ascii="Arial" w:eastAsia="Arial" w:hAnsi="Arial" w:cs="Arial"/>
                <w:color w:val="000000"/>
                <w:sz w:val="13"/>
              </w:rPr>
              <w:t>95,82%</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612D4E50" w14:textId="77777777" w:rsidR="0087751B" w:rsidRPr="0087751B" w:rsidRDefault="0087751B" w:rsidP="0087751B">
            <w:pPr>
              <w:ind w:left="105"/>
              <w:jc w:val="left"/>
              <w:rPr>
                <w:rFonts w:ascii="Century Gothic" w:eastAsia="Century Gothic" w:hAnsi="Century Gothic" w:cs="Century Gothic"/>
                <w:color w:val="000000"/>
              </w:rPr>
            </w:pPr>
            <w:r w:rsidRPr="0087751B">
              <w:rPr>
                <w:rFonts w:ascii="Arial" w:eastAsia="Arial" w:hAnsi="Arial" w:cs="Arial"/>
                <w:color w:val="000000"/>
                <w:sz w:val="13"/>
              </w:rPr>
              <w:t>95,82%</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22223CA3" w14:textId="77777777" w:rsidR="0087751B" w:rsidRPr="0087751B" w:rsidRDefault="0087751B" w:rsidP="0087751B">
            <w:pPr>
              <w:ind w:left="114"/>
              <w:jc w:val="left"/>
              <w:rPr>
                <w:rFonts w:ascii="Century Gothic" w:eastAsia="Century Gothic" w:hAnsi="Century Gothic" w:cs="Century Gothic"/>
                <w:color w:val="000000"/>
              </w:rPr>
            </w:pPr>
            <w:r w:rsidRPr="0087751B">
              <w:rPr>
                <w:rFonts w:ascii="Arial" w:eastAsia="Arial" w:hAnsi="Arial" w:cs="Arial"/>
                <w:color w:val="000000"/>
                <w:sz w:val="13"/>
              </w:rPr>
              <w:t>96,01%</w:t>
            </w:r>
          </w:p>
        </w:tc>
      </w:tr>
      <w:tr w:rsidR="0087751B" w:rsidRPr="0087751B" w14:paraId="66112533" w14:textId="77777777" w:rsidTr="0087751B">
        <w:trPr>
          <w:trHeight w:val="167"/>
        </w:trPr>
        <w:tc>
          <w:tcPr>
            <w:tcW w:w="2040" w:type="dxa"/>
            <w:gridSpan w:val="2"/>
            <w:tcBorders>
              <w:top w:val="single" w:sz="4" w:space="0" w:color="000000"/>
              <w:left w:val="single" w:sz="4" w:space="0" w:color="000000"/>
              <w:bottom w:val="single" w:sz="4" w:space="0" w:color="000000"/>
              <w:right w:val="single" w:sz="4" w:space="0" w:color="000000"/>
            </w:tcBorders>
            <w:vAlign w:val="center"/>
            <w:hideMark/>
          </w:tcPr>
          <w:p w14:paraId="56EC3648"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Energia dostarczona</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3EEB5EB1"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669C93C6"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141242</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FDE0D37"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150248</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4ADBB3E" w14:textId="77777777" w:rsidR="0087751B" w:rsidRPr="0087751B" w:rsidRDefault="0087751B" w:rsidP="0087751B">
            <w:pPr>
              <w:ind w:left="53"/>
              <w:jc w:val="left"/>
              <w:rPr>
                <w:rFonts w:ascii="Century Gothic" w:eastAsia="Century Gothic" w:hAnsi="Century Gothic" w:cs="Century Gothic"/>
                <w:color w:val="000000"/>
              </w:rPr>
            </w:pPr>
            <w:r w:rsidRPr="0087751B">
              <w:rPr>
                <w:rFonts w:ascii="Arial" w:eastAsia="Arial" w:hAnsi="Arial" w:cs="Arial"/>
                <w:color w:val="000000"/>
                <w:sz w:val="13"/>
              </w:rPr>
              <w:t>156712</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37F4FF35" w14:textId="77777777" w:rsidR="0087751B" w:rsidRPr="0087751B" w:rsidRDefault="0087751B" w:rsidP="0087751B">
            <w:pPr>
              <w:ind w:left="62"/>
              <w:jc w:val="left"/>
              <w:rPr>
                <w:rFonts w:ascii="Century Gothic" w:eastAsia="Century Gothic" w:hAnsi="Century Gothic" w:cs="Century Gothic"/>
                <w:color w:val="000000"/>
              </w:rPr>
            </w:pPr>
            <w:r w:rsidRPr="0087751B">
              <w:rPr>
                <w:rFonts w:ascii="Arial" w:eastAsia="Arial" w:hAnsi="Arial" w:cs="Arial"/>
                <w:color w:val="000000"/>
                <w:sz w:val="13"/>
              </w:rPr>
              <w:t>155362</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4CEF6B3F"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157679</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17F2254F" w14:textId="77777777" w:rsidR="0087751B" w:rsidRPr="0087751B" w:rsidRDefault="0087751B" w:rsidP="0087751B">
            <w:pPr>
              <w:ind w:left="26"/>
              <w:rPr>
                <w:rFonts w:ascii="Century Gothic" w:eastAsia="Century Gothic" w:hAnsi="Century Gothic" w:cs="Century Gothic"/>
                <w:color w:val="000000"/>
              </w:rPr>
            </w:pPr>
            <w:r w:rsidRPr="0087751B">
              <w:rPr>
                <w:rFonts w:ascii="Arial" w:eastAsia="Arial" w:hAnsi="Arial" w:cs="Arial"/>
                <w:color w:val="000000"/>
                <w:sz w:val="13"/>
              </w:rPr>
              <w:t>152409</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3F8DFDDF"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158049</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5513A5D"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159669</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838E045" w14:textId="77777777" w:rsidR="0087751B" w:rsidRPr="0087751B" w:rsidRDefault="0087751B" w:rsidP="0087751B">
            <w:pPr>
              <w:ind w:left="62"/>
              <w:jc w:val="left"/>
              <w:rPr>
                <w:rFonts w:ascii="Century Gothic" w:eastAsia="Century Gothic" w:hAnsi="Century Gothic" w:cs="Century Gothic"/>
                <w:color w:val="000000"/>
              </w:rPr>
            </w:pPr>
            <w:r w:rsidRPr="0087751B">
              <w:rPr>
                <w:rFonts w:ascii="Arial" w:eastAsia="Arial" w:hAnsi="Arial" w:cs="Arial"/>
                <w:color w:val="000000"/>
                <w:sz w:val="13"/>
              </w:rPr>
              <w:t>163340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190092C8" w14:textId="77777777" w:rsidR="0087751B" w:rsidRPr="0087751B" w:rsidRDefault="0087751B" w:rsidP="0087751B">
            <w:pPr>
              <w:ind w:left="79"/>
              <w:jc w:val="left"/>
              <w:rPr>
                <w:rFonts w:ascii="Century Gothic" w:eastAsia="Century Gothic" w:hAnsi="Century Gothic" w:cs="Century Gothic"/>
                <w:color w:val="000000"/>
              </w:rPr>
            </w:pPr>
            <w:r w:rsidRPr="0087751B">
              <w:rPr>
                <w:rFonts w:ascii="Arial" w:eastAsia="Arial" w:hAnsi="Arial" w:cs="Arial"/>
                <w:color w:val="000000"/>
                <w:sz w:val="13"/>
              </w:rPr>
              <w:t>162931</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460BC2B8" w14:textId="77777777" w:rsidR="0087751B" w:rsidRPr="0087751B" w:rsidRDefault="0087751B" w:rsidP="0087751B">
            <w:pPr>
              <w:ind w:left="114"/>
              <w:jc w:val="left"/>
              <w:rPr>
                <w:rFonts w:ascii="Century Gothic" w:eastAsia="Century Gothic" w:hAnsi="Century Gothic" w:cs="Century Gothic"/>
                <w:color w:val="000000"/>
              </w:rPr>
            </w:pPr>
            <w:r w:rsidRPr="0087751B">
              <w:rPr>
                <w:rFonts w:ascii="Arial" w:eastAsia="Arial" w:hAnsi="Arial" w:cs="Arial"/>
                <w:color w:val="000000"/>
                <w:sz w:val="13"/>
              </w:rPr>
              <w:t>157134</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4C39F24C"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151737</w:t>
            </w:r>
          </w:p>
        </w:tc>
      </w:tr>
      <w:tr w:rsidR="0087751B" w:rsidRPr="0087751B" w14:paraId="3F412D1E" w14:textId="77777777" w:rsidTr="0087751B">
        <w:trPr>
          <w:trHeight w:val="167"/>
        </w:trPr>
        <w:tc>
          <w:tcPr>
            <w:tcW w:w="2040" w:type="dxa"/>
            <w:gridSpan w:val="2"/>
            <w:tcBorders>
              <w:top w:val="single" w:sz="4" w:space="0" w:color="000000"/>
              <w:left w:val="single" w:sz="4" w:space="0" w:color="000000"/>
              <w:bottom w:val="single" w:sz="4" w:space="0" w:color="000000"/>
              <w:right w:val="single" w:sz="4" w:space="0" w:color="000000"/>
            </w:tcBorders>
            <w:vAlign w:val="center"/>
            <w:hideMark/>
          </w:tcPr>
          <w:p w14:paraId="3ACCFC54"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color w:val="000000"/>
                <w:sz w:val="13"/>
              </w:rPr>
              <w:t xml:space="preserve">Bonus CHP </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64F90472" w14:textId="77777777" w:rsidR="0087751B" w:rsidRPr="0087751B" w:rsidRDefault="0087751B" w:rsidP="0087751B">
            <w:pPr>
              <w:ind w:left="88"/>
              <w:jc w:val="left"/>
              <w:rPr>
                <w:rFonts w:ascii="Century Gothic" w:eastAsia="Century Gothic" w:hAnsi="Century Gothic" w:cs="Century Gothic"/>
                <w:color w:val="000000"/>
              </w:rPr>
            </w:pPr>
            <w:r w:rsidRPr="0087751B">
              <w:rPr>
                <w:rFonts w:ascii="Arial" w:eastAsia="Arial" w:hAnsi="Arial" w:cs="Arial"/>
                <w:color w:val="000000"/>
                <w:sz w:val="13"/>
              </w:rPr>
              <w:t>GWh</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402C72C3"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36221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43B8B8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36221</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7B641746" w14:textId="77777777" w:rsidR="0087751B" w:rsidRPr="0087751B" w:rsidRDefault="0087751B" w:rsidP="0087751B">
            <w:pPr>
              <w:ind w:left="123"/>
              <w:jc w:val="left"/>
              <w:rPr>
                <w:rFonts w:ascii="Century Gothic" w:eastAsia="Century Gothic" w:hAnsi="Century Gothic" w:cs="Century Gothic"/>
                <w:color w:val="000000"/>
              </w:rPr>
            </w:pPr>
            <w:r w:rsidRPr="0087751B">
              <w:rPr>
                <w:rFonts w:ascii="Arial" w:eastAsia="Arial" w:hAnsi="Arial" w:cs="Arial"/>
                <w:color w:val="000000"/>
                <w:sz w:val="13"/>
              </w:rPr>
              <w:t>36431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49DDCDD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36535</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D2EA338"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36483</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61388DAF" w14:textId="77777777" w:rsidR="0087751B" w:rsidRPr="0087751B" w:rsidRDefault="0087751B" w:rsidP="0087751B">
            <w:pPr>
              <w:ind w:left="97"/>
              <w:jc w:val="left"/>
              <w:rPr>
                <w:rFonts w:ascii="Century Gothic" w:eastAsia="Century Gothic" w:hAnsi="Century Gothic" w:cs="Century Gothic"/>
                <w:color w:val="000000"/>
              </w:rPr>
            </w:pPr>
            <w:r w:rsidRPr="0087751B">
              <w:rPr>
                <w:rFonts w:ascii="Arial" w:eastAsia="Arial" w:hAnsi="Arial" w:cs="Arial"/>
                <w:color w:val="000000"/>
                <w:sz w:val="13"/>
              </w:rPr>
              <w:t>36638</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1A0537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42272</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0EAE8407"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42576</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580BAFD2"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44746</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5364FCBB"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43993</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64406BE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color w:val="000000"/>
                <w:sz w:val="13"/>
              </w:rPr>
              <w:t>42856</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16791C59"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color w:val="000000"/>
                <w:sz w:val="13"/>
              </w:rPr>
              <w:t>41309</w:t>
            </w:r>
          </w:p>
        </w:tc>
      </w:tr>
      <w:tr w:rsidR="0087751B" w:rsidRPr="0087751B" w14:paraId="4BF35C9C" w14:textId="77777777" w:rsidTr="0087751B">
        <w:trPr>
          <w:trHeight w:val="176"/>
        </w:trPr>
        <w:tc>
          <w:tcPr>
            <w:tcW w:w="2040" w:type="dxa"/>
            <w:gridSpan w:val="2"/>
            <w:tcBorders>
              <w:top w:val="single" w:sz="4" w:space="0" w:color="000000"/>
              <w:left w:val="single" w:sz="4" w:space="0" w:color="000000"/>
              <w:bottom w:val="single" w:sz="4" w:space="0" w:color="000000"/>
              <w:right w:val="single" w:sz="4" w:space="0" w:color="000000"/>
            </w:tcBorders>
            <w:vAlign w:val="center"/>
            <w:hideMark/>
          </w:tcPr>
          <w:p w14:paraId="426CA6DF" w14:textId="77777777" w:rsidR="0087751B" w:rsidRPr="0087751B" w:rsidRDefault="0087751B" w:rsidP="0087751B">
            <w:pPr>
              <w:jc w:val="left"/>
              <w:rPr>
                <w:rFonts w:ascii="Century Gothic" w:eastAsia="Century Gothic" w:hAnsi="Century Gothic" w:cs="Century Gothic"/>
                <w:color w:val="000000"/>
              </w:rPr>
            </w:pPr>
            <w:r w:rsidRPr="0087751B">
              <w:rPr>
                <w:rFonts w:ascii="Arial" w:eastAsia="Arial" w:hAnsi="Arial" w:cs="Arial"/>
                <w:b/>
                <w:color w:val="000000"/>
                <w:sz w:val="13"/>
              </w:rPr>
              <w:t>PEF (nieodnawialne)</w:t>
            </w:r>
          </w:p>
        </w:tc>
        <w:tc>
          <w:tcPr>
            <w:tcW w:w="519" w:type="dxa"/>
            <w:tcBorders>
              <w:top w:val="single" w:sz="4" w:space="0" w:color="000000"/>
              <w:left w:val="single" w:sz="4" w:space="0" w:color="000000"/>
              <w:bottom w:val="single" w:sz="4" w:space="0" w:color="000000"/>
              <w:right w:val="single" w:sz="4" w:space="0" w:color="000000"/>
            </w:tcBorders>
            <w:vAlign w:val="center"/>
          </w:tcPr>
          <w:p w14:paraId="5D4AA415" w14:textId="77777777" w:rsidR="0087751B" w:rsidRPr="0087751B" w:rsidRDefault="0087751B" w:rsidP="0087751B">
            <w:pPr>
              <w:jc w:val="left"/>
              <w:rPr>
                <w:rFonts w:ascii="Century Gothic" w:eastAsia="Century Gothic" w:hAnsi="Century Gothic" w:cs="Century Gothic"/>
                <w:color w:val="000000"/>
              </w:rPr>
            </w:pP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1385A920"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b/>
                <w:color w:val="000000"/>
                <w:sz w:val="13"/>
              </w:rPr>
              <w:t>3,01</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9B5EEE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b/>
                <w:color w:val="000000"/>
                <w:sz w:val="13"/>
              </w:rPr>
              <w:t>2,75</w:t>
            </w:r>
          </w:p>
        </w:tc>
        <w:tc>
          <w:tcPr>
            <w:tcW w:w="519" w:type="dxa"/>
            <w:tcBorders>
              <w:top w:val="single" w:sz="4" w:space="0" w:color="000000"/>
              <w:left w:val="single" w:sz="4" w:space="0" w:color="000000"/>
              <w:bottom w:val="single" w:sz="4" w:space="0" w:color="000000"/>
              <w:right w:val="single" w:sz="4" w:space="0" w:color="000000"/>
            </w:tcBorders>
            <w:vAlign w:val="center"/>
            <w:hideMark/>
          </w:tcPr>
          <w:p w14:paraId="239A787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b/>
                <w:color w:val="000000"/>
                <w:sz w:val="13"/>
              </w:rPr>
              <w:t>2,68</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780D678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b/>
                <w:color w:val="000000"/>
                <w:sz w:val="13"/>
              </w:rPr>
              <w:t>2,60</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354A1D4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b/>
                <w:color w:val="000000"/>
                <w:sz w:val="13"/>
              </w:rPr>
              <w:t>2,60</w:t>
            </w:r>
          </w:p>
        </w:tc>
        <w:tc>
          <w:tcPr>
            <w:tcW w:w="493" w:type="dxa"/>
            <w:tcBorders>
              <w:top w:val="single" w:sz="4" w:space="0" w:color="000000"/>
              <w:left w:val="single" w:sz="4" w:space="0" w:color="000000"/>
              <w:bottom w:val="single" w:sz="4" w:space="0" w:color="000000"/>
              <w:right w:val="single" w:sz="4" w:space="0" w:color="000000"/>
            </w:tcBorders>
            <w:vAlign w:val="center"/>
            <w:hideMark/>
          </w:tcPr>
          <w:p w14:paraId="7753230F"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b/>
                <w:color w:val="000000"/>
                <w:sz w:val="13"/>
              </w:rPr>
              <w:t>2,52</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4B74DB9A"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b/>
                <w:color w:val="000000"/>
                <w:sz w:val="13"/>
              </w:rPr>
              <w:t>2,43</w:t>
            </w:r>
          </w:p>
        </w:tc>
        <w:tc>
          <w:tcPr>
            <w:tcW w:w="554" w:type="dxa"/>
            <w:tcBorders>
              <w:top w:val="single" w:sz="4" w:space="0" w:color="000000"/>
              <w:left w:val="single" w:sz="4" w:space="0" w:color="000000"/>
              <w:bottom w:val="single" w:sz="4" w:space="0" w:color="000000"/>
              <w:right w:val="single" w:sz="4" w:space="0" w:color="000000"/>
            </w:tcBorders>
            <w:vAlign w:val="center"/>
            <w:hideMark/>
          </w:tcPr>
          <w:p w14:paraId="5D19852D"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b/>
                <w:color w:val="000000"/>
                <w:sz w:val="13"/>
              </w:rPr>
              <w:t>2,41</w:t>
            </w:r>
          </w:p>
        </w:tc>
        <w:tc>
          <w:tcPr>
            <w:tcW w:w="528" w:type="dxa"/>
            <w:tcBorders>
              <w:top w:val="single" w:sz="4" w:space="0" w:color="000000"/>
              <w:left w:val="single" w:sz="4" w:space="0" w:color="000000"/>
              <w:bottom w:val="single" w:sz="4" w:space="0" w:color="000000"/>
              <w:right w:val="single" w:sz="4" w:space="0" w:color="000000"/>
            </w:tcBorders>
            <w:vAlign w:val="center"/>
            <w:hideMark/>
          </w:tcPr>
          <w:p w14:paraId="3716EE35"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b/>
                <w:color w:val="000000"/>
                <w:sz w:val="13"/>
              </w:rPr>
              <w:t>2,37</w:t>
            </w:r>
          </w:p>
        </w:tc>
        <w:tc>
          <w:tcPr>
            <w:tcW w:w="546" w:type="dxa"/>
            <w:tcBorders>
              <w:top w:val="single" w:sz="4" w:space="0" w:color="000000"/>
              <w:left w:val="single" w:sz="4" w:space="0" w:color="000000"/>
              <w:bottom w:val="single" w:sz="4" w:space="0" w:color="000000"/>
              <w:right w:val="single" w:sz="4" w:space="0" w:color="000000"/>
            </w:tcBorders>
            <w:vAlign w:val="center"/>
            <w:hideMark/>
          </w:tcPr>
          <w:p w14:paraId="05BD3F73"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b/>
                <w:color w:val="000000"/>
                <w:sz w:val="13"/>
              </w:rPr>
              <w:t>2,40</w:t>
            </w:r>
          </w:p>
        </w:tc>
        <w:tc>
          <w:tcPr>
            <w:tcW w:w="581" w:type="dxa"/>
            <w:tcBorders>
              <w:top w:val="single" w:sz="4" w:space="0" w:color="000000"/>
              <w:left w:val="single" w:sz="4" w:space="0" w:color="000000"/>
              <w:bottom w:val="single" w:sz="4" w:space="0" w:color="000000"/>
              <w:right w:val="single" w:sz="4" w:space="0" w:color="000000"/>
            </w:tcBorders>
            <w:vAlign w:val="center"/>
            <w:hideMark/>
          </w:tcPr>
          <w:p w14:paraId="4837CA3C" w14:textId="77777777" w:rsidR="0087751B" w:rsidRPr="0087751B" w:rsidRDefault="0087751B" w:rsidP="0087751B">
            <w:pPr>
              <w:ind w:right="19"/>
              <w:jc w:val="right"/>
              <w:rPr>
                <w:rFonts w:ascii="Century Gothic" w:eastAsia="Century Gothic" w:hAnsi="Century Gothic" w:cs="Century Gothic"/>
                <w:color w:val="000000"/>
              </w:rPr>
            </w:pPr>
            <w:r w:rsidRPr="0087751B">
              <w:rPr>
                <w:rFonts w:ascii="Arial" w:eastAsia="Arial" w:hAnsi="Arial" w:cs="Arial"/>
                <w:b/>
                <w:color w:val="000000"/>
                <w:sz w:val="13"/>
              </w:rPr>
              <w:t>2,30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1F564720" w14:textId="77777777" w:rsidR="0087751B" w:rsidRPr="0087751B" w:rsidRDefault="0087751B" w:rsidP="0087751B">
            <w:pPr>
              <w:ind w:right="20"/>
              <w:jc w:val="right"/>
              <w:rPr>
                <w:rFonts w:ascii="Century Gothic" w:eastAsia="Century Gothic" w:hAnsi="Century Gothic" w:cs="Century Gothic"/>
                <w:color w:val="000000"/>
              </w:rPr>
            </w:pPr>
            <w:r w:rsidRPr="0087751B">
              <w:rPr>
                <w:rFonts w:ascii="Arial" w:eastAsia="Arial" w:hAnsi="Arial" w:cs="Arial"/>
                <w:b/>
                <w:color w:val="000000"/>
                <w:sz w:val="13"/>
              </w:rPr>
              <w:t>2,19</w:t>
            </w:r>
          </w:p>
        </w:tc>
      </w:tr>
    </w:tbl>
    <w:p w14:paraId="00333A20" w14:textId="77777777" w:rsidR="0087751B" w:rsidRPr="0087751B" w:rsidRDefault="0087751B" w:rsidP="0087751B"/>
    <w:p w14:paraId="165887DA" w14:textId="77777777" w:rsidR="00AD75DF" w:rsidRPr="008C5DF9" w:rsidRDefault="00AD75DF" w:rsidP="00AD75DF">
      <w:pPr>
        <w:spacing w:after="0" w:line="360" w:lineRule="auto"/>
      </w:pPr>
      <w:r w:rsidRPr="008C5DF9">
        <w:t>Oznaczenie symboli w tabeli powyżej jest następujące: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421"/>
        <w:gridCol w:w="7687"/>
      </w:tblGrid>
      <w:tr w:rsidR="00AD75DF" w:rsidRPr="008C5DF9" w14:paraId="30F2B4DD" w14:textId="77777777">
        <w:tc>
          <w:tcPr>
            <w:tcW w:w="704" w:type="dxa"/>
            <w:hideMark/>
          </w:tcPr>
          <w:p w14:paraId="5D60670C" w14:textId="77777777" w:rsidR="00AD75DF" w:rsidRPr="008C5DF9" w:rsidRDefault="00E3653D">
            <w:pPr>
              <w:spacing w:line="276" w:lineRule="auto"/>
            </w:pPr>
            <m:oMathPara>
              <m:oMath>
                <m:sSub>
                  <m:sSubPr>
                    <m:ctrlPr>
                      <w:rPr>
                        <w:rFonts w:ascii="Cambria Math" w:hAnsi="Cambria Math"/>
                        <w:i/>
                      </w:rPr>
                    </m:ctrlPr>
                  </m:sSubPr>
                  <m:e>
                    <m:r>
                      <w:rPr>
                        <w:rFonts w:ascii="Cambria Math" w:hAnsi="Cambria Math"/>
                      </w:rPr>
                      <m:t>E</m:t>
                    </m:r>
                  </m:e>
                  <m:sub>
                    <m:r>
                      <w:rPr>
                        <w:rFonts w:ascii="Cambria Math" w:hAnsi="Cambria Math"/>
                      </w:rPr>
                      <m:t>prod,,el,j</m:t>
                    </m:r>
                  </m:sub>
                </m:sSub>
              </m:oMath>
            </m:oMathPara>
          </w:p>
        </w:tc>
        <w:tc>
          <w:tcPr>
            <w:tcW w:w="425" w:type="dxa"/>
            <w:hideMark/>
          </w:tcPr>
          <w:p w14:paraId="565E21AE" w14:textId="06F7613C" w:rsidR="00AD75DF" w:rsidRPr="008C5DF9" w:rsidRDefault="008061D1">
            <w:pPr>
              <w:spacing w:line="276" w:lineRule="auto"/>
            </w:pPr>
            <w:r>
              <w:t>–</w:t>
            </w:r>
          </w:p>
        </w:tc>
        <w:tc>
          <w:tcPr>
            <w:tcW w:w="7933" w:type="dxa"/>
            <w:hideMark/>
          </w:tcPr>
          <w:p w14:paraId="743F06BF" w14:textId="7C45305E" w:rsidR="00AD75DF" w:rsidRPr="008C5DF9" w:rsidRDefault="00AD75DF">
            <w:pPr>
              <w:spacing w:line="276" w:lineRule="auto"/>
            </w:pPr>
            <w:r w:rsidRPr="008C5DF9">
              <w:t xml:space="preserve">energia elektryczna wyprodukowana w wyniku konwersji </w:t>
            </w:r>
            <w:r w:rsidRPr="0087751B">
              <w:rPr>
                <w:i/>
                <w:iCs/>
              </w:rPr>
              <w:t>j</w:t>
            </w:r>
            <w:r w:rsidRPr="008C5DF9">
              <w:t>-tego paliwa</w:t>
            </w:r>
          </w:p>
        </w:tc>
      </w:tr>
      <w:tr w:rsidR="00AD75DF" w:rsidRPr="008C5DF9" w14:paraId="659C9868" w14:textId="77777777">
        <w:tc>
          <w:tcPr>
            <w:tcW w:w="704" w:type="dxa"/>
            <w:hideMark/>
          </w:tcPr>
          <w:p w14:paraId="6A115647" w14:textId="32F2D9F5" w:rsidR="00AD75DF" w:rsidRPr="008C5DF9" w:rsidRDefault="00E3653D">
            <w:pPr>
              <w:spacing w:line="276" w:lineRule="auto"/>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nren,j</m:t>
                    </m:r>
                  </m:sub>
                </m:sSub>
              </m:oMath>
            </m:oMathPara>
          </w:p>
        </w:tc>
        <w:tc>
          <w:tcPr>
            <w:tcW w:w="425" w:type="dxa"/>
            <w:hideMark/>
          </w:tcPr>
          <w:p w14:paraId="3627D363" w14:textId="20562B3A" w:rsidR="00AD75DF" w:rsidRPr="008C5DF9" w:rsidRDefault="008061D1">
            <w:pPr>
              <w:spacing w:line="276" w:lineRule="auto"/>
            </w:pPr>
            <w:r>
              <w:t>–</w:t>
            </w:r>
          </w:p>
        </w:tc>
        <w:tc>
          <w:tcPr>
            <w:tcW w:w="7933" w:type="dxa"/>
            <w:hideMark/>
          </w:tcPr>
          <w:p w14:paraId="30E53E87" w14:textId="1BF18D3F" w:rsidR="00AD75DF" w:rsidRPr="008C5DF9" w:rsidRDefault="00AD75DF">
            <w:pPr>
              <w:spacing w:line="276" w:lineRule="auto"/>
            </w:pPr>
            <w:r w:rsidRPr="008C5DF9">
              <w:t>współczynnik nakładu całkowitej</w:t>
            </w:r>
            <w:r w:rsidR="007117A9">
              <w:t xml:space="preserve"> nieodnawialnej</w:t>
            </w:r>
            <w:r w:rsidRPr="008C5DF9">
              <w:t xml:space="preserve"> energii pierwotnej </w:t>
            </w:r>
            <w:r w:rsidRPr="008C5DF9">
              <w:rPr>
                <w:i/>
                <w:iCs/>
              </w:rPr>
              <w:t>j</w:t>
            </w:r>
            <w:r w:rsidRPr="008C5DF9">
              <w:t>-tego paliwa</w:t>
            </w:r>
          </w:p>
        </w:tc>
      </w:tr>
      <w:tr w:rsidR="00AD75DF" w:rsidRPr="008C5DF9" w14:paraId="3A03EC1B" w14:textId="77777777">
        <w:tc>
          <w:tcPr>
            <w:tcW w:w="704" w:type="dxa"/>
            <w:hideMark/>
          </w:tcPr>
          <w:p w14:paraId="438FC60B" w14:textId="77777777" w:rsidR="00AD75DF" w:rsidRPr="008C5DF9" w:rsidRDefault="00E3653D">
            <w:pPr>
              <w:spacing w:line="276" w:lineRule="auto"/>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prod,j</m:t>
                    </m:r>
                  </m:sub>
                </m:sSub>
              </m:oMath>
            </m:oMathPara>
          </w:p>
        </w:tc>
        <w:tc>
          <w:tcPr>
            <w:tcW w:w="425" w:type="dxa"/>
            <w:hideMark/>
          </w:tcPr>
          <w:p w14:paraId="7DAD5BEC" w14:textId="64F2C54A" w:rsidR="00AD75DF" w:rsidRPr="008C5DF9" w:rsidRDefault="008061D1">
            <w:pPr>
              <w:spacing w:line="276" w:lineRule="auto"/>
            </w:pPr>
            <w:r>
              <w:t>–</w:t>
            </w:r>
          </w:p>
        </w:tc>
        <w:tc>
          <w:tcPr>
            <w:tcW w:w="7933" w:type="dxa"/>
            <w:hideMark/>
          </w:tcPr>
          <w:p w14:paraId="7EAC7B52" w14:textId="0363F077" w:rsidR="00AD75DF" w:rsidRPr="008C5DF9" w:rsidRDefault="00AD75DF">
            <w:pPr>
              <w:spacing w:line="276" w:lineRule="auto"/>
            </w:pPr>
            <w:r w:rsidRPr="008C5DF9">
              <w:t xml:space="preserve">sprawność wytwarzania energii elektrycznej w wyniku konwersji </w:t>
            </w:r>
            <w:r w:rsidRPr="008C5DF9">
              <w:rPr>
                <w:i/>
                <w:iCs/>
              </w:rPr>
              <w:t>j</w:t>
            </w:r>
            <w:r w:rsidRPr="008C5DF9">
              <w:t>-tego paliwa</w:t>
            </w:r>
          </w:p>
        </w:tc>
      </w:tr>
      <w:tr w:rsidR="00AD75DF" w:rsidRPr="008C5DF9" w14:paraId="14BC64E1" w14:textId="77777777">
        <w:tc>
          <w:tcPr>
            <w:tcW w:w="704" w:type="dxa"/>
            <w:hideMark/>
          </w:tcPr>
          <w:p w14:paraId="43859044" w14:textId="77777777" w:rsidR="00AD75DF" w:rsidRPr="008C5DF9" w:rsidRDefault="00E3653D">
            <w:pPr>
              <w:spacing w:line="276" w:lineRule="auto"/>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del</m:t>
                    </m:r>
                  </m:sub>
                </m:sSub>
              </m:oMath>
            </m:oMathPara>
          </w:p>
        </w:tc>
        <w:tc>
          <w:tcPr>
            <w:tcW w:w="425" w:type="dxa"/>
            <w:hideMark/>
          </w:tcPr>
          <w:p w14:paraId="75FC4CFA" w14:textId="6DC8E88D" w:rsidR="00AD75DF" w:rsidRPr="008C5DF9" w:rsidRDefault="008061D1">
            <w:pPr>
              <w:spacing w:line="276" w:lineRule="auto"/>
            </w:pPr>
            <w:r>
              <w:t>–</w:t>
            </w:r>
          </w:p>
        </w:tc>
        <w:tc>
          <w:tcPr>
            <w:tcW w:w="7933" w:type="dxa"/>
            <w:hideMark/>
          </w:tcPr>
          <w:p w14:paraId="6B220F93" w14:textId="25F66C84" w:rsidR="00AD75DF" w:rsidRPr="008C5DF9" w:rsidRDefault="00AD75DF">
            <w:pPr>
              <w:spacing w:line="276" w:lineRule="auto"/>
            </w:pPr>
            <w:r w:rsidRPr="008C5DF9">
              <w:t>sprawność przesyłu i dystrybucji energii elektrycznej</w:t>
            </w:r>
          </w:p>
        </w:tc>
      </w:tr>
      <w:tr w:rsidR="007117A9" w:rsidRPr="008C5DF9" w14:paraId="5AF5D224" w14:textId="77777777">
        <w:tc>
          <w:tcPr>
            <w:tcW w:w="704" w:type="dxa"/>
          </w:tcPr>
          <w:p w14:paraId="4420F2A1" w14:textId="4A80CA2C" w:rsidR="007117A9" w:rsidRDefault="007117A9">
            <w:pPr>
              <w:spacing w:line="276" w:lineRule="auto"/>
              <w:rPr>
                <w:rFonts w:eastAsia="Calibri" w:cs="Times New Roman"/>
              </w:rPr>
            </w:pPr>
            <w:r>
              <w:rPr>
                <w:rFonts w:eastAsia="Calibri" w:cs="Times New Roman"/>
              </w:rPr>
              <w:t>PEF</w:t>
            </w:r>
          </w:p>
        </w:tc>
        <w:tc>
          <w:tcPr>
            <w:tcW w:w="425" w:type="dxa"/>
          </w:tcPr>
          <w:p w14:paraId="3F08ED05" w14:textId="777B3708" w:rsidR="007117A9" w:rsidRDefault="007117A9">
            <w:pPr>
              <w:spacing w:line="276" w:lineRule="auto"/>
            </w:pPr>
            <w:r>
              <w:t>–</w:t>
            </w:r>
          </w:p>
        </w:tc>
        <w:tc>
          <w:tcPr>
            <w:tcW w:w="7933" w:type="dxa"/>
          </w:tcPr>
          <w:p w14:paraId="5479AD2F" w14:textId="04045C62" w:rsidR="007117A9" w:rsidRPr="008C5DF9" w:rsidRDefault="007117A9">
            <w:pPr>
              <w:spacing w:line="276" w:lineRule="auto"/>
            </w:pPr>
            <w:r>
              <w:t xml:space="preserve">współczynnik nakładu całkowitej </w:t>
            </w:r>
            <w:r w:rsidR="00AD0FD9">
              <w:t>energii</w:t>
            </w:r>
            <w:r>
              <w:t xml:space="preserve"> pierwotnej</w:t>
            </w:r>
          </w:p>
        </w:tc>
      </w:tr>
    </w:tbl>
    <w:p w14:paraId="1A76C390" w14:textId="77777777" w:rsidR="00AD75DF" w:rsidRDefault="00AD75DF" w:rsidP="00AD75DF">
      <w:pPr>
        <w:spacing w:after="0" w:line="276" w:lineRule="auto"/>
      </w:pPr>
    </w:p>
    <w:p w14:paraId="59392B26" w14:textId="77777777" w:rsidR="00AD75DF" w:rsidRDefault="00AD75DF" w:rsidP="00AD75DF">
      <w:pPr>
        <w:spacing w:after="0" w:line="360" w:lineRule="auto"/>
        <w:ind w:firstLine="708"/>
      </w:pPr>
    </w:p>
    <w:p w14:paraId="065576B7" w14:textId="0A08514B" w:rsidR="008061D1" w:rsidRDefault="00AD75DF" w:rsidP="00373FD3">
      <w:r>
        <w:t xml:space="preserve">Na poniższym </w:t>
      </w:r>
      <w:r w:rsidR="008061D1">
        <w:t xml:space="preserve">rysunku </w:t>
      </w:r>
      <w:r>
        <w:t>przedstawiono przebieg zmian obliczonych wartości współczynnika nakładu całkowitej energii pierwotnej dla systemowej energii elektrycznej.</w:t>
      </w:r>
    </w:p>
    <w:p w14:paraId="4CC829B9" w14:textId="0A5BFF15" w:rsidR="00AD75DF" w:rsidRDefault="00AD75DF" w:rsidP="00373FD3">
      <w:r>
        <w:rPr>
          <w:noProof/>
        </w:rPr>
        <w:lastRenderedPageBreak/>
        <w:drawing>
          <wp:inline distT="0" distB="0" distL="0" distR="0" wp14:anchorId="26011109" wp14:editId="01B093A6">
            <wp:extent cx="5907819" cy="2743200"/>
            <wp:effectExtent l="0" t="0" r="0" b="0"/>
            <wp:docPr id="1688410467" name="Wykres 1688410467">
              <a:extLst xmlns:a="http://schemas.openxmlformats.org/drawingml/2006/main">
                <a:ext uri="{FF2B5EF4-FFF2-40B4-BE49-F238E27FC236}">
                  <a16:creationId xmlns:a16="http://schemas.microsoft.com/office/drawing/2014/main" id="{4D2A4D4A-1472-69F2-EC02-A2C3A2E8D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5F581B6" w14:textId="4E9F5A4B" w:rsidR="00AD75DF" w:rsidRDefault="008061D1" w:rsidP="008061D1">
      <w:pPr>
        <w:pStyle w:val="Legenda"/>
      </w:pPr>
      <w:r>
        <w:t xml:space="preserve">Rysunek </w:t>
      </w:r>
      <w:fldSimple w:instr=" SEQ Rysunek \* ARABIC ">
        <w:r w:rsidR="00CC735D">
          <w:rPr>
            <w:noProof/>
          </w:rPr>
          <w:t>1</w:t>
        </w:r>
      </w:fldSimple>
      <w:r>
        <w:t xml:space="preserve">. </w:t>
      </w:r>
      <w:r w:rsidR="00A12C14">
        <w:t>W</w:t>
      </w:r>
      <w:r w:rsidR="00A12C14" w:rsidRPr="00A31E0C">
        <w:t xml:space="preserve">spółczynnik </w:t>
      </w:r>
      <w:r w:rsidR="00EB61A0">
        <w:t>całkowitego</w:t>
      </w:r>
      <w:r w:rsidR="00AD75DF" w:rsidRPr="00A31E0C" w:rsidDel="00A12C14">
        <w:t xml:space="preserve"> </w:t>
      </w:r>
      <w:r w:rsidR="00AD75DF" w:rsidRPr="008061D1">
        <w:t>nakładu</w:t>
      </w:r>
      <w:r w:rsidR="00AD75DF" w:rsidRPr="00A31E0C">
        <w:t xml:space="preserve"> energii pierwotnej w kolejnych latach</w:t>
      </w:r>
    </w:p>
    <w:p w14:paraId="4A13E97B" w14:textId="77777777" w:rsidR="008061D1" w:rsidRDefault="008061D1" w:rsidP="00373FD3"/>
    <w:p w14:paraId="267E055A" w14:textId="136DCDAE" w:rsidR="00AD75DF" w:rsidRPr="000843AD" w:rsidRDefault="00AD0FD9" w:rsidP="00373FD3">
      <w:r w:rsidRPr="00AD0FD9">
        <w:t xml:space="preserve">Jednakowe obliczenia zostały wykonane dla współczynnika nakładu </w:t>
      </w:r>
      <w:r w:rsidRPr="00EB61A0">
        <w:rPr>
          <w:u w:val="single"/>
        </w:rPr>
        <w:t xml:space="preserve">nieodnawialnej </w:t>
      </w:r>
      <w:r w:rsidRPr="00AD0FD9">
        <w:t>energii pierwotnej. Oszacowano, że wartość tego współczynnika wyniosła 2,19</w:t>
      </w:r>
      <w:r w:rsidRPr="00AD0FD9">
        <w:fldChar w:fldCharType="begin"/>
      </w:r>
      <w:r w:rsidRPr="00AD0FD9">
        <w:instrText xml:space="preserve"> NOTEREF _Ref137037688 \h  \* MERGEFORMAT </w:instrText>
      </w:r>
      <w:r w:rsidRPr="00AD0FD9">
        <w:fldChar w:fldCharType="separate"/>
      </w:r>
      <w:r w:rsidR="00CC735D">
        <w:t>14</w:t>
      </w:r>
      <w:r w:rsidRPr="00AD0FD9">
        <w:fldChar w:fldCharType="end"/>
      </w:r>
      <w:r w:rsidRPr="00AD0FD9">
        <w:rPr>
          <w:vertAlign w:val="superscript"/>
        </w:rPr>
        <w:fldChar w:fldCharType="begin"/>
      </w:r>
      <w:r w:rsidRPr="00AD0FD9">
        <w:rPr>
          <w:vertAlign w:val="superscript"/>
        </w:rPr>
        <w:instrText xml:space="preserve"> NOTEREF _Ref137037688 \h  \* MERGEFORMAT </w:instrText>
      </w:r>
      <w:r w:rsidRPr="00AD0FD9">
        <w:rPr>
          <w:vertAlign w:val="superscript"/>
        </w:rPr>
      </w:r>
      <w:r w:rsidRPr="00AD0FD9">
        <w:rPr>
          <w:vertAlign w:val="superscript"/>
        </w:rPr>
        <w:fldChar w:fldCharType="separate"/>
      </w:r>
      <w:r w:rsidR="00CC735D">
        <w:rPr>
          <w:vertAlign w:val="superscript"/>
        </w:rPr>
        <w:t>14</w:t>
      </w:r>
      <w:r w:rsidRPr="00AD0FD9">
        <w:fldChar w:fldCharType="end"/>
      </w:r>
      <w:r>
        <w:t>.</w:t>
      </w:r>
    </w:p>
    <w:p w14:paraId="4BA00631" w14:textId="7CE2A39C" w:rsidR="00AD75DF" w:rsidRDefault="00AD75DF" w:rsidP="00373FD3">
      <w:r>
        <w:t xml:space="preserve">Przy ustalaniu wartości współczynnika nakładu energii pierwotnej uwzględniono także wyliczenia </w:t>
      </w:r>
      <w:r w:rsidRPr="00BB6245">
        <w:t>największych producentów</w:t>
      </w:r>
      <w:r>
        <w:t xml:space="preserve"> </w:t>
      </w:r>
      <w:r w:rsidRPr="00BB6245">
        <w:t>i dostawców energii elektrycznej w Polsce</w:t>
      </w:r>
      <w:r>
        <w:t xml:space="preserve"> dotyczące średniej </w:t>
      </w:r>
      <w:r w:rsidRPr="00BB6245">
        <w:t>sprawnoś</w:t>
      </w:r>
      <w:r>
        <w:t>ci</w:t>
      </w:r>
      <w:r w:rsidRPr="00BB6245">
        <w:t xml:space="preserve"> wytwarzania </w:t>
      </w:r>
      <w:r>
        <w:t xml:space="preserve">energii elektrycznej podające wartość </w:t>
      </w:r>
      <w:r w:rsidRPr="00BB6245">
        <w:t>34,987%</w:t>
      </w:r>
      <w:r>
        <w:t xml:space="preserve">. Odpowiada to </w:t>
      </w:r>
      <w:r w:rsidRPr="00BB6245">
        <w:t>wartoś</w:t>
      </w:r>
      <w:r>
        <w:t>ci</w:t>
      </w:r>
      <w:r w:rsidRPr="00BB6245" w:rsidDel="00517E35">
        <w:t xml:space="preserve"> </w:t>
      </w:r>
      <w:r w:rsidRPr="00BB6245">
        <w:t xml:space="preserve">współczynnika </w:t>
      </w:r>
      <w:r w:rsidR="00517E35" w:rsidRPr="00BB6245">
        <w:t xml:space="preserve">całkowitego </w:t>
      </w:r>
      <w:r w:rsidRPr="00BB6245">
        <w:t>nakładu energii pierwotnej wynosząc</w:t>
      </w:r>
      <w:r>
        <w:t>ej</w:t>
      </w:r>
      <w:r w:rsidRPr="00BB6245">
        <w:t xml:space="preserve"> 2,86.</w:t>
      </w:r>
      <w:r>
        <w:t xml:space="preserve"> Odnosząc relację pomiędzy wartościami współczynników nakładu nieodnawialnej i całkowitej energii pierwotnej (2,19/2,5) do współczynnika nakładu 2,86, uzyskano wartość współczynnika nakładu nieodnawialnej energii pierwotnej wynoszącą 2,505. Wartość 2,5 jest wartością aktualnie obowiązującą w Polsce zarówno w regulacjach wdrażających </w:t>
      </w:r>
      <w:r w:rsidRPr="00235915">
        <w:t xml:space="preserve">dyrektywę </w:t>
      </w:r>
      <w:hyperlink r:id="rId26" w:tgtFrame="_blank" w:history="1">
        <w:r w:rsidRPr="00373FD3">
          <w:t>2010/31/EU</w:t>
        </w:r>
      </w:hyperlink>
      <w:r>
        <w:t xml:space="preserve"> jak dyrektywę </w:t>
      </w:r>
      <w:r w:rsidR="00AD0FD9">
        <w:t>2023/1791</w:t>
      </w:r>
      <w:r w:rsidRPr="00373FD3">
        <w:t>/UE</w:t>
      </w:r>
      <w:r>
        <w:t>.</w:t>
      </w:r>
    </w:p>
    <w:p w14:paraId="551A5DFE" w14:textId="77777777" w:rsidR="00AD75DF" w:rsidRDefault="00AD75DF" w:rsidP="00AD75DF">
      <w:pPr>
        <w:spacing w:after="0" w:line="360" w:lineRule="auto"/>
        <w:ind w:firstLine="709"/>
      </w:pPr>
    </w:p>
    <w:p w14:paraId="6F94AB18" w14:textId="77777777" w:rsidR="00AD75DF" w:rsidRDefault="00AD75DF" w:rsidP="00AD75DF">
      <w:pPr>
        <w:spacing w:after="0" w:line="360" w:lineRule="auto"/>
        <w:ind w:firstLine="709"/>
      </w:pPr>
    </w:p>
    <w:p w14:paraId="35749F0C" w14:textId="77777777" w:rsidR="00AD75DF" w:rsidRDefault="00AD75DF" w:rsidP="00AD75DF">
      <w:pPr>
        <w:spacing w:after="0" w:line="360" w:lineRule="auto"/>
        <w:ind w:firstLine="709"/>
      </w:pPr>
    </w:p>
    <w:p w14:paraId="5606556B" w14:textId="77777777" w:rsidR="00AD75DF" w:rsidRDefault="00AD75DF" w:rsidP="00AD75DF">
      <w:r>
        <w:br w:type="page"/>
      </w:r>
    </w:p>
    <w:p w14:paraId="4C07BD57" w14:textId="77777777" w:rsidR="00AD75DF" w:rsidRPr="00DD583F" w:rsidRDefault="00AD75DF" w:rsidP="00735F4A">
      <w:pPr>
        <w:pStyle w:val="Nagwek1"/>
        <w:numPr>
          <w:ilvl w:val="0"/>
          <w:numId w:val="0"/>
        </w:numPr>
        <w:ind w:left="397" w:hanging="397"/>
        <w:rPr>
          <w:rFonts w:eastAsiaTheme="minorHAnsi"/>
        </w:rPr>
      </w:pPr>
      <w:bookmarkStart w:id="28" w:name="_Toc202967821"/>
      <w:r w:rsidRPr="00DD583F">
        <w:rPr>
          <w:rFonts w:eastAsiaTheme="minorHAnsi"/>
        </w:rPr>
        <w:lastRenderedPageBreak/>
        <w:t xml:space="preserve">Źródła </w:t>
      </w:r>
      <w:r w:rsidRPr="0097073E">
        <w:t>danych</w:t>
      </w:r>
      <w:bookmarkEnd w:id="28"/>
    </w:p>
    <w:p w14:paraId="5FF799C8" w14:textId="0160D6AF" w:rsidR="00AD75DF" w:rsidRDefault="00AD75DF" w:rsidP="00767FC5">
      <w:pPr>
        <w:pStyle w:val="Akapitzlist"/>
        <w:numPr>
          <w:ilvl w:val="0"/>
          <w:numId w:val="30"/>
        </w:numPr>
        <w:spacing w:after="120"/>
        <w:ind w:left="426"/>
        <w:contextualSpacing w:val="0"/>
      </w:pPr>
      <w:r>
        <w:t>Dane dotyczące produkcji energii w polskim systemie elektroenergetycznym w podziale na poszczególne nośniki energii, sprawności przemian energetycznych, produkcji energii elektrycznej w</w:t>
      </w:r>
      <w:r w:rsidR="002A0563">
        <w:t> </w:t>
      </w:r>
      <w:r>
        <w:t>kogeneracji:</w:t>
      </w:r>
    </w:p>
    <w:p w14:paraId="6C0C2A01" w14:textId="0AEA063E" w:rsidR="0097073E" w:rsidRDefault="0097073E" w:rsidP="00767FC5">
      <w:pPr>
        <w:pStyle w:val="Akapitzlist"/>
        <w:numPr>
          <w:ilvl w:val="1"/>
          <w:numId w:val="31"/>
        </w:numPr>
        <w:spacing w:after="120"/>
        <w:ind w:left="851"/>
        <w:contextualSpacing w:val="0"/>
      </w:pPr>
      <w:r>
        <w:t xml:space="preserve">Lata 2005 oraz 2019 oraz 2020 </w:t>
      </w:r>
      <w:r w:rsidR="002A0563">
        <w:t>–</w:t>
      </w:r>
      <w:r>
        <w:t xml:space="preserve"> Statystyka Elektroenergetyki Polskiej Rocznik 2020, ISSN- 1232-2415, Publikacja Ministerstwa Klimatu i Środowiska oraz Agencji Rynku Energii S.A. </w:t>
      </w:r>
      <w:hyperlink r:id="rId27" w:history="1">
        <w:r>
          <w:rPr>
            <w:rStyle w:val="Hipercze"/>
          </w:rPr>
          <w:t>https://www.are.waw.pl/badania-statystyczne/wynikowe-informacje-statystyczne/publikacje-roczne</w:t>
        </w:r>
      </w:hyperlink>
      <w:r>
        <w:t xml:space="preserve"> </w:t>
      </w:r>
    </w:p>
    <w:p w14:paraId="29B45696" w14:textId="07FC0CE6" w:rsidR="0097073E" w:rsidRDefault="0097073E" w:rsidP="00767FC5">
      <w:pPr>
        <w:pStyle w:val="Akapitzlist"/>
        <w:numPr>
          <w:ilvl w:val="1"/>
          <w:numId w:val="31"/>
        </w:numPr>
        <w:spacing w:after="120"/>
        <w:ind w:left="851"/>
        <w:contextualSpacing w:val="0"/>
      </w:pPr>
      <w:r>
        <w:t>Lata 2010</w:t>
      </w:r>
      <w:r w:rsidR="0075057F">
        <w:t>–</w:t>
      </w:r>
      <w:r>
        <w:t xml:space="preserve">2018 </w:t>
      </w:r>
      <w:r w:rsidR="002A0563">
        <w:t xml:space="preserve">– </w:t>
      </w:r>
      <w:r>
        <w:t xml:space="preserve">Gospodarka paliwowo-energetyczna w latach 2010-18, Główny Urząd Statystyczny, </w:t>
      </w:r>
      <w:hyperlink r:id="rId28" w:history="1">
        <w:r>
          <w:rPr>
            <w:rStyle w:val="Hipercze"/>
          </w:rPr>
          <w:t>https://stat.gov.pl/obszary-tematyczne/srodowisko-energia/energia/gospodarka-paliwowo-energetyczna-w-latach</w:t>
        </w:r>
        <w:r w:rsidR="004B0F0A">
          <w:rPr>
            <w:rStyle w:val="Hipercze"/>
          </w:rPr>
          <w:t>–20</w:t>
        </w:r>
        <w:r>
          <w:rPr>
            <w:rStyle w:val="Hipercze"/>
          </w:rPr>
          <w:t>19-i</w:t>
        </w:r>
        <w:r w:rsidR="004B0F0A">
          <w:rPr>
            <w:rStyle w:val="Hipercze"/>
          </w:rPr>
          <w:t>–20</w:t>
        </w:r>
        <w:r>
          <w:rPr>
            <w:rStyle w:val="Hipercze"/>
          </w:rPr>
          <w:t>20,4,16.html</w:t>
        </w:r>
      </w:hyperlink>
      <w:r>
        <w:t>.</w:t>
      </w:r>
    </w:p>
    <w:p w14:paraId="066A7377" w14:textId="5BC403F4" w:rsidR="0097073E" w:rsidRDefault="0097073E" w:rsidP="00767FC5">
      <w:pPr>
        <w:pStyle w:val="Akapitzlist"/>
        <w:numPr>
          <w:ilvl w:val="1"/>
          <w:numId w:val="31"/>
        </w:numPr>
        <w:spacing w:after="120"/>
        <w:ind w:left="851"/>
        <w:contextualSpacing w:val="0"/>
      </w:pPr>
      <w:r>
        <w:t xml:space="preserve">Lata 2025–2040 – </w:t>
      </w:r>
      <w:r w:rsidR="002A0563">
        <w:t xml:space="preserve">Załącznik 2 do </w:t>
      </w:r>
      <w:r>
        <w:t>Polityk</w:t>
      </w:r>
      <w:r w:rsidR="002A0563">
        <w:t>i</w:t>
      </w:r>
      <w:r>
        <w:t xml:space="preserve"> energetyczn</w:t>
      </w:r>
      <w:r w:rsidR="002A0563">
        <w:t>ej</w:t>
      </w:r>
      <w:r>
        <w:t xml:space="preserve"> Polski do 2040 r., przyjęt</w:t>
      </w:r>
      <w:r w:rsidR="00ED1D45">
        <w:t>ej</w:t>
      </w:r>
      <w:r>
        <w:t xml:space="preserve"> przez R</w:t>
      </w:r>
      <w:r w:rsidR="002A0563">
        <w:t>adę Ministrów</w:t>
      </w:r>
      <w:r>
        <w:t xml:space="preserve"> </w:t>
      </w:r>
      <w:r w:rsidR="002A0563">
        <w:t xml:space="preserve">w dniu 2 lutego </w:t>
      </w:r>
      <w:r>
        <w:t>2021</w:t>
      </w:r>
      <w:r w:rsidR="002A0563">
        <w:t xml:space="preserve"> </w:t>
      </w:r>
      <w:r>
        <w:t>r.</w:t>
      </w:r>
      <w:r w:rsidR="002A0563">
        <w:rPr>
          <w:rStyle w:val="Hipercze"/>
        </w:rPr>
        <w:t xml:space="preserve"> (M. P. z 2021 r. poz. 264)</w:t>
      </w:r>
      <w:r>
        <w:t xml:space="preserve">. </w:t>
      </w:r>
    </w:p>
    <w:p w14:paraId="3DFEDECA" w14:textId="77777777" w:rsidR="0097073E" w:rsidRDefault="0097073E" w:rsidP="0097073E">
      <w:pPr>
        <w:spacing w:after="120"/>
        <w:ind w:left="360"/>
      </w:pPr>
    </w:p>
    <w:p w14:paraId="26059574" w14:textId="44C0B07A" w:rsidR="00AD75DF" w:rsidRDefault="00AD75DF" w:rsidP="00767FC5">
      <w:pPr>
        <w:pStyle w:val="Akapitzlist"/>
        <w:numPr>
          <w:ilvl w:val="0"/>
          <w:numId w:val="30"/>
        </w:numPr>
        <w:spacing w:after="120"/>
        <w:ind w:left="426"/>
        <w:contextualSpacing w:val="0"/>
      </w:pPr>
      <w:r>
        <w:t>Współczynniki nakładu nieodnawialnej energii pierwotnej dla poszczególnych nośników energii:</w:t>
      </w:r>
    </w:p>
    <w:p w14:paraId="3F4337E4" w14:textId="227852CA" w:rsidR="00AD75DF" w:rsidRDefault="00AD75DF" w:rsidP="00767FC5">
      <w:pPr>
        <w:pStyle w:val="Akapitzlist"/>
        <w:numPr>
          <w:ilvl w:val="0"/>
          <w:numId w:val="32"/>
        </w:numPr>
        <w:spacing w:after="120"/>
        <w:ind w:left="993"/>
        <w:contextualSpacing w:val="0"/>
      </w:pPr>
      <w:r>
        <w:t xml:space="preserve">Współczynniki dla odnawialnych nośników energii i paliw kopalnych </w:t>
      </w:r>
      <w:r w:rsidR="0097073E">
        <w:t>–</w:t>
      </w:r>
      <w:r>
        <w:t xml:space="preserve"> </w:t>
      </w:r>
      <w:r w:rsidR="0097073E">
        <w:t>r</w:t>
      </w:r>
      <w:r>
        <w:t>ozporządzenie</w:t>
      </w:r>
      <w:r w:rsidR="001D4A88">
        <w:t xml:space="preserve"> </w:t>
      </w:r>
      <w:r w:rsidR="001D4A88" w:rsidRPr="001D4A88">
        <w:t xml:space="preserve">Ministra Infrastruktury i Rozwoju z dnia 27 lutego 2015 r. w sprawie metodologii wyznaczania charakterystyki energetycznej budynku lub części budynku oraz świadectw charakterystyki energetycznej </w:t>
      </w:r>
      <w:r w:rsidR="001D4A88">
        <w:t>(</w:t>
      </w:r>
      <w:r>
        <w:t>Dz. U. z 2015</w:t>
      </w:r>
      <w:r w:rsidR="002A0563">
        <w:t xml:space="preserve"> r.</w:t>
      </w:r>
      <w:r>
        <w:t xml:space="preserve"> poz. 376</w:t>
      </w:r>
      <w:r w:rsidR="001D4A88">
        <w:t>)</w:t>
      </w:r>
      <w:r>
        <w:t>.</w:t>
      </w:r>
    </w:p>
    <w:p w14:paraId="3015A33B" w14:textId="4B4DF8D1" w:rsidR="002A0563" w:rsidRPr="0097073E" w:rsidRDefault="00AD75DF" w:rsidP="002A0563">
      <w:pPr>
        <w:pStyle w:val="Akapitzlist"/>
        <w:numPr>
          <w:ilvl w:val="0"/>
          <w:numId w:val="32"/>
        </w:numPr>
        <w:spacing w:after="120"/>
        <w:ind w:left="993"/>
        <w:contextualSpacing w:val="0"/>
        <w:rPr>
          <w:lang w:val="en-US"/>
        </w:rPr>
      </w:pPr>
      <w:r>
        <w:t>Paliwo jądrowe – przyjęto wartość 1, zaś sprawność przemiany 33%, w</w:t>
      </w:r>
      <w:r w:rsidR="002A0563">
        <w:t>edłu</w:t>
      </w:r>
      <w:r>
        <w:t xml:space="preserve">g rekomendacji zawartych w raporcie: A. Esser, F. Senfuss, </w:t>
      </w:r>
      <w:r w:rsidRPr="0097073E">
        <w:rPr>
          <w:i/>
          <w:iCs/>
        </w:rPr>
        <w:t>Evaluation of primary energy factor calculation options for electricity</w:t>
      </w:r>
      <w:r>
        <w:t xml:space="preserve">. </w:t>
      </w:r>
      <w:r w:rsidRPr="0075057F">
        <w:rPr>
          <w:i/>
          <w:iCs/>
          <w:lang w:val="en-US"/>
        </w:rPr>
        <w:t>Final Report</w:t>
      </w:r>
      <w:r w:rsidRPr="0097073E">
        <w:rPr>
          <w:lang w:val="en-US"/>
        </w:rPr>
        <w:t xml:space="preserve"> 13.05.2016, Multiple Framework Service Contract ENER/C3/2013-484, Fraunhofer ISE: </w:t>
      </w:r>
      <w:hyperlink r:id="rId29" w:history="1">
        <w:r w:rsidR="002A0563" w:rsidRPr="00F01951">
          <w:rPr>
            <w:rStyle w:val="Hipercze"/>
            <w:lang w:val="en-US"/>
          </w:rPr>
          <w:t>https://energy.ec.europa.eu/system/files/2016-12/final_report_pef_eed_0.pdf</w:t>
        </w:r>
      </w:hyperlink>
      <w:r w:rsidR="002A0563">
        <w:rPr>
          <w:lang w:val="en-US"/>
        </w:rPr>
        <w:t xml:space="preserve"> </w:t>
      </w:r>
    </w:p>
    <w:p w14:paraId="5F5B49A5" w14:textId="77777777" w:rsidR="00A66FE8" w:rsidRPr="00373FD3" w:rsidRDefault="00A66FE8" w:rsidP="00FF3BC7">
      <w:pPr>
        <w:rPr>
          <w:lang w:val="en-GB"/>
        </w:rPr>
      </w:pPr>
    </w:p>
    <w:sectPr w:rsidR="00A66FE8" w:rsidRPr="00373F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EACE" w14:textId="77777777" w:rsidR="002551DE" w:rsidRDefault="002551DE" w:rsidP="003772B3">
      <w:pPr>
        <w:spacing w:after="0" w:line="240" w:lineRule="auto"/>
      </w:pPr>
      <w:r>
        <w:separator/>
      </w:r>
    </w:p>
  </w:endnote>
  <w:endnote w:type="continuationSeparator" w:id="0">
    <w:p w14:paraId="605FDD73" w14:textId="77777777" w:rsidR="002551DE" w:rsidRDefault="002551DE" w:rsidP="003772B3">
      <w:pPr>
        <w:spacing w:after="0" w:line="240" w:lineRule="auto"/>
      </w:pPr>
      <w:r>
        <w:continuationSeparator/>
      </w:r>
    </w:p>
  </w:endnote>
  <w:endnote w:type="continuationNotice" w:id="1">
    <w:p w14:paraId="44D0B4B4" w14:textId="77777777" w:rsidR="002551DE" w:rsidRDefault="002551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7984"/>
      <w:docPartObj>
        <w:docPartGallery w:val="Page Numbers (Bottom of Page)"/>
        <w:docPartUnique/>
      </w:docPartObj>
    </w:sdtPr>
    <w:sdtEndPr/>
    <w:sdtContent>
      <w:p w14:paraId="186B2232" w14:textId="3507A015" w:rsidR="00D92449" w:rsidRDefault="00D92449">
        <w:pPr>
          <w:pStyle w:val="Stopka"/>
          <w:jc w:val="center"/>
        </w:pPr>
        <w:r>
          <w:fldChar w:fldCharType="begin"/>
        </w:r>
        <w:r>
          <w:instrText>PAGE   \* MERGEFORMAT</w:instrText>
        </w:r>
        <w:r>
          <w:fldChar w:fldCharType="separate"/>
        </w:r>
        <w:r>
          <w:t>2</w:t>
        </w:r>
        <w:r>
          <w:fldChar w:fldCharType="end"/>
        </w:r>
      </w:p>
    </w:sdtContent>
  </w:sdt>
  <w:p w14:paraId="3FA06CB4" w14:textId="77777777" w:rsidR="00D92449" w:rsidRDefault="00D924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E76F" w14:textId="77777777" w:rsidR="002551DE" w:rsidRDefault="002551DE" w:rsidP="003772B3">
      <w:pPr>
        <w:spacing w:after="0" w:line="240" w:lineRule="auto"/>
      </w:pPr>
      <w:r>
        <w:separator/>
      </w:r>
    </w:p>
  </w:footnote>
  <w:footnote w:type="continuationSeparator" w:id="0">
    <w:p w14:paraId="18BBEBB0" w14:textId="77777777" w:rsidR="002551DE" w:rsidRDefault="002551DE" w:rsidP="003772B3">
      <w:pPr>
        <w:spacing w:after="0" w:line="240" w:lineRule="auto"/>
      </w:pPr>
      <w:r>
        <w:continuationSeparator/>
      </w:r>
    </w:p>
  </w:footnote>
  <w:footnote w:type="continuationNotice" w:id="1">
    <w:p w14:paraId="433C31E5" w14:textId="77777777" w:rsidR="002551DE" w:rsidRDefault="002551DE">
      <w:pPr>
        <w:spacing w:after="0" w:line="240" w:lineRule="auto"/>
      </w:pPr>
    </w:p>
  </w:footnote>
  <w:footnote w:id="2">
    <w:p w14:paraId="32337330" w14:textId="0F1F4559" w:rsidR="00E57F33" w:rsidRPr="004F69C2" w:rsidRDefault="00E57F33" w:rsidP="00E57F33">
      <w:pPr>
        <w:pStyle w:val="Tekstprzypisudolnego"/>
        <w:rPr>
          <w:sz w:val="18"/>
          <w:szCs w:val="18"/>
          <w:lang w:val="pt-BR"/>
        </w:rPr>
      </w:pPr>
      <w:r w:rsidRPr="004F69C2">
        <w:rPr>
          <w:rStyle w:val="Odwoanieprzypisudolnego"/>
          <w:sz w:val="18"/>
          <w:szCs w:val="18"/>
        </w:rPr>
        <w:footnoteRef/>
      </w:r>
      <w:r w:rsidRPr="004F69C2">
        <w:rPr>
          <w:sz w:val="18"/>
          <w:szCs w:val="18"/>
          <w:lang w:val="pt-BR"/>
        </w:rPr>
        <w:t xml:space="preserve"> Na podstawie: </w:t>
      </w:r>
      <w:r w:rsidR="000A1994" w:rsidRPr="004F69C2">
        <w:rPr>
          <w:sz w:val="18"/>
          <w:szCs w:val="18"/>
          <w:lang w:val="pt-BR"/>
        </w:rPr>
        <w:t xml:space="preserve">na podstawie: </w:t>
      </w:r>
      <w:r w:rsidR="000A1994" w:rsidRPr="004F69C2">
        <w:rPr>
          <w:i/>
          <w:iCs/>
          <w:sz w:val="18"/>
          <w:szCs w:val="18"/>
          <w:lang w:val="pt-BR"/>
        </w:rPr>
        <w:t xml:space="preserve">Final consumption </w:t>
      </w:r>
      <w:r w:rsidR="00491D38" w:rsidRPr="004F69C2">
        <w:rPr>
          <w:i/>
          <w:iCs/>
          <w:sz w:val="18"/>
          <w:szCs w:val="18"/>
          <w:lang w:val="pt-BR"/>
        </w:rPr>
        <w:t>–</w:t>
      </w:r>
      <w:r w:rsidR="000A1994" w:rsidRPr="004F69C2">
        <w:rPr>
          <w:i/>
          <w:iCs/>
          <w:sz w:val="18"/>
          <w:szCs w:val="18"/>
          <w:lang w:val="pt-BR"/>
        </w:rPr>
        <w:t xml:space="preserve"> energy use</w:t>
      </w:r>
      <w:r w:rsidR="000A1994" w:rsidRPr="004F69C2" w:rsidDel="00297629">
        <w:rPr>
          <w:i/>
          <w:iCs/>
          <w:sz w:val="18"/>
          <w:szCs w:val="18"/>
          <w:lang w:val="pt-BR"/>
        </w:rPr>
        <w:t xml:space="preserve"> </w:t>
      </w:r>
      <w:r w:rsidR="000A1994" w:rsidRPr="004F69C2">
        <w:rPr>
          <w:sz w:val="18"/>
          <w:szCs w:val="18"/>
          <w:lang w:val="pt-BR"/>
        </w:rPr>
        <w:t xml:space="preserve">(NRG_BAL: FEC_E), </w:t>
      </w:r>
      <w:r w:rsidR="000A1994" w:rsidRPr="004F69C2">
        <w:rPr>
          <w:i/>
          <w:iCs/>
          <w:sz w:val="18"/>
          <w:szCs w:val="18"/>
          <w:lang w:val="pt-BR"/>
        </w:rPr>
        <w:t>International aviation</w:t>
      </w:r>
      <w:r w:rsidR="000A1994" w:rsidRPr="004F69C2">
        <w:rPr>
          <w:sz w:val="18"/>
          <w:szCs w:val="18"/>
          <w:lang w:val="pt-BR"/>
        </w:rPr>
        <w:t xml:space="preserve"> (NRG_BAL: INTAVI), </w:t>
      </w:r>
      <w:r w:rsidR="000A1994" w:rsidRPr="004F69C2">
        <w:rPr>
          <w:i/>
          <w:iCs/>
          <w:sz w:val="18"/>
          <w:szCs w:val="18"/>
          <w:lang w:val="pt-BR"/>
        </w:rPr>
        <w:t>Ambient heat</w:t>
      </w:r>
      <w:r w:rsidR="000A1994" w:rsidRPr="004F69C2">
        <w:rPr>
          <w:sz w:val="18"/>
          <w:szCs w:val="18"/>
          <w:lang w:val="pt-BR"/>
        </w:rPr>
        <w:t xml:space="preserve"> NRG_BAL: FEC_E, SIEC: RA600), Eurostat</w:t>
      </w:r>
      <w:r w:rsidRPr="004F69C2">
        <w:rPr>
          <w:sz w:val="18"/>
          <w:szCs w:val="18"/>
          <w:lang w:val="pt-BR"/>
        </w:rPr>
        <w:t>.</w:t>
      </w:r>
    </w:p>
  </w:footnote>
  <w:footnote w:id="3">
    <w:p w14:paraId="654C6167" w14:textId="15B29DB4" w:rsidR="00E45FB6" w:rsidRPr="004F69C2" w:rsidRDefault="00E45FB6">
      <w:pPr>
        <w:pStyle w:val="Tekstprzypisudolnego"/>
        <w:rPr>
          <w:sz w:val="18"/>
          <w:szCs w:val="18"/>
        </w:rPr>
      </w:pPr>
      <w:r w:rsidRPr="004F69C2">
        <w:rPr>
          <w:rStyle w:val="Odwoanieprzypisudolnego"/>
          <w:sz w:val="18"/>
          <w:szCs w:val="18"/>
        </w:rPr>
        <w:footnoteRef/>
      </w:r>
      <w:r w:rsidRPr="004F69C2">
        <w:rPr>
          <w:sz w:val="18"/>
          <w:szCs w:val="18"/>
        </w:rPr>
        <w:t xml:space="preserve"> Przywoływane w dokumencie Zaleceni</w:t>
      </w:r>
      <w:r w:rsidR="00723E25" w:rsidRPr="004F69C2">
        <w:rPr>
          <w:sz w:val="18"/>
          <w:szCs w:val="18"/>
        </w:rPr>
        <w:t>e</w:t>
      </w:r>
      <w:r w:rsidRPr="004F69C2">
        <w:rPr>
          <w:sz w:val="18"/>
          <w:szCs w:val="18"/>
        </w:rPr>
        <w:t xml:space="preserve"> Komisji </w:t>
      </w:r>
      <w:r w:rsidR="006C41F6" w:rsidRPr="004F69C2">
        <w:rPr>
          <w:sz w:val="18"/>
          <w:szCs w:val="18"/>
        </w:rPr>
        <w:t xml:space="preserve">Europejskiej </w:t>
      </w:r>
      <w:r w:rsidRPr="004F69C2">
        <w:rPr>
          <w:sz w:val="18"/>
          <w:szCs w:val="18"/>
        </w:rPr>
        <w:t>odnos</w:t>
      </w:r>
      <w:r w:rsidR="00723E25" w:rsidRPr="004F69C2">
        <w:rPr>
          <w:sz w:val="18"/>
          <w:szCs w:val="18"/>
        </w:rPr>
        <w:t>i</w:t>
      </w:r>
      <w:r w:rsidRPr="004F69C2">
        <w:rPr>
          <w:sz w:val="18"/>
          <w:szCs w:val="18"/>
        </w:rPr>
        <w:t xml:space="preserve"> się do Zalece</w:t>
      </w:r>
      <w:r w:rsidR="00723E25" w:rsidRPr="004F69C2">
        <w:rPr>
          <w:sz w:val="18"/>
          <w:szCs w:val="18"/>
        </w:rPr>
        <w:t>nia</w:t>
      </w:r>
      <w:r w:rsidRPr="004F69C2">
        <w:rPr>
          <w:sz w:val="18"/>
          <w:szCs w:val="18"/>
        </w:rPr>
        <w:t xml:space="preserve"> Komisji (UE) 2019/1658 z dnia 25 września 2019 r. dotyczące transpozycji obowiązków oszczędności energii na podstawie dyrektywy w sprawie efektywności energetycznej (Dz. Urz. UE L 275 z 28.10.2019, str. 1).</w:t>
      </w:r>
    </w:p>
  </w:footnote>
  <w:footnote w:id="4">
    <w:p w14:paraId="37461FCA" w14:textId="77777777" w:rsidR="00F34BD4" w:rsidRPr="004F69C2" w:rsidRDefault="00F34BD4" w:rsidP="00F34BD4">
      <w:pPr>
        <w:pStyle w:val="Tekstprzypisudolnego"/>
        <w:rPr>
          <w:sz w:val="18"/>
          <w:szCs w:val="18"/>
        </w:rPr>
      </w:pPr>
      <w:r w:rsidRPr="004F69C2">
        <w:rPr>
          <w:rStyle w:val="Odwoanieprzypisudolnego"/>
          <w:sz w:val="18"/>
          <w:szCs w:val="18"/>
        </w:rPr>
        <w:footnoteRef/>
      </w:r>
      <w:r w:rsidRPr="004F69C2">
        <w:rPr>
          <w:sz w:val="18"/>
          <w:szCs w:val="18"/>
        </w:rPr>
        <w:t xml:space="preserve"> Obwieszczenie Ministra Klimatu i Środowiska z dnia 30 listopada 2021 r. </w:t>
      </w:r>
      <w:r w:rsidRPr="004F69C2">
        <w:rPr>
          <w:i/>
          <w:iCs/>
          <w:sz w:val="18"/>
          <w:szCs w:val="18"/>
        </w:rPr>
        <w:t>w sprawie szczegółowego wykazu przedsięwzięć służących poprawie efektywności energetycznej</w:t>
      </w:r>
      <w:r w:rsidRPr="004F69C2">
        <w:rPr>
          <w:sz w:val="18"/>
          <w:szCs w:val="18"/>
        </w:rPr>
        <w:t xml:space="preserve"> (M.P. z 2021 r., poz. 1188).</w:t>
      </w:r>
    </w:p>
    <w:p w14:paraId="183E4ED1" w14:textId="77777777" w:rsidR="00F34BD4" w:rsidRPr="004F69C2" w:rsidRDefault="00F34BD4" w:rsidP="00F34BD4">
      <w:pPr>
        <w:pStyle w:val="Tekstprzypisudolnego"/>
        <w:rPr>
          <w:sz w:val="18"/>
          <w:szCs w:val="18"/>
        </w:rPr>
      </w:pPr>
    </w:p>
  </w:footnote>
  <w:footnote w:id="5">
    <w:p w14:paraId="296277E0" w14:textId="2499B30C" w:rsidR="00F34BD4" w:rsidRPr="004F69C2" w:rsidRDefault="00F34BD4" w:rsidP="00F34BD4">
      <w:pPr>
        <w:pStyle w:val="Tekstprzypisudolnego"/>
        <w:rPr>
          <w:rFonts w:cs="Calibri"/>
          <w:sz w:val="18"/>
          <w:szCs w:val="18"/>
        </w:rPr>
      </w:pPr>
      <w:r w:rsidRPr="004F69C2">
        <w:rPr>
          <w:rStyle w:val="Odwoanieprzypisudolnego"/>
          <w:rFonts w:eastAsia="Calibri" w:cs="Calibri"/>
          <w:sz w:val="18"/>
          <w:szCs w:val="18"/>
        </w:rPr>
        <w:footnoteRef/>
      </w:r>
      <w:r w:rsidRPr="004F69C2">
        <w:rPr>
          <w:rFonts w:cs="Calibri"/>
          <w:sz w:val="18"/>
          <w:szCs w:val="18"/>
        </w:rPr>
        <w:t xml:space="preserve"> </w:t>
      </w:r>
      <w:r w:rsidR="00933722" w:rsidRPr="004F69C2">
        <w:rPr>
          <w:rFonts w:cs="Calibri"/>
          <w:sz w:val="18"/>
          <w:szCs w:val="18"/>
        </w:rPr>
        <w:t xml:space="preserve">Jak w przypisie 1 – </w:t>
      </w:r>
      <w:r w:rsidRPr="004F69C2">
        <w:rPr>
          <w:rFonts w:cs="Calibri"/>
          <w:sz w:val="18"/>
          <w:szCs w:val="18"/>
        </w:rPr>
        <w:t>Zaleceni</w:t>
      </w:r>
      <w:r w:rsidR="00933722" w:rsidRPr="004F69C2">
        <w:rPr>
          <w:rFonts w:cs="Calibri"/>
          <w:sz w:val="18"/>
          <w:szCs w:val="18"/>
        </w:rPr>
        <w:t>a</w:t>
      </w:r>
      <w:r w:rsidRPr="004F69C2">
        <w:rPr>
          <w:rFonts w:cs="Calibri"/>
          <w:sz w:val="18"/>
          <w:szCs w:val="18"/>
        </w:rPr>
        <w:t xml:space="preserve"> Komisji (UE) 2019/1658 z dnia 25 września 2019 r. </w:t>
      </w:r>
      <w:r w:rsidRPr="004F69C2">
        <w:rPr>
          <w:rFonts w:cs="Calibri"/>
          <w:i/>
          <w:iCs/>
          <w:sz w:val="18"/>
          <w:szCs w:val="18"/>
        </w:rPr>
        <w:t>dotyczące transpozycji obowiązków oszczędności energii na podstawie dyrektywy w sprawie efektywności energetycznej</w:t>
      </w:r>
      <w:r w:rsidRPr="004F69C2">
        <w:rPr>
          <w:rFonts w:cs="Calibri"/>
          <w:sz w:val="18"/>
          <w:szCs w:val="18"/>
        </w:rPr>
        <w:t xml:space="preserve">. </w:t>
      </w:r>
    </w:p>
  </w:footnote>
  <w:footnote w:id="6">
    <w:p w14:paraId="419D9EF2" w14:textId="77777777" w:rsidR="00F34BD4" w:rsidRPr="004F69C2" w:rsidRDefault="00F34BD4" w:rsidP="00F34BD4">
      <w:pPr>
        <w:pStyle w:val="Tekstprzypisudolnego"/>
        <w:rPr>
          <w:rFonts w:cs="Calibri"/>
          <w:sz w:val="18"/>
          <w:szCs w:val="18"/>
        </w:rPr>
      </w:pPr>
      <w:r w:rsidRPr="004F69C2">
        <w:rPr>
          <w:rStyle w:val="Odwoanieprzypisudolnego"/>
          <w:rFonts w:cs="Calibri"/>
          <w:sz w:val="18"/>
          <w:szCs w:val="18"/>
        </w:rPr>
        <w:footnoteRef/>
      </w:r>
      <w:r w:rsidRPr="004F69C2">
        <w:rPr>
          <w:rFonts w:cs="Calibri"/>
          <w:sz w:val="18"/>
          <w:szCs w:val="18"/>
        </w:rPr>
        <w:t xml:space="preserve"> Metoda „</w:t>
      </w:r>
      <w:r w:rsidRPr="004F69C2">
        <w:rPr>
          <w:rFonts w:cs="Calibri"/>
          <w:iCs/>
          <w:sz w:val="18"/>
          <w:szCs w:val="18"/>
        </w:rPr>
        <w:t>bottom-up</w:t>
      </w:r>
      <w:r w:rsidRPr="004F69C2">
        <w:rPr>
          <w:rFonts w:cs="Calibri"/>
          <w:sz w:val="18"/>
          <w:szCs w:val="18"/>
        </w:rPr>
        <w:t>”</w:t>
      </w:r>
      <w:r w:rsidRPr="004F69C2">
        <w:rPr>
          <w:rFonts w:cs="Calibri"/>
          <w:bCs/>
          <w:i/>
          <w:sz w:val="18"/>
          <w:szCs w:val="18"/>
        </w:rPr>
        <w:t xml:space="preserve"> </w:t>
      </w:r>
      <w:r w:rsidRPr="004F69C2">
        <w:rPr>
          <w:rFonts w:cs="Calibri"/>
          <w:bCs/>
          <w:sz w:val="18"/>
          <w:szCs w:val="18"/>
        </w:rPr>
        <w:t>(</w:t>
      </w:r>
      <w:r w:rsidRPr="004F69C2">
        <w:rPr>
          <w:rFonts w:cs="Calibri"/>
          <w:bCs/>
          <w:i/>
          <w:sz w:val="18"/>
          <w:szCs w:val="18"/>
        </w:rPr>
        <w:t>„</w:t>
      </w:r>
      <w:r w:rsidRPr="004F69C2">
        <w:rPr>
          <w:rFonts w:cs="Calibri"/>
          <w:bCs/>
          <w:sz w:val="18"/>
          <w:szCs w:val="18"/>
        </w:rPr>
        <w:t>od szczegółu do ogółu</w:t>
      </w:r>
      <w:r w:rsidRPr="004F69C2">
        <w:rPr>
          <w:rFonts w:cs="Calibri"/>
          <w:bCs/>
          <w:i/>
          <w:sz w:val="18"/>
          <w:szCs w:val="18"/>
        </w:rPr>
        <w:t>”</w:t>
      </w:r>
      <w:r w:rsidRPr="004F69C2">
        <w:rPr>
          <w:rFonts w:cs="Calibri"/>
          <w:bCs/>
          <w:sz w:val="18"/>
          <w:szCs w:val="18"/>
        </w:rPr>
        <w:t>)</w:t>
      </w:r>
      <w:r w:rsidRPr="004F69C2">
        <w:rPr>
          <w:rFonts w:cs="Calibri"/>
          <w:sz w:val="18"/>
          <w:szCs w:val="18"/>
        </w:rPr>
        <w:t xml:space="preserve"> jest precyzyjnym sposobem obliczania oszczędności energii wynikających ze wzrostu efektywności energetycznej. Najpierw oblicza się zużycie energii dla pojedynczego środka poprawy efektywności energetycznej, w określonym przedziale czasu przed wdrożeniem działania mającego na celu zwiększenie efektywności energetycznej, uzyskując „wartości odniesienia”. Następnie stwierdzony poziom zużycia porównuje się ze zużyciem energii (odnotowanym w takim samym przedziale czasu, ale po wdrożeniu środka zwiększającego efektywność energetyczną). Różnica pomiędzy uzyskanymi wynikami jest miarą zwiększenia efektywności energetycznej.</w:t>
      </w:r>
    </w:p>
  </w:footnote>
  <w:footnote w:id="7">
    <w:p w14:paraId="56E78A32" w14:textId="77777777" w:rsidR="00F34BD4" w:rsidRPr="004F69C2" w:rsidRDefault="00F34BD4" w:rsidP="00F34BD4">
      <w:pPr>
        <w:pStyle w:val="Tekstprzypisudolnego"/>
        <w:rPr>
          <w:rFonts w:cs="Calibri"/>
          <w:sz w:val="18"/>
          <w:szCs w:val="18"/>
        </w:rPr>
      </w:pPr>
      <w:r w:rsidRPr="004F69C2">
        <w:rPr>
          <w:rStyle w:val="Odwoanieprzypisudolnego"/>
          <w:rFonts w:eastAsia="Calibri" w:cs="Calibri"/>
          <w:sz w:val="18"/>
          <w:szCs w:val="18"/>
        </w:rPr>
        <w:footnoteRef/>
      </w:r>
      <w:r w:rsidRPr="004F69C2">
        <w:rPr>
          <w:rFonts w:cs="Calibri"/>
          <w:sz w:val="18"/>
          <w:szCs w:val="18"/>
        </w:rPr>
        <w:t xml:space="preserve"> D</w:t>
      </w:r>
      <w:r w:rsidRPr="004F69C2">
        <w:rPr>
          <w:rFonts w:cs="Calibri"/>
          <w:iCs/>
          <w:sz w:val="18"/>
          <w:szCs w:val="18"/>
        </w:rPr>
        <w:t xml:space="preserve">yrektywa Parlamentu Europejskiego i Rady 2009/125/WE z dnia 21 października 2009 r. </w:t>
      </w:r>
      <w:r w:rsidRPr="004F69C2">
        <w:rPr>
          <w:rFonts w:cs="Calibri"/>
          <w:i/>
          <w:sz w:val="18"/>
          <w:szCs w:val="18"/>
        </w:rPr>
        <w:t>ustanawiającej ogólne zasady ustalania wymogów dotyczących ekoprojektu dla produktów związanych z energią</w:t>
      </w:r>
      <w:r w:rsidRPr="004F69C2">
        <w:rPr>
          <w:rFonts w:cs="Calibri"/>
          <w:iCs/>
          <w:sz w:val="18"/>
          <w:szCs w:val="18"/>
        </w:rPr>
        <w:t xml:space="preserve"> (Dz. Urz. UE L 285 z 31.10.2009, str. 10)</w:t>
      </w:r>
    </w:p>
  </w:footnote>
  <w:footnote w:id="8">
    <w:p w14:paraId="0BAD89AB" w14:textId="4C79B489" w:rsidR="00F34BD4" w:rsidRPr="004F69C2" w:rsidRDefault="00F34BD4" w:rsidP="00F34BD4">
      <w:pPr>
        <w:pStyle w:val="Tekstprzypisudolnego"/>
        <w:rPr>
          <w:sz w:val="18"/>
          <w:szCs w:val="18"/>
        </w:rPr>
      </w:pPr>
      <w:r w:rsidRPr="004F69C2">
        <w:rPr>
          <w:rStyle w:val="Odwoanieprzypisudolnego"/>
          <w:sz w:val="18"/>
          <w:szCs w:val="18"/>
        </w:rPr>
        <w:footnoteRef/>
      </w:r>
      <w:r w:rsidRPr="004F69C2">
        <w:rPr>
          <w:sz w:val="18"/>
          <w:szCs w:val="18"/>
        </w:rPr>
        <w:t xml:space="preserve"> Art. 35a ustawy z dnia 20 maja 2016 </w:t>
      </w:r>
      <w:r w:rsidR="0011179A" w:rsidRPr="004F69C2">
        <w:rPr>
          <w:sz w:val="18"/>
          <w:szCs w:val="18"/>
        </w:rPr>
        <w:t>r.</w:t>
      </w:r>
      <w:r w:rsidRPr="004F69C2">
        <w:rPr>
          <w:sz w:val="18"/>
          <w:szCs w:val="18"/>
        </w:rPr>
        <w:t xml:space="preserve"> </w:t>
      </w:r>
      <w:r w:rsidRPr="004F69C2">
        <w:rPr>
          <w:i/>
          <w:sz w:val="18"/>
          <w:szCs w:val="18"/>
        </w:rPr>
        <w:t>o efektywności energetycznej</w:t>
      </w:r>
      <w:r w:rsidRPr="004F69C2">
        <w:rPr>
          <w:sz w:val="18"/>
          <w:szCs w:val="18"/>
        </w:rPr>
        <w:t xml:space="preserve"> (</w:t>
      </w:r>
      <w:r w:rsidR="002754E3" w:rsidRPr="004F69C2">
        <w:rPr>
          <w:sz w:val="18"/>
          <w:szCs w:val="18"/>
        </w:rPr>
        <w:t>Dz. U. z 2024 r. poz. 1047</w:t>
      </w:r>
      <w:r w:rsidRPr="004F69C2">
        <w:rPr>
          <w:sz w:val="18"/>
          <w:szCs w:val="18"/>
        </w:rPr>
        <w:t>).</w:t>
      </w:r>
    </w:p>
  </w:footnote>
  <w:footnote w:id="9">
    <w:p w14:paraId="559EC7C0" w14:textId="66EB34C3" w:rsidR="00EC187E" w:rsidRPr="004F69C2" w:rsidRDefault="00EC187E">
      <w:pPr>
        <w:pStyle w:val="Tekstprzypisudolnego"/>
        <w:rPr>
          <w:sz w:val="18"/>
          <w:szCs w:val="18"/>
        </w:rPr>
      </w:pPr>
      <w:r w:rsidRPr="004F69C2">
        <w:rPr>
          <w:rStyle w:val="Odwoanieprzypisudolnego"/>
          <w:sz w:val="18"/>
          <w:szCs w:val="18"/>
        </w:rPr>
        <w:footnoteRef/>
      </w:r>
      <w:r w:rsidRPr="004F69C2">
        <w:rPr>
          <w:sz w:val="18"/>
          <w:szCs w:val="18"/>
        </w:rPr>
        <w:t xml:space="preserve"> Wraz z </w:t>
      </w:r>
      <w:r w:rsidR="004B54B7" w:rsidRPr="004F69C2">
        <w:rPr>
          <w:sz w:val="18"/>
          <w:szCs w:val="18"/>
        </w:rPr>
        <w:t>rozporządzeniami zmieniającymi.</w:t>
      </w:r>
    </w:p>
  </w:footnote>
  <w:footnote w:id="10">
    <w:p w14:paraId="1B870F02" w14:textId="77777777" w:rsidR="00F34BD4" w:rsidRPr="004F69C2" w:rsidRDefault="00F34BD4" w:rsidP="00F34BD4">
      <w:pPr>
        <w:pStyle w:val="Tekstprzypisudolnego"/>
        <w:rPr>
          <w:sz w:val="18"/>
          <w:szCs w:val="18"/>
        </w:rPr>
      </w:pPr>
      <w:r w:rsidRPr="004F69C2">
        <w:rPr>
          <w:rStyle w:val="Odwoanieprzypisudolnego"/>
          <w:sz w:val="18"/>
          <w:szCs w:val="18"/>
        </w:rPr>
        <w:footnoteRef/>
      </w:r>
      <w:r w:rsidRPr="004F69C2">
        <w:rPr>
          <w:sz w:val="18"/>
          <w:szCs w:val="18"/>
        </w:rPr>
        <w:t xml:space="preserve"> Metoda „</w:t>
      </w:r>
      <w:r w:rsidRPr="004F69C2">
        <w:rPr>
          <w:iCs/>
          <w:sz w:val="18"/>
          <w:szCs w:val="18"/>
        </w:rPr>
        <w:t>top-down</w:t>
      </w:r>
      <w:r w:rsidRPr="004F69C2">
        <w:rPr>
          <w:sz w:val="18"/>
          <w:szCs w:val="18"/>
        </w:rPr>
        <w:t xml:space="preserve">” („od ogółu do szczegółu”) wykorzystuje dana zagregowane i dlatego nazywa się tę metodą „wskaźników efektywności energetycznej”. Dzięki niej można ustalić poprawne wskaźniki rozwoju sytuacji, natomiast nie daje ona dokładnych wartości oszczędności energii na poziomie szczegółowym. </w:t>
      </w:r>
    </w:p>
  </w:footnote>
  <w:footnote w:id="11">
    <w:p w14:paraId="275787CF" w14:textId="77777777" w:rsidR="00F34BD4" w:rsidRPr="004F69C2" w:rsidRDefault="00F34BD4" w:rsidP="00F34BD4">
      <w:pPr>
        <w:pStyle w:val="Tekstprzypisudolnego"/>
        <w:rPr>
          <w:rFonts w:cs="Calibri"/>
          <w:sz w:val="18"/>
          <w:szCs w:val="18"/>
        </w:rPr>
      </w:pPr>
      <w:r w:rsidRPr="004F69C2">
        <w:rPr>
          <w:rStyle w:val="Odwoanieprzypisudolnego"/>
          <w:rFonts w:eastAsia="Calibri" w:cs="Calibri"/>
          <w:sz w:val="18"/>
          <w:szCs w:val="18"/>
        </w:rPr>
        <w:footnoteRef/>
      </w:r>
      <w:r w:rsidRPr="004F69C2">
        <w:rPr>
          <w:rFonts w:cs="Calibri"/>
          <w:sz w:val="18"/>
          <w:szCs w:val="18"/>
        </w:rPr>
        <w:t xml:space="preserve"> D</w:t>
      </w:r>
      <w:r w:rsidRPr="004F69C2">
        <w:rPr>
          <w:rFonts w:cs="Calibri"/>
          <w:iCs/>
          <w:sz w:val="18"/>
          <w:szCs w:val="18"/>
        </w:rPr>
        <w:t xml:space="preserve">yrektywa Parlamentu Europejskiego i Rady 2009/125/WE z dnia 21 października 2009 r. </w:t>
      </w:r>
      <w:r w:rsidRPr="004F69C2">
        <w:rPr>
          <w:rFonts w:cs="Calibri"/>
          <w:i/>
          <w:sz w:val="18"/>
          <w:szCs w:val="18"/>
        </w:rPr>
        <w:t>ustanawiającej ogólne zasady ustalania wymogów dotyczących ekoprojektu dla produktów związanych z energią</w:t>
      </w:r>
      <w:r w:rsidRPr="004F69C2">
        <w:rPr>
          <w:rFonts w:cs="Calibri"/>
          <w:iCs/>
          <w:sz w:val="18"/>
          <w:szCs w:val="18"/>
        </w:rPr>
        <w:t xml:space="preserve"> (Dz. Urz. UE L 285 z 31.10.2009, str. 10)</w:t>
      </w:r>
    </w:p>
  </w:footnote>
  <w:footnote w:id="12">
    <w:p w14:paraId="6401DFFF" w14:textId="5E64755C" w:rsidR="00F34BD4" w:rsidRPr="004F69C2" w:rsidRDefault="00F34BD4" w:rsidP="00F34BD4">
      <w:pPr>
        <w:pStyle w:val="Tekstprzypisudolnego"/>
        <w:rPr>
          <w:sz w:val="18"/>
          <w:szCs w:val="18"/>
        </w:rPr>
      </w:pPr>
      <w:r w:rsidRPr="004F69C2">
        <w:rPr>
          <w:rStyle w:val="Odwoanieprzypisudolnego"/>
          <w:sz w:val="18"/>
          <w:szCs w:val="18"/>
        </w:rPr>
        <w:footnoteRef/>
      </w:r>
      <w:r w:rsidRPr="004F69C2">
        <w:rPr>
          <w:sz w:val="18"/>
          <w:szCs w:val="18"/>
        </w:rPr>
        <w:t xml:space="preserve"> Załącznik </w:t>
      </w:r>
      <w:r w:rsidR="00A87889" w:rsidRPr="004F69C2">
        <w:rPr>
          <w:sz w:val="18"/>
          <w:szCs w:val="18"/>
        </w:rPr>
        <w:t>d</w:t>
      </w:r>
      <w:r w:rsidRPr="004F69C2">
        <w:rPr>
          <w:sz w:val="18"/>
          <w:szCs w:val="18"/>
        </w:rPr>
        <w:t xml:space="preserve">o obwieszczenia Ministra Klimatu i Środowiska z dnia 2 marca 2021 </w:t>
      </w:r>
      <w:r w:rsidR="0011179A" w:rsidRPr="004F69C2">
        <w:rPr>
          <w:sz w:val="18"/>
          <w:szCs w:val="18"/>
        </w:rPr>
        <w:t>r.</w:t>
      </w:r>
      <w:r w:rsidRPr="004F69C2">
        <w:rPr>
          <w:sz w:val="18"/>
          <w:szCs w:val="18"/>
        </w:rPr>
        <w:t xml:space="preserve"> </w:t>
      </w:r>
      <w:r w:rsidRPr="004F69C2">
        <w:rPr>
          <w:i/>
          <w:iCs/>
          <w:sz w:val="18"/>
          <w:szCs w:val="18"/>
        </w:rPr>
        <w:t xml:space="preserve">w sprawie polityki energetycznej państwa do 2040 </w:t>
      </w:r>
      <w:r w:rsidR="0011179A" w:rsidRPr="004F69C2">
        <w:rPr>
          <w:i/>
          <w:iCs/>
          <w:sz w:val="18"/>
          <w:szCs w:val="18"/>
        </w:rPr>
        <w:t>r.</w:t>
      </w:r>
      <w:r w:rsidRPr="004F69C2">
        <w:rPr>
          <w:i/>
          <w:iCs/>
          <w:sz w:val="18"/>
          <w:szCs w:val="18"/>
        </w:rPr>
        <w:t xml:space="preserve"> </w:t>
      </w:r>
      <w:r w:rsidRPr="004F69C2">
        <w:rPr>
          <w:sz w:val="18"/>
          <w:szCs w:val="18"/>
        </w:rPr>
        <w:t>(M.P. z 2021 r. poz. 264)</w:t>
      </w:r>
    </w:p>
  </w:footnote>
  <w:footnote w:id="13">
    <w:p w14:paraId="36FB24A3" w14:textId="77777777" w:rsidR="00F34BD4" w:rsidRPr="004F69C2" w:rsidRDefault="00F34BD4" w:rsidP="00F34BD4">
      <w:pPr>
        <w:pStyle w:val="Tekstprzypisudolnego"/>
        <w:rPr>
          <w:sz w:val="18"/>
          <w:szCs w:val="18"/>
        </w:rPr>
      </w:pPr>
      <w:r w:rsidRPr="004F69C2">
        <w:rPr>
          <w:rStyle w:val="Odwoanieprzypisudolnego"/>
          <w:sz w:val="18"/>
          <w:szCs w:val="18"/>
        </w:rPr>
        <w:footnoteRef/>
      </w:r>
      <w:r w:rsidRPr="004F69C2">
        <w:rPr>
          <w:sz w:val="18"/>
          <w:szCs w:val="18"/>
        </w:rPr>
        <w:t xml:space="preserve"> https://czystepowietrze.gov.pl/</w:t>
      </w:r>
    </w:p>
  </w:footnote>
  <w:footnote w:id="14">
    <w:p w14:paraId="5BB94360" w14:textId="77777777" w:rsidR="00F34BD4" w:rsidRPr="004F69C2" w:rsidRDefault="00F34BD4" w:rsidP="00F34BD4">
      <w:pPr>
        <w:pStyle w:val="Tekstprzypisudolnego"/>
        <w:rPr>
          <w:sz w:val="18"/>
          <w:szCs w:val="18"/>
        </w:rPr>
      </w:pPr>
      <w:r w:rsidRPr="004F69C2">
        <w:rPr>
          <w:rStyle w:val="Odwoanieprzypisudolnego"/>
          <w:sz w:val="18"/>
          <w:szCs w:val="18"/>
        </w:rPr>
        <w:footnoteRef/>
      </w:r>
      <w:r w:rsidRPr="004F69C2">
        <w:rPr>
          <w:sz w:val="18"/>
          <w:szCs w:val="18"/>
        </w:rPr>
        <w:t xml:space="preserve"> https://www.peee.gov.pl/pl</w:t>
      </w:r>
    </w:p>
  </w:footnote>
  <w:footnote w:id="15">
    <w:p w14:paraId="56DC0A20" w14:textId="41277AA4" w:rsidR="00AD75DF" w:rsidRPr="004F69C2" w:rsidRDefault="00AD75DF" w:rsidP="00AD75DF">
      <w:pPr>
        <w:pStyle w:val="Tekstprzypisudolnego"/>
        <w:rPr>
          <w:sz w:val="18"/>
          <w:szCs w:val="18"/>
        </w:rPr>
      </w:pPr>
      <w:r w:rsidRPr="004F69C2">
        <w:rPr>
          <w:rStyle w:val="Odwoanieprzypisudolnego"/>
          <w:sz w:val="18"/>
          <w:szCs w:val="18"/>
        </w:rPr>
        <w:footnoteRef/>
      </w:r>
      <w:r w:rsidRPr="004F69C2">
        <w:rPr>
          <w:sz w:val="18"/>
          <w:szCs w:val="18"/>
        </w:rPr>
        <w:t xml:space="preserve"> KAPE S.A., </w:t>
      </w:r>
      <w:r w:rsidRPr="004F69C2">
        <w:rPr>
          <w:i/>
          <w:iCs/>
          <w:sz w:val="18"/>
          <w:szCs w:val="18"/>
        </w:rPr>
        <w:t>Zmiana regulacji w zakresie wyznaczania charakterystyki energetycznej budynku lub części budynku oraz świadectw charakterystyki energetycznej</w:t>
      </w:r>
      <w:r w:rsidRPr="004F69C2">
        <w:rPr>
          <w:sz w:val="18"/>
          <w:szCs w:val="18"/>
        </w:rPr>
        <w:t xml:space="preserve">, </w:t>
      </w:r>
      <w:r w:rsidR="008061D1" w:rsidRPr="004F69C2">
        <w:rPr>
          <w:sz w:val="18"/>
          <w:szCs w:val="18"/>
        </w:rPr>
        <w:t>0</w:t>
      </w:r>
      <w:r w:rsidRPr="004F69C2">
        <w:rPr>
          <w:sz w:val="18"/>
          <w:szCs w:val="18"/>
        </w:rPr>
        <w:t>2.11.2022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135D" w14:textId="19D63559" w:rsidR="00FF3BC7" w:rsidRPr="0098326F" w:rsidRDefault="00FF3BC7" w:rsidP="00FF3BC7">
    <w:pPr>
      <w:pStyle w:val="Nagwek"/>
      <w:jc w:val="right"/>
      <w:rPr>
        <w:i/>
        <w:iCs/>
      </w:rPr>
    </w:pPr>
    <w:r w:rsidRPr="0098326F">
      <w:rPr>
        <w:i/>
        <w:iCs/>
      </w:rPr>
      <w:t xml:space="preserve">Załącznik </w:t>
    </w:r>
    <w:r w:rsidR="006348B1" w:rsidRPr="0098326F">
      <w:rPr>
        <w:i/>
        <w:iCs/>
      </w:rPr>
      <w:t>4</w:t>
    </w:r>
    <w:r w:rsidR="00404BAB" w:rsidRPr="0098326F">
      <w:rPr>
        <w:i/>
        <w:iCs/>
      </w:rPr>
      <w:t>.</w:t>
    </w:r>
    <w:r w:rsidRPr="0098326F">
      <w:rPr>
        <w:i/>
        <w:iCs/>
      </w:rPr>
      <w:t xml:space="preserve"> do aKPEiK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9A0"/>
    <w:multiLevelType w:val="hybridMultilevel"/>
    <w:tmpl w:val="3542B2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263478C"/>
    <w:multiLevelType w:val="hybridMultilevel"/>
    <w:tmpl w:val="22DC9354"/>
    <w:lvl w:ilvl="0" w:tplc="FFFFFFFF">
      <w:start w:val="1"/>
      <w:numFmt w:val="decimal"/>
      <w:lvlText w:val="%1.  "/>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DB0259"/>
    <w:multiLevelType w:val="multilevel"/>
    <w:tmpl w:val="10946340"/>
    <w:lvl w:ilvl="0">
      <w:start w:val="1"/>
      <w:numFmt w:val="decimal"/>
      <w:pStyle w:val="Nagwek1"/>
      <w:lvlText w:val="%1."/>
      <w:lvlJc w:val="left"/>
      <w:pPr>
        <w:ind w:left="432" w:hanging="432"/>
      </w:pPr>
      <w:rPr>
        <w:rFonts w:hint="default"/>
        <w:sz w:val="40"/>
        <w:szCs w:val="24"/>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3" w15:restartNumberingAfterBreak="0">
    <w:nsid w:val="06687D2B"/>
    <w:multiLevelType w:val="hybridMultilevel"/>
    <w:tmpl w:val="7A46735C"/>
    <w:lvl w:ilvl="0" w:tplc="59406E4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B61801"/>
    <w:multiLevelType w:val="hybridMultilevel"/>
    <w:tmpl w:val="2778A714"/>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D37CD1"/>
    <w:multiLevelType w:val="hybridMultilevel"/>
    <w:tmpl w:val="6248F8EC"/>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6" w15:restartNumberingAfterBreak="0">
    <w:nsid w:val="111B72D4"/>
    <w:multiLevelType w:val="hybridMultilevel"/>
    <w:tmpl w:val="3D988004"/>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A93D4D"/>
    <w:multiLevelType w:val="hybridMultilevel"/>
    <w:tmpl w:val="07B059CE"/>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A55CEF"/>
    <w:multiLevelType w:val="hybridMultilevel"/>
    <w:tmpl w:val="2C1CA58E"/>
    <w:lvl w:ilvl="0" w:tplc="5C7466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B65F02"/>
    <w:multiLevelType w:val="hybridMultilevel"/>
    <w:tmpl w:val="B9B85D46"/>
    <w:lvl w:ilvl="0" w:tplc="5C7466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B55420"/>
    <w:multiLevelType w:val="hybridMultilevel"/>
    <w:tmpl w:val="1EA4F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EE6369"/>
    <w:multiLevelType w:val="hybridMultilevel"/>
    <w:tmpl w:val="828CD394"/>
    <w:lvl w:ilvl="0" w:tplc="FFFFFFFF">
      <w:start w:val="1"/>
      <w:numFmt w:val="lowerRoman"/>
      <w:lvlText w:val="%1)"/>
      <w:lvlJc w:val="right"/>
      <w:pPr>
        <w:ind w:left="72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B81722"/>
    <w:multiLevelType w:val="hybridMultilevel"/>
    <w:tmpl w:val="A1F818C2"/>
    <w:lvl w:ilvl="0" w:tplc="5C74665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CB5C75"/>
    <w:multiLevelType w:val="hybridMultilevel"/>
    <w:tmpl w:val="69D80264"/>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A66DB2"/>
    <w:multiLevelType w:val="hybridMultilevel"/>
    <w:tmpl w:val="11DEB174"/>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CC327F"/>
    <w:multiLevelType w:val="hybridMultilevel"/>
    <w:tmpl w:val="C3787B7C"/>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2963D3"/>
    <w:multiLevelType w:val="hybridMultilevel"/>
    <w:tmpl w:val="C93EEDA6"/>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46765E"/>
    <w:multiLevelType w:val="hybridMultilevel"/>
    <w:tmpl w:val="A67EABEC"/>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2E09DF"/>
    <w:multiLevelType w:val="hybridMultilevel"/>
    <w:tmpl w:val="9C2831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44095A"/>
    <w:multiLevelType w:val="hybridMultilevel"/>
    <w:tmpl w:val="20B2BD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298354F"/>
    <w:multiLevelType w:val="hybridMultilevel"/>
    <w:tmpl w:val="89121792"/>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FB1372"/>
    <w:multiLevelType w:val="hybridMultilevel"/>
    <w:tmpl w:val="6A0A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EF3543"/>
    <w:multiLevelType w:val="hybridMultilevel"/>
    <w:tmpl w:val="EE3ABFD4"/>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0C5D1E"/>
    <w:multiLevelType w:val="hybridMultilevel"/>
    <w:tmpl w:val="302EAA14"/>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DE765B"/>
    <w:multiLevelType w:val="hybridMultilevel"/>
    <w:tmpl w:val="C486D506"/>
    <w:lvl w:ilvl="0" w:tplc="5E241CD4">
      <w:start w:val="1"/>
      <w:numFmt w:val="low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706C96"/>
    <w:multiLevelType w:val="hybridMultilevel"/>
    <w:tmpl w:val="1B82CC4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4922306"/>
    <w:multiLevelType w:val="hybridMultilevel"/>
    <w:tmpl w:val="07580A5A"/>
    <w:lvl w:ilvl="0" w:tplc="EA9281EC">
      <w:start w:val="1"/>
      <w:numFmt w:val="decimal"/>
      <w:lvlText w:val="%1.  "/>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CE369A"/>
    <w:multiLevelType w:val="hybridMultilevel"/>
    <w:tmpl w:val="5F3A9346"/>
    <w:lvl w:ilvl="0" w:tplc="5C74665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776192"/>
    <w:multiLevelType w:val="hybridMultilevel"/>
    <w:tmpl w:val="C4F8D1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69629B"/>
    <w:multiLevelType w:val="hybridMultilevel"/>
    <w:tmpl w:val="652A6094"/>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1A96356"/>
    <w:multiLevelType w:val="hybridMultilevel"/>
    <w:tmpl w:val="5B6CC39E"/>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82D482E"/>
    <w:multiLevelType w:val="hybridMultilevel"/>
    <w:tmpl w:val="887A2B7A"/>
    <w:lvl w:ilvl="0" w:tplc="5C7466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D27B7F"/>
    <w:multiLevelType w:val="hybridMultilevel"/>
    <w:tmpl w:val="BD3643A8"/>
    <w:lvl w:ilvl="0" w:tplc="5C74665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3303B5"/>
    <w:multiLevelType w:val="hybridMultilevel"/>
    <w:tmpl w:val="9F0E785E"/>
    <w:lvl w:ilvl="0" w:tplc="81A8A552">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CF75BB"/>
    <w:multiLevelType w:val="hybridMultilevel"/>
    <w:tmpl w:val="945C06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97555D"/>
    <w:multiLevelType w:val="hybridMultilevel"/>
    <w:tmpl w:val="24949EDC"/>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74275FD"/>
    <w:multiLevelType w:val="hybridMultilevel"/>
    <w:tmpl w:val="99FCDC7A"/>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E3159B"/>
    <w:multiLevelType w:val="hybridMultilevel"/>
    <w:tmpl w:val="16C61BBE"/>
    <w:lvl w:ilvl="0" w:tplc="81A8A552">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481B6C"/>
    <w:multiLevelType w:val="hybridMultilevel"/>
    <w:tmpl w:val="30F242B6"/>
    <w:lvl w:ilvl="0" w:tplc="EA9281EC">
      <w:start w:val="1"/>
      <w:numFmt w:val="decimal"/>
      <w:lvlText w:val="%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8351002">
    <w:abstractNumId w:val="2"/>
  </w:num>
  <w:num w:numId="2" w16cid:durableId="2058311552">
    <w:abstractNumId w:val="3"/>
  </w:num>
  <w:num w:numId="3" w16cid:durableId="451023384">
    <w:abstractNumId w:val="18"/>
  </w:num>
  <w:num w:numId="4" w16cid:durableId="44569156">
    <w:abstractNumId w:val="5"/>
  </w:num>
  <w:num w:numId="5" w16cid:durableId="1650279103">
    <w:abstractNumId w:val="8"/>
  </w:num>
  <w:num w:numId="6" w16cid:durableId="898788009">
    <w:abstractNumId w:val="21"/>
  </w:num>
  <w:num w:numId="7" w16cid:durableId="1160585755">
    <w:abstractNumId w:val="9"/>
  </w:num>
  <w:num w:numId="8" w16cid:durableId="2030720340">
    <w:abstractNumId w:val="27"/>
  </w:num>
  <w:num w:numId="9" w16cid:durableId="889532147">
    <w:abstractNumId w:val="12"/>
  </w:num>
  <w:num w:numId="10" w16cid:durableId="194272050">
    <w:abstractNumId w:val="32"/>
  </w:num>
  <w:num w:numId="11" w16cid:durableId="1017655004">
    <w:abstractNumId w:val="31"/>
  </w:num>
  <w:num w:numId="12" w16cid:durableId="902911715">
    <w:abstractNumId w:val="7"/>
  </w:num>
  <w:num w:numId="13" w16cid:durableId="1260022255">
    <w:abstractNumId w:val="22"/>
  </w:num>
  <w:num w:numId="14" w16cid:durableId="1961959999">
    <w:abstractNumId w:val="36"/>
  </w:num>
  <w:num w:numId="15" w16cid:durableId="1718432255">
    <w:abstractNumId w:val="33"/>
  </w:num>
  <w:num w:numId="16" w16cid:durableId="428623500">
    <w:abstractNumId w:val="17"/>
  </w:num>
  <w:num w:numId="17" w16cid:durableId="871453465">
    <w:abstractNumId w:val="20"/>
  </w:num>
  <w:num w:numId="18" w16cid:durableId="1000156044">
    <w:abstractNumId w:val="30"/>
  </w:num>
  <w:num w:numId="19" w16cid:durableId="612130746">
    <w:abstractNumId w:val="16"/>
  </w:num>
  <w:num w:numId="20" w16cid:durableId="815342440">
    <w:abstractNumId w:val="35"/>
  </w:num>
  <w:num w:numId="21" w16cid:durableId="337737322">
    <w:abstractNumId w:val="4"/>
  </w:num>
  <w:num w:numId="22" w16cid:durableId="1253516604">
    <w:abstractNumId w:val="14"/>
  </w:num>
  <w:num w:numId="23" w16cid:durableId="1947958480">
    <w:abstractNumId w:val="37"/>
  </w:num>
  <w:num w:numId="24" w16cid:durableId="476840968">
    <w:abstractNumId w:val="23"/>
  </w:num>
  <w:num w:numId="25" w16cid:durableId="984968486">
    <w:abstractNumId w:val="15"/>
  </w:num>
  <w:num w:numId="26" w16cid:durableId="1049063418">
    <w:abstractNumId w:val="13"/>
  </w:num>
  <w:num w:numId="27" w16cid:durableId="465202798">
    <w:abstractNumId w:val="24"/>
  </w:num>
  <w:num w:numId="28" w16cid:durableId="2064669359">
    <w:abstractNumId w:val="11"/>
  </w:num>
  <w:num w:numId="29" w16cid:durableId="1141655015">
    <w:abstractNumId w:val="38"/>
  </w:num>
  <w:num w:numId="30" w16cid:durableId="804930369">
    <w:abstractNumId w:val="26"/>
  </w:num>
  <w:num w:numId="31" w16cid:durableId="69276566">
    <w:abstractNumId w:val="1"/>
  </w:num>
  <w:num w:numId="32" w16cid:durableId="1196312469">
    <w:abstractNumId w:val="34"/>
  </w:num>
  <w:num w:numId="33" w16cid:durableId="1865629692">
    <w:abstractNumId w:val="28"/>
  </w:num>
  <w:num w:numId="34" w16cid:durableId="1428112418">
    <w:abstractNumId w:val="10"/>
  </w:num>
  <w:num w:numId="35" w16cid:durableId="2112317577">
    <w:abstractNumId w:val="6"/>
  </w:num>
  <w:num w:numId="36" w16cid:durableId="164320520">
    <w:abstractNumId w:val="25"/>
  </w:num>
  <w:num w:numId="37" w16cid:durableId="859396090">
    <w:abstractNumId w:val="29"/>
  </w:num>
  <w:num w:numId="38" w16cid:durableId="1285498819">
    <w:abstractNumId w:val="0"/>
  </w:num>
  <w:num w:numId="39" w16cid:durableId="303851475">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61"/>
    <w:rsid w:val="000069C4"/>
    <w:rsid w:val="00010793"/>
    <w:rsid w:val="00011683"/>
    <w:rsid w:val="00011EE3"/>
    <w:rsid w:val="00013D10"/>
    <w:rsid w:val="000143A0"/>
    <w:rsid w:val="00014C8E"/>
    <w:rsid w:val="00021535"/>
    <w:rsid w:val="00022613"/>
    <w:rsid w:val="00023622"/>
    <w:rsid w:val="00024489"/>
    <w:rsid w:val="00024875"/>
    <w:rsid w:val="00024AFC"/>
    <w:rsid w:val="000252C0"/>
    <w:rsid w:val="00026968"/>
    <w:rsid w:val="00026B76"/>
    <w:rsid w:val="00026E64"/>
    <w:rsid w:val="000345B8"/>
    <w:rsid w:val="00037E94"/>
    <w:rsid w:val="000406CB"/>
    <w:rsid w:val="00043521"/>
    <w:rsid w:val="00044565"/>
    <w:rsid w:val="00044D05"/>
    <w:rsid w:val="00045F4B"/>
    <w:rsid w:val="00050EC3"/>
    <w:rsid w:val="000619B3"/>
    <w:rsid w:val="000644A0"/>
    <w:rsid w:val="0007244C"/>
    <w:rsid w:val="00072534"/>
    <w:rsid w:val="00074286"/>
    <w:rsid w:val="000754DF"/>
    <w:rsid w:val="00076CBC"/>
    <w:rsid w:val="00080BA7"/>
    <w:rsid w:val="000817A4"/>
    <w:rsid w:val="000826C8"/>
    <w:rsid w:val="000840AF"/>
    <w:rsid w:val="000855B2"/>
    <w:rsid w:val="00086894"/>
    <w:rsid w:val="00091221"/>
    <w:rsid w:val="00091927"/>
    <w:rsid w:val="00093AFF"/>
    <w:rsid w:val="00093D74"/>
    <w:rsid w:val="000947CE"/>
    <w:rsid w:val="00094AC3"/>
    <w:rsid w:val="000954F2"/>
    <w:rsid w:val="000973FB"/>
    <w:rsid w:val="000A1994"/>
    <w:rsid w:val="000A3DDB"/>
    <w:rsid w:val="000A541B"/>
    <w:rsid w:val="000A5A45"/>
    <w:rsid w:val="000A7B74"/>
    <w:rsid w:val="000B10E2"/>
    <w:rsid w:val="000B28E6"/>
    <w:rsid w:val="000B376A"/>
    <w:rsid w:val="000B5849"/>
    <w:rsid w:val="000B5BED"/>
    <w:rsid w:val="000B65C9"/>
    <w:rsid w:val="000B6B4D"/>
    <w:rsid w:val="000C2A6C"/>
    <w:rsid w:val="000C39D7"/>
    <w:rsid w:val="000D2929"/>
    <w:rsid w:val="000D4915"/>
    <w:rsid w:val="000D6750"/>
    <w:rsid w:val="000D74A4"/>
    <w:rsid w:val="000E240E"/>
    <w:rsid w:val="000E5C6F"/>
    <w:rsid w:val="000E6F56"/>
    <w:rsid w:val="000E7E63"/>
    <w:rsid w:val="000F514E"/>
    <w:rsid w:val="000F62FD"/>
    <w:rsid w:val="000F78F6"/>
    <w:rsid w:val="001035D8"/>
    <w:rsid w:val="001039C9"/>
    <w:rsid w:val="001078E9"/>
    <w:rsid w:val="0011179A"/>
    <w:rsid w:val="00112AFA"/>
    <w:rsid w:val="001144FC"/>
    <w:rsid w:val="00116706"/>
    <w:rsid w:val="00117314"/>
    <w:rsid w:val="00122156"/>
    <w:rsid w:val="00127FE4"/>
    <w:rsid w:val="001305A8"/>
    <w:rsid w:val="00131BA8"/>
    <w:rsid w:val="00131D8B"/>
    <w:rsid w:val="00133B72"/>
    <w:rsid w:val="0013403E"/>
    <w:rsid w:val="0013643C"/>
    <w:rsid w:val="00136584"/>
    <w:rsid w:val="00147008"/>
    <w:rsid w:val="001473F6"/>
    <w:rsid w:val="00150B9A"/>
    <w:rsid w:val="00150DD9"/>
    <w:rsid w:val="00153D02"/>
    <w:rsid w:val="001571C0"/>
    <w:rsid w:val="001644F5"/>
    <w:rsid w:val="0016455E"/>
    <w:rsid w:val="0016533D"/>
    <w:rsid w:val="00165A9C"/>
    <w:rsid w:val="0017116C"/>
    <w:rsid w:val="00171BB2"/>
    <w:rsid w:val="00173360"/>
    <w:rsid w:val="00174C5E"/>
    <w:rsid w:val="00174C91"/>
    <w:rsid w:val="001819CE"/>
    <w:rsid w:val="00183704"/>
    <w:rsid w:val="00186AEC"/>
    <w:rsid w:val="00187A35"/>
    <w:rsid w:val="001928BC"/>
    <w:rsid w:val="00194461"/>
    <w:rsid w:val="00197F96"/>
    <w:rsid w:val="001A04F5"/>
    <w:rsid w:val="001A0C6D"/>
    <w:rsid w:val="001A3C49"/>
    <w:rsid w:val="001A45B6"/>
    <w:rsid w:val="001A55A8"/>
    <w:rsid w:val="001B1463"/>
    <w:rsid w:val="001B23F0"/>
    <w:rsid w:val="001B49A5"/>
    <w:rsid w:val="001B4D1A"/>
    <w:rsid w:val="001B60E6"/>
    <w:rsid w:val="001B6485"/>
    <w:rsid w:val="001C38F1"/>
    <w:rsid w:val="001C4F5B"/>
    <w:rsid w:val="001D254E"/>
    <w:rsid w:val="001D2611"/>
    <w:rsid w:val="001D3258"/>
    <w:rsid w:val="001D4A88"/>
    <w:rsid w:val="001D4C71"/>
    <w:rsid w:val="001D4F3C"/>
    <w:rsid w:val="001D4FCC"/>
    <w:rsid w:val="001D5196"/>
    <w:rsid w:val="001D643A"/>
    <w:rsid w:val="001D6A7F"/>
    <w:rsid w:val="001D79FD"/>
    <w:rsid w:val="001E4CC6"/>
    <w:rsid w:val="001E73E9"/>
    <w:rsid w:val="001E75C1"/>
    <w:rsid w:val="001F0AC7"/>
    <w:rsid w:val="001F287B"/>
    <w:rsid w:val="001F2A0A"/>
    <w:rsid w:val="001F4D65"/>
    <w:rsid w:val="002009F8"/>
    <w:rsid w:val="00200D01"/>
    <w:rsid w:val="00203C68"/>
    <w:rsid w:val="00204676"/>
    <w:rsid w:val="00204CDE"/>
    <w:rsid w:val="00212281"/>
    <w:rsid w:val="00212CF2"/>
    <w:rsid w:val="002134AD"/>
    <w:rsid w:val="002164B8"/>
    <w:rsid w:val="002164CD"/>
    <w:rsid w:val="00217CAC"/>
    <w:rsid w:val="00217F28"/>
    <w:rsid w:val="00220A47"/>
    <w:rsid w:val="0022368D"/>
    <w:rsid w:val="00226FAD"/>
    <w:rsid w:val="00227851"/>
    <w:rsid w:val="002318C6"/>
    <w:rsid w:val="00232064"/>
    <w:rsid w:val="00232597"/>
    <w:rsid w:val="00232663"/>
    <w:rsid w:val="00232FFB"/>
    <w:rsid w:val="002349E7"/>
    <w:rsid w:val="00235CB9"/>
    <w:rsid w:val="0023727C"/>
    <w:rsid w:val="00237CF4"/>
    <w:rsid w:val="00243EFA"/>
    <w:rsid w:val="00244A97"/>
    <w:rsid w:val="00246140"/>
    <w:rsid w:val="00246AF5"/>
    <w:rsid w:val="002551DE"/>
    <w:rsid w:val="00256256"/>
    <w:rsid w:val="002578B2"/>
    <w:rsid w:val="00260E79"/>
    <w:rsid w:val="00260F5F"/>
    <w:rsid w:val="0026186D"/>
    <w:rsid w:val="002635F5"/>
    <w:rsid w:val="00270892"/>
    <w:rsid w:val="00273790"/>
    <w:rsid w:val="00273FD8"/>
    <w:rsid w:val="002754E3"/>
    <w:rsid w:val="00276F2C"/>
    <w:rsid w:val="002802EC"/>
    <w:rsid w:val="00284572"/>
    <w:rsid w:val="00287862"/>
    <w:rsid w:val="002912C1"/>
    <w:rsid w:val="00291573"/>
    <w:rsid w:val="00291640"/>
    <w:rsid w:val="00294C33"/>
    <w:rsid w:val="002A0563"/>
    <w:rsid w:val="002A0AD2"/>
    <w:rsid w:val="002A0B76"/>
    <w:rsid w:val="002A2FC6"/>
    <w:rsid w:val="002A5705"/>
    <w:rsid w:val="002A5A38"/>
    <w:rsid w:val="002A5F96"/>
    <w:rsid w:val="002A6DFA"/>
    <w:rsid w:val="002A6F3E"/>
    <w:rsid w:val="002A7783"/>
    <w:rsid w:val="002A7DCE"/>
    <w:rsid w:val="002B0C64"/>
    <w:rsid w:val="002B16D8"/>
    <w:rsid w:val="002B484E"/>
    <w:rsid w:val="002B4DFC"/>
    <w:rsid w:val="002B4F0C"/>
    <w:rsid w:val="002B5CFB"/>
    <w:rsid w:val="002B733F"/>
    <w:rsid w:val="002C0521"/>
    <w:rsid w:val="002C382E"/>
    <w:rsid w:val="002C3B28"/>
    <w:rsid w:val="002C7E20"/>
    <w:rsid w:val="002D2B46"/>
    <w:rsid w:val="002E068E"/>
    <w:rsid w:val="002E161B"/>
    <w:rsid w:val="002E1E0B"/>
    <w:rsid w:val="002E21AC"/>
    <w:rsid w:val="002E3810"/>
    <w:rsid w:val="002E6829"/>
    <w:rsid w:val="002E6883"/>
    <w:rsid w:val="002E7134"/>
    <w:rsid w:val="002E7E3A"/>
    <w:rsid w:val="002F206A"/>
    <w:rsid w:val="002F5C50"/>
    <w:rsid w:val="003001C8"/>
    <w:rsid w:val="003036B9"/>
    <w:rsid w:val="00312F74"/>
    <w:rsid w:val="00312FE1"/>
    <w:rsid w:val="00313DE1"/>
    <w:rsid w:val="00315CD1"/>
    <w:rsid w:val="003221F6"/>
    <w:rsid w:val="00323F9B"/>
    <w:rsid w:val="003252A7"/>
    <w:rsid w:val="003260C9"/>
    <w:rsid w:val="00332CFC"/>
    <w:rsid w:val="003352F5"/>
    <w:rsid w:val="00336579"/>
    <w:rsid w:val="003369C8"/>
    <w:rsid w:val="003404B6"/>
    <w:rsid w:val="003432D5"/>
    <w:rsid w:val="0034650B"/>
    <w:rsid w:val="0035104B"/>
    <w:rsid w:val="00360FD8"/>
    <w:rsid w:val="003654C6"/>
    <w:rsid w:val="003657F2"/>
    <w:rsid w:val="0036789F"/>
    <w:rsid w:val="0037341E"/>
    <w:rsid w:val="00373FD3"/>
    <w:rsid w:val="00375130"/>
    <w:rsid w:val="003768A4"/>
    <w:rsid w:val="003772B3"/>
    <w:rsid w:val="0038115D"/>
    <w:rsid w:val="003829EA"/>
    <w:rsid w:val="00384755"/>
    <w:rsid w:val="00385BC9"/>
    <w:rsid w:val="00390032"/>
    <w:rsid w:val="00391F08"/>
    <w:rsid w:val="00393939"/>
    <w:rsid w:val="0039442A"/>
    <w:rsid w:val="00394747"/>
    <w:rsid w:val="00394D21"/>
    <w:rsid w:val="003967BC"/>
    <w:rsid w:val="003979F9"/>
    <w:rsid w:val="003A13F8"/>
    <w:rsid w:val="003A4017"/>
    <w:rsid w:val="003A4978"/>
    <w:rsid w:val="003A54B0"/>
    <w:rsid w:val="003A746A"/>
    <w:rsid w:val="003A78FE"/>
    <w:rsid w:val="003B05BE"/>
    <w:rsid w:val="003B0BAF"/>
    <w:rsid w:val="003B1A37"/>
    <w:rsid w:val="003B20C4"/>
    <w:rsid w:val="003B48D6"/>
    <w:rsid w:val="003B7642"/>
    <w:rsid w:val="003C0243"/>
    <w:rsid w:val="003C1367"/>
    <w:rsid w:val="003C194F"/>
    <w:rsid w:val="003C37CE"/>
    <w:rsid w:val="003C445B"/>
    <w:rsid w:val="003C553E"/>
    <w:rsid w:val="003C7268"/>
    <w:rsid w:val="003D1A13"/>
    <w:rsid w:val="003D1AD6"/>
    <w:rsid w:val="003D1BEA"/>
    <w:rsid w:val="003D1C81"/>
    <w:rsid w:val="003D28CA"/>
    <w:rsid w:val="003D48D3"/>
    <w:rsid w:val="003E194B"/>
    <w:rsid w:val="003E2037"/>
    <w:rsid w:val="003E4128"/>
    <w:rsid w:val="003E6660"/>
    <w:rsid w:val="003E673D"/>
    <w:rsid w:val="003E7FAD"/>
    <w:rsid w:val="003F0371"/>
    <w:rsid w:val="003F21E8"/>
    <w:rsid w:val="003F418C"/>
    <w:rsid w:val="003F5AED"/>
    <w:rsid w:val="004003A9"/>
    <w:rsid w:val="00402433"/>
    <w:rsid w:val="004027FB"/>
    <w:rsid w:val="0040311D"/>
    <w:rsid w:val="00404B36"/>
    <w:rsid w:val="00404BAB"/>
    <w:rsid w:val="00405B64"/>
    <w:rsid w:val="00405FBD"/>
    <w:rsid w:val="00412959"/>
    <w:rsid w:val="00412BDC"/>
    <w:rsid w:val="0041319C"/>
    <w:rsid w:val="004155BC"/>
    <w:rsid w:val="0041736B"/>
    <w:rsid w:val="0041775E"/>
    <w:rsid w:val="00420129"/>
    <w:rsid w:val="00421932"/>
    <w:rsid w:val="00423DF5"/>
    <w:rsid w:val="00425F8E"/>
    <w:rsid w:val="00431806"/>
    <w:rsid w:val="00431927"/>
    <w:rsid w:val="00431C2F"/>
    <w:rsid w:val="00432A9E"/>
    <w:rsid w:val="004429F3"/>
    <w:rsid w:val="00444575"/>
    <w:rsid w:val="00445A54"/>
    <w:rsid w:val="00451528"/>
    <w:rsid w:val="00453051"/>
    <w:rsid w:val="004540F4"/>
    <w:rsid w:val="00454C74"/>
    <w:rsid w:val="00460C8C"/>
    <w:rsid w:val="00463DEC"/>
    <w:rsid w:val="0046408D"/>
    <w:rsid w:val="00464678"/>
    <w:rsid w:val="00465D61"/>
    <w:rsid w:val="00467A78"/>
    <w:rsid w:val="00470030"/>
    <w:rsid w:val="00471A6A"/>
    <w:rsid w:val="0047233E"/>
    <w:rsid w:val="00473696"/>
    <w:rsid w:val="00473F34"/>
    <w:rsid w:val="00474216"/>
    <w:rsid w:val="00475054"/>
    <w:rsid w:val="00475F96"/>
    <w:rsid w:val="00476378"/>
    <w:rsid w:val="00480883"/>
    <w:rsid w:val="00483B9F"/>
    <w:rsid w:val="00484C59"/>
    <w:rsid w:val="004850DF"/>
    <w:rsid w:val="004862BA"/>
    <w:rsid w:val="00487114"/>
    <w:rsid w:val="004879EE"/>
    <w:rsid w:val="00490841"/>
    <w:rsid w:val="00490E3D"/>
    <w:rsid w:val="00491322"/>
    <w:rsid w:val="00491D38"/>
    <w:rsid w:val="004938AB"/>
    <w:rsid w:val="004948D8"/>
    <w:rsid w:val="004A2CCE"/>
    <w:rsid w:val="004A3E80"/>
    <w:rsid w:val="004A5C88"/>
    <w:rsid w:val="004B0910"/>
    <w:rsid w:val="004B0F0A"/>
    <w:rsid w:val="004B160D"/>
    <w:rsid w:val="004B3F51"/>
    <w:rsid w:val="004B54B7"/>
    <w:rsid w:val="004C1307"/>
    <w:rsid w:val="004C1A1B"/>
    <w:rsid w:val="004C1F32"/>
    <w:rsid w:val="004C33B1"/>
    <w:rsid w:val="004D1850"/>
    <w:rsid w:val="004D21A2"/>
    <w:rsid w:val="004D40A6"/>
    <w:rsid w:val="004D4432"/>
    <w:rsid w:val="004D5204"/>
    <w:rsid w:val="004D6053"/>
    <w:rsid w:val="004E000C"/>
    <w:rsid w:val="004E21CF"/>
    <w:rsid w:val="004E5440"/>
    <w:rsid w:val="004E6955"/>
    <w:rsid w:val="004E7B0B"/>
    <w:rsid w:val="004F203A"/>
    <w:rsid w:val="004F3AD3"/>
    <w:rsid w:val="004F69C2"/>
    <w:rsid w:val="00501AD3"/>
    <w:rsid w:val="00501B72"/>
    <w:rsid w:val="00501E41"/>
    <w:rsid w:val="00503D15"/>
    <w:rsid w:val="00504CB7"/>
    <w:rsid w:val="00515199"/>
    <w:rsid w:val="00516BCA"/>
    <w:rsid w:val="00516D41"/>
    <w:rsid w:val="00517CE9"/>
    <w:rsid w:val="00517E35"/>
    <w:rsid w:val="00520D25"/>
    <w:rsid w:val="0052483D"/>
    <w:rsid w:val="00524E26"/>
    <w:rsid w:val="005250E4"/>
    <w:rsid w:val="005271AD"/>
    <w:rsid w:val="005317FE"/>
    <w:rsid w:val="0053209D"/>
    <w:rsid w:val="005341DB"/>
    <w:rsid w:val="0053470B"/>
    <w:rsid w:val="00534863"/>
    <w:rsid w:val="00534C59"/>
    <w:rsid w:val="00536833"/>
    <w:rsid w:val="00537D76"/>
    <w:rsid w:val="00540305"/>
    <w:rsid w:val="005408CE"/>
    <w:rsid w:val="005413BC"/>
    <w:rsid w:val="0054158D"/>
    <w:rsid w:val="00541635"/>
    <w:rsid w:val="00542B81"/>
    <w:rsid w:val="00545062"/>
    <w:rsid w:val="00550223"/>
    <w:rsid w:val="005504F0"/>
    <w:rsid w:val="0055302F"/>
    <w:rsid w:val="00553078"/>
    <w:rsid w:val="00554E1C"/>
    <w:rsid w:val="00554E84"/>
    <w:rsid w:val="005614FF"/>
    <w:rsid w:val="005622DF"/>
    <w:rsid w:val="00564F99"/>
    <w:rsid w:val="00566524"/>
    <w:rsid w:val="005676C8"/>
    <w:rsid w:val="00567C92"/>
    <w:rsid w:val="0057041F"/>
    <w:rsid w:val="0057223B"/>
    <w:rsid w:val="005751F2"/>
    <w:rsid w:val="00575331"/>
    <w:rsid w:val="0057595A"/>
    <w:rsid w:val="00575AE1"/>
    <w:rsid w:val="0057684D"/>
    <w:rsid w:val="005801E0"/>
    <w:rsid w:val="00581E9C"/>
    <w:rsid w:val="00581FF6"/>
    <w:rsid w:val="00582793"/>
    <w:rsid w:val="005837F2"/>
    <w:rsid w:val="00583F68"/>
    <w:rsid w:val="00584C34"/>
    <w:rsid w:val="005877F6"/>
    <w:rsid w:val="00590945"/>
    <w:rsid w:val="00592BBB"/>
    <w:rsid w:val="005A056F"/>
    <w:rsid w:val="005A0EA7"/>
    <w:rsid w:val="005A1949"/>
    <w:rsid w:val="005A197D"/>
    <w:rsid w:val="005A451A"/>
    <w:rsid w:val="005A57E0"/>
    <w:rsid w:val="005A678E"/>
    <w:rsid w:val="005B00D6"/>
    <w:rsid w:val="005B01A5"/>
    <w:rsid w:val="005B0E34"/>
    <w:rsid w:val="005B442A"/>
    <w:rsid w:val="005B537D"/>
    <w:rsid w:val="005B5E2B"/>
    <w:rsid w:val="005C0CA5"/>
    <w:rsid w:val="005C1198"/>
    <w:rsid w:val="005C644A"/>
    <w:rsid w:val="005D0B87"/>
    <w:rsid w:val="005D3B61"/>
    <w:rsid w:val="005E16E5"/>
    <w:rsid w:val="005E39FE"/>
    <w:rsid w:val="005E4D15"/>
    <w:rsid w:val="005E54CA"/>
    <w:rsid w:val="005E609B"/>
    <w:rsid w:val="005F09C1"/>
    <w:rsid w:val="005F1482"/>
    <w:rsid w:val="005F43D4"/>
    <w:rsid w:val="005F4499"/>
    <w:rsid w:val="005F4621"/>
    <w:rsid w:val="005F53BC"/>
    <w:rsid w:val="005F68D7"/>
    <w:rsid w:val="005F740C"/>
    <w:rsid w:val="005F7741"/>
    <w:rsid w:val="005F7BFD"/>
    <w:rsid w:val="00601C53"/>
    <w:rsid w:val="00601E54"/>
    <w:rsid w:val="00602D79"/>
    <w:rsid w:val="0060410E"/>
    <w:rsid w:val="00604ABB"/>
    <w:rsid w:val="00604B88"/>
    <w:rsid w:val="00605235"/>
    <w:rsid w:val="006065DE"/>
    <w:rsid w:val="006068E2"/>
    <w:rsid w:val="0060777A"/>
    <w:rsid w:val="00612679"/>
    <w:rsid w:val="00612A1A"/>
    <w:rsid w:val="00616B1C"/>
    <w:rsid w:val="00620976"/>
    <w:rsid w:val="00620A75"/>
    <w:rsid w:val="00625F81"/>
    <w:rsid w:val="00627731"/>
    <w:rsid w:val="00627A3D"/>
    <w:rsid w:val="006300E6"/>
    <w:rsid w:val="0063206B"/>
    <w:rsid w:val="006324C5"/>
    <w:rsid w:val="006328A9"/>
    <w:rsid w:val="006348B1"/>
    <w:rsid w:val="00635E21"/>
    <w:rsid w:val="00636558"/>
    <w:rsid w:val="00641AE7"/>
    <w:rsid w:val="00643BAB"/>
    <w:rsid w:val="00645D28"/>
    <w:rsid w:val="006466FA"/>
    <w:rsid w:val="00647401"/>
    <w:rsid w:val="00647F2A"/>
    <w:rsid w:val="00650566"/>
    <w:rsid w:val="00657C3F"/>
    <w:rsid w:val="0066222C"/>
    <w:rsid w:val="00662275"/>
    <w:rsid w:val="006638B1"/>
    <w:rsid w:val="00665CF0"/>
    <w:rsid w:val="00665DA7"/>
    <w:rsid w:val="00666319"/>
    <w:rsid w:val="00671696"/>
    <w:rsid w:val="00673535"/>
    <w:rsid w:val="0067469F"/>
    <w:rsid w:val="00675007"/>
    <w:rsid w:val="00676075"/>
    <w:rsid w:val="00677406"/>
    <w:rsid w:val="00680E7D"/>
    <w:rsid w:val="00681CF4"/>
    <w:rsid w:val="006833C0"/>
    <w:rsid w:val="0068367B"/>
    <w:rsid w:val="006839EA"/>
    <w:rsid w:val="00685ED0"/>
    <w:rsid w:val="0068663A"/>
    <w:rsid w:val="006868BC"/>
    <w:rsid w:val="0069045A"/>
    <w:rsid w:val="00691EA7"/>
    <w:rsid w:val="00693B35"/>
    <w:rsid w:val="00694A4E"/>
    <w:rsid w:val="006A05FC"/>
    <w:rsid w:val="006A2997"/>
    <w:rsid w:val="006A3AA2"/>
    <w:rsid w:val="006A6003"/>
    <w:rsid w:val="006B1206"/>
    <w:rsid w:val="006B1526"/>
    <w:rsid w:val="006B2A65"/>
    <w:rsid w:val="006B3ACD"/>
    <w:rsid w:val="006B449C"/>
    <w:rsid w:val="006B648E"/>
    <w:rsid w:val="006B7262"/>
    <w:rsid w:val="006B783C"/>
    <w:rsid w:val="006C2A77"/>
    <w:rsid w:val="006C41F6"/>
    <w:rsid w:val="006C4C02"/>
    <w:rsid w:val="006C6123"/>
    <w:rsid w:val="006C697D"/>
    <w:rsid w:val="006D019A"/>
    <w:rsid w:val="006D0C65"/>
    <w:rsid w:val="006D2F10"/>
    <w:rsid w:val="006D6589"/>
    <w:rsid w:val="006D7683"/>
    <w:rsid w:val="006D78D9"/>
    <w:rsid w:val="006D7940"/>
    <w:rsid w:val="006D7D05"/>
    <w:rsid w:val="006E2892"/>
    <w:rsid w:val="006E3DFB"/>
    <w:rsid w:val="006E6AC8"/>
    <w:rsid w:val="006E7045"/>
    <w:rsid w:val="006F2631"/>
    <w:rsid w:val="006F28B7"/>
    <w:rsid w:val="006F34B5"/>
    <w:rsid w:val="00701613"/>
    <w:rsid w:val="00702846"/>
    <w:rsid w:val="00703EB3"/>
    <w:rsid w:val="007045D1"/>
    <w:rsid w:val="0071010F"/>
    <w:rsid w:val="00710199"/>
    <w:rsid w:val="007117A9"/>
    <w:rsid w:val="00712CC4"/>
    <w:rsid w:val="00713B4C"/>
    <w:rsid w:val="00713E45"/>
    <w:rsid w:val="00715ACC"/>
    <w:rsid w:val="007169E8"/>
    <w:rsid w:val="00723E25"/>
    <w:rsid w:val="007271E7"/>
    <w:rsid w:val="00731325"/>
    <w:rsid w:val="00731619"/>
    <w:rsid w:val="007318FC"/>
    <w:rsid w:val="0073208A"/>
    <w:rsid w:val="00733916"/>
    <w:rsid w:val="00733EE9"/>
    <w:rsid w:val="00734230"/>
    <w:rsid w:val="0073427D"/>
    <w:rsid w:val="00735F4A"/>
    <w:rsid w:val="00736CA3"/>
    <w:rsid w:val="00737C12"/>
    <w:rsid w:val="0074268E"/>
    <w:rsid w:val="00743A88"/>
    <w:rsid w:val="00746A1E"/>
    <w:rsid w:val="00747447"/>
    <w:rsid w:val="00750424"/>
    <w:rsid w:val="0075057F"/>
    <w:rsid w:val="00752E1F"/>
    <w:rsid w:val="007551FD"/>
    <w:rsid w:val="00755FA3"/>
    <w:rsid w:val="00755FF8"/>
    <w:rsid w:val="00756856"/>
    <w:rsid w:val="00757C82"/>
    <w:rsid w:val="00760265"/>
    <w:rsid w:val="007636C1"/>
    <w:rsid w:val="007674D1"/>
    <w:rsid w:val="00767D0F"/>
    <w:rsid w:val="00767FC5"/>
    <w:rsid w:val="007712C2"/>
    <w:rsid w:val="007712D1"/>
    <w:rsid w:val="0077251A"/>
    <w:rsid w:val="007743B5"/>
    <w:rsid w:val="0077447B"/>
    <w:rsid w:val="007754E2"/>
    <w:rsid w:val="00776800"/>
    <w:rsid w:val="00776F23"/>
    <w:rsid w:val="0077719E"/>
    <w:rsid w:val="00781D7D"/>
    <w:rsid w:val="00782942"/>
    <w:rsid w:val="00783334"/>
    <w:rsid w:val="00783ECC"/>
    <w:rsid w:val="0078415A"/>
    <w:rsid w:val="007864F4"/>
    <w:rsid w:val="00790347"/>
    <w:rsid w:val="00793CBE"/>
    <w:rsid w:val="00793F4E"/>
    <w:rsid w:val="00794724"/>
    <w:rsid w:val="00795826"/>
    <w:rsid w:val="007961FA"/>
    <w:rsid w:val="00797F8D"/>
    <w:rsid w:val="007A12A0"/>
    <w:rsid w:val="007A1735"/>
    <w:rsid w:val="007A6F47"/>
    <w:rsid w:val="007B39BC"/>
    <w:rsid w:val="007B587E"/>
    <w:rsid w:val="007B67BC"/>
    <w:rsid w:val="007B74D2"/>
    <w:rsid w:val="007C218B"/>
    <w:rsid w:val="007C22DD"/>
    <w:rsid w:val="007C40B3"/>
    <w:rsid w:val="007D4DE9"/>
    <w:rsid w:val="007D5D1D"/>
    <w:rsid w:val="007E2C01"/>
    <w:rsid w:val="007E3599"/>
    <w:rsid w:val="007E41F2"/>
    <w:rsid w:val="007E6993"/>
    <w:rsid w:val="007E6F5F"/>
    <w:rsid w:val="007F170F"/>
    <w:rsid w:val="007F19ED"/>
    <w:rsid w:val="007F22F4"/>
    <w:rsid w:val="00801494"/>
    <w:rsid w:val="00802438"/>
    <w:rsid w:val="00802825"/>
    <w:rsid w:val="008057F6"/>
    <w:rsid w:val="00805E07"/>
    <w:rsid w:val="008061D1"/>
    <w:rsid w:val="008106DA"/>
    <w:rsid w:val="00810BA3"/>
    <w:rsid w:val="00810DCA"/>
    <w:rsid w:val="00813E69"/>
    <w:rsid w:val="008173D7"/>
    <w:rsid w:val="00817D26"/>
    <w:rsid w:val="00821032"/>
    <w:rsid w:val="008223D8"/>
    <w:rsid w:val="00824620"/>
    <w:rsid w:val="00824AF6"/>
    <w:rsid w:val="00824B0E"/>
    <w:rsid w:val="00826462"/>
    <w:rsid w:val="008269D0"/>
    <w:rsid w:val="00830FBB"/>
    <w:rsid w:val="00832E72"/>
    <w:rsid w:val="008340D5"/>
    <w:rsid w:val="00836FDD"/>
    <w:rsid w:val="008372D3"/>
    <w:rsid w:val="008372FE"/>
    <w:rsid w:val="00841C4F"/>
    <w:rsid w:val="008425F9"/>
    <w:rsid w:val="00850BAF"/>
    <w:rsid w:val="0085119E"/>
    <w:rsid w:val="008527DF"/>
    <w:rsid w:val="008535B0"/>
    <w:rsid w:val="008620C5"/>
    <w:rsid w:val="00863675"/>
    <w:rsid w:val="00865136"/>
    <w:rsid w:val="00867E2B"/>
    <w:rsid w:val="008730F0"/>
    <w:rsid w:val="00875EF7"/>
    <w:rsid w:val="0087751B"/>
    <w:rsid w:val="00880B30"/>
    <w:rsid w:val="00882475"/>
    <w:rsid w:val="00883D86"/>
    <w:rsid w:val="00884105"/>
    <w:rsid w:val="0088560C"/>
    <w:rsid w:val="0088560E"/>
    <w:rsid w:val="00887BC0"/>
    <w:rsid w:val="008905D6"/>
    <w:rsid w:val="008943F2"/>
    <w:rsid w:val="00894DDD"/>
    <w:rsid w:val="008952BB"/>
    <w:rsid w:val="00895CCA"/>
    <w:rsid w:val="00896235"/>
    <w:rsid w:val="008A128B"/>
    <w:rsid w:val="008A6558"/>
    <w:rsid w:val="008A7D3F"/>
    <w:rsid w:val="008B188E"/>
    <w:rsid w:val="008B4B0C"/>
    <w:rsid w:val="008B4C3B"/>
    <w:rsid w:val="008B71F5"/>
    <w:rsid w:val="008C0B55"/>
    <w:rsid w:val="008C328C"/>
    <w:rsid w:val="008C53A0"/>
    <w:rsid w:val="008C5522"/>
    <w:rsid w:val="008C6278"/>
    <w:rsid w:val="008C641F"/>
    <w:rsid w:val="008C6671"/>
    <w:rsid w:val="008C69A6"/>
    <w:rsid w:val="008C7926"/>
    <w:rsid w:val="008D0CF5"/>
    <w:rsid w:val="008D2C8E"/>
    <w:rsid w:val="008D2CB8"/>
    <w:rsid w:val="008D336C"/>
    <w:rsid w:val="008D4A8C"/>
    <w:rsid w:val="008D4D47"/>
    <w:rsid w:val="008D5B84"/>
    <w:rsid w:val="008D7F51"/>
    <w:rsid w:val="008E1C88"/>
    <w:rsid w:val="008E2F2D"/>
    <w:rsid w:val="008E37DA"/>
    <w:rsid w:val="008E3C92"/>
    <w:rsid w:val="008E4C8A"/>
    <w:rsid w:val="008F02EE"/>
    <w:rsid w:val="008F1A2E"/>
    <w:rsid w:val="008F1DA5"/>
    <w:rsid w:val="008F2556"/>
    <w:rsid w:val="008F2D6A"/>
    <w:rsid w:val="008F370E"/>
    <w:rsid w:val="008F3871"/>
    <w:rsid w:val="008F3996"/>
    <w:rsid w:val="008F731E"/>
    <w:rsid w:val="008F7850"/>
    <w:rsid w:val="008F7A79"/>
    <w:rsid w:val="0090095D"/>
    <w:rsid w:val="009012B3"/>
    <w:rsid w:val="00903C8D"/>
    <w:rsid w:val="009052C5"/>
    <w:rsid w:val="0090670E"/>
    <w:rsid w:val="00907D2B"/>
    <w:rsid w:val="00910772"/>
    <w:rsid w:val="009110E8"/>
    <w:rsid w:val="00913465"/>
    <w:rsid w:val="00913628"/>
    <w:rsid w:val="00917318"/>
    <w:rsid w:val="009209FC"/>
    <w:rsid w:val="00921EC3"/>
    <w:rsid w:val="00922425"/>
    <w:rsid w:val="00922EAF"/>
    <w:rsid w:val="00924DDE"/>
    <w:rsid w:val="00925327"/>
    <w:rsid w:val="009259C8"/>
    <w:rsid w:val="00930DB2"/>
    <w:rsid w:val="009319C0"/>
    <w:rsid w:val="00932BB1"/>
    <w:rsid w:val="00933722"/>
    <w:rsid w:val="00933E23"/>
    <w:rsid w:val="00935A57"/>
    <w:rsid w:val="00936B2E"/>
    <w:rsid w:val="00936BA4"/>
    <w:rsid w:val="00936F96"/>
    <w:rsid w:val="00942B7A"/>
    <w:rsid w:val="009437FD"/>
    <w:rsid w:val="00946F60"/>
    <w:rsid w:val="009501B1"/>
    <w:rsid w:val="00953B2A"/>
    <w:rsid w:val="009541EA"/>
    <w:rsid w:val="00955EE6"/>
    <w:rsid w:val="0095663B"/>
    <w:rsid w:val="00957383"/>
    <w:rsid w:val="00957F1C"/>
    <w:rsid w:val="009604F6"/>
    <w:rsid w:val="0096352C"/>
    <w:rsid w:val="00965C38"/>
    <w:rsid w:val="00966AE9"/>
    <w:rsid w:val="009675DC"/>
    <w:rsid w:val="0097073E"/>
    <w:rsid w:val="00970A5B"/>
    <w:rsid w:val="009714FB"/>
    <w:rsid w:val="00971742"/>
    <w:rsid w:val="009729C8"/>
    <w:rsid w:val="00975A22"/>
    <w:rsid w:val="00982366"/>
    <w:rsid w:val="00982E9E"/>
    <w:rsid w:val="0098326F"/>
    <w:rsid w:val="00983BF4"/>
    <w:rsid w:val="0098730C"/>
    <w:rsid w:val="00990CDB"/>
    <w:rsid w:val="0099136F"/>
    <w:rsid w:val="00992251"/>
    <w:rsid w:val="009A021C"/>
    <w:rsid w:val="009A0EE5"/>
    <w:rsid w:val="009A1852"/>
    <w:rsid w:val="009A356B"/>
    <w:rsid w:val="009A4A98"/>
    <w:rsid w:val="009A67AC"/>
    <w:rsid w:val="009A7CF9"/>
    <w:rsid w:val="009B11B7"/>
    <w:rsid w:val="009B25FD"/>
    <w:rsid w:val="009C0159"/>
    <w:rsid w:val="009C07EC"/>
    <w:rsid w:val="009C08C2"/>
    <w:rsid w:val="009C0B2E"/>
    <w:rsid w:val="009C52A3"/>
    <w:rsid w:val="009D13E1"/>
    <w:rsid w:val="009D1D14"/>
    <w:rsid w:val="009D2BA6"/>
    <w:rsid w:val="009D776F"/>
    <w:rsid w:val="009E1A27"/>
    <w:rsid w:val="009E2150"/>
    <w:rsid w:val="009E2C45"/>
    <w:rsid w:val="009E4C24"/>
    <w:rsid w:val="009F0D94"/>
    <w:rsid w:val="009F0F44"/>
    <w:rsid w:val="009F3B69"/>
    <w:rsid w:val="009F4788"/>
    <w:rsid w:val="009F57DA"/>
    <w:rsid w:val="00A006E8"/>
    <w:rsid w:val="00A01F85"/>
    <w:rsid w:val="00A02D72"/>
    <w:rsid w:val="00A03664"/>
    <w:rsid w:val="00A05B82"/>
    <w:rsid w:val="00A06E45"/>
    <w:rsid w:val="00A078DB"/>
    <w:rsid w:val="00A12A96"/>
    <w:rsid w:val="00A12C14"/>
    <w:rsid w:val="00A177F4"/>
    <w:rsid w:val="00A17DD8"/>
    <w:rsid w:val="00A20FD2"/>
    <w:rsid w:val="00A2100A"/>
    <w:rsid w:val="00A21A00"/>
    <w:rsid w:val="00A24E12"/>
    <w:rsid w:val="00A2654E"/>
    <w:rsid w:val="00A26E30"/>
    <w:rsid w:val="00A26E3C"/>
    <w:rsid w:val="00A3162E"/>
    <w:rsid w:val="00A347EC"/>
    <w:rsid w:val="00A353A2"/>
    <w:rsid w:val="00A35815"/>
    <w:rsid w:val="00A3626D"/>
    <w:rsid w:val="00A373B1"/>
    <w:rsid w:val="00A40B3F"/>
    <w:rsid w:val="00A41398"/>
    <w:rsid w:val="00A4361E"/>
    <w:rsid w:val="00A439AD"/>
    <w:rsid w:val="00A43E87"/>
    <w:rsid w:val="00A449DC"/>
    <w:rsid w:val="00A46971"/>
    <w:rsid w:val="00A46A65"/>
    <w:rsid w:val="00A506EF"/>
    <w:rsid w:val="00A54A92"/>
    <w:rsid w:val="00A55765"/>
    <w:rsid w:val="00A55DFF"/>
    <w:rsid w:val="00A578D5"/>
    <w:rsid w:val="00A60E77"/>
    <w:rsid w:val="00A60EFC"/>
    <w:rsid w:val="00A626CB"/>
    <w:rsid w:val="00A62B27"/>
    <w:rsid w:val="00A6327E"/>
    <w:rsid w:val="00A66FE8"/>
    <w:rsid w:val="00A72774"/>
    <w:rsid w:val="00A752FC"/>
    <w:rsid w:val="00A758CF"/>
    <w:rsid w:val="00A76572"/>
    <w:rsid w:val="00A77398"/>
    <w:rsid w:val="00A806F1"/>
    <w:rsid w:val="00A80E8F"/>
    <w:rsid w:val="00A81D47"/>
    <w:rsid w:val="00A82014"/>
    <w:rsid w:val="00A826BE"/>
    <w:rsid w:val="00A832F5"/>
    <w:rsid w:val="00A8589A"/>
    <w:rsid w:val="00A86C39"/>
    <w:rsid w:val="00A87852"/>
    <w:rsid w:val="00A87889"/>
    <w:rsid w:val="00A907A1"/>
    <w:rsid w:val="00A90AB5"/>
    <w:rsid w:val="00A91DDA"/>
    <w:rsid w:val="00A92592"/>
    <w:rsid w:val="00A93D92"/>
    <w:rsid w:val="00A951C6"/>
    <w:rsid w:val="00A95BFD"/>
    <w:rsid w:val="00AA0D6B"/>
    <w:rsid w:val="00AA1E94"/>
    <w:rsid w:val="00AA5A87"/>
    <w:rsid w:val="00AB1A75"/>
    <w:rsid w:val="00AB263F"/>
    <w:rsid w:val="00AB47C0"/>
    <w:rsid w:val="00AB61AA"/>
    <w:rsid w:val="00AB7950"/>
    <w:rsid w:val="00AC130C"/>
    <w:rsid w:val="00AC3E6C"/>
    <w:rsid w:val="00AC61D8"/>
    <w:rsid w:val="00AC63C4"/>
    <w:rsid w:val="00AC6B92"/>
    <w:rsid w:val="00AD063B"/>
    <w:rsid w:val="00AD08C8"/>
    <w:rsid w:val="00AD0FD9"/>
    <w:rsid w:val="00AD103F"/>
    <w:rsid w:val="00AD1570"/>
    <w:rsid w:val="00AD4814"/>
    <w:rsid w:val="00AD5420"/>
    <w:rsid w:val="00AD6633"/>
    <w:rsid w:val="00AD6E8A"/>
    <w:rsid w:val="00AD75DF"/>
    <w:rsid w:val="00AE2526"/>
    <w:rsid w:val="00AE2910"/>
    <w:rsid w:val="00AE5592"/>
    <w:rsid w:val="00AF0FA8"/>
    <w:rsid w:val="00AF4DD4"/>
    <w:rsid w:val="00AF5083"/>
    <w:rsid w:val="00AF549B"/>
    <w:rsid w:val="00AF5B98"/>
    <w:rsid w:val="00AF6391"/>
    <w:rsid w:val="00B013CD"/>
    <w:rsid w:val="00B01D4A"/>
    <w:rsid w:val="00B023C0"/>
    <w:rsid w:val="00B03CB7"/>
    <w:rsid w:val="00B06700"/>
    <w:rsid w:val="00B13C7D"/>
    <w:rsid w:val="00B13CBA"/>
    <w:rsid w:val="00B142C1"/>
    <w:rsid w:val="00B14FEA"/>
    <w:rsid w:val="00B1564D"/>
    <w:rsid w:val="00B15954"/>
    <w:rsid w:val="00B1759D"/>
    <w:rsid w:val="00B201A4"/>
    <w:rsid w:val="00B21AD3"/>
    <w:rsid w:val="00B229EA"/>
    <w:rsid w:val="00B22BF4"/>
    <w:rsid w:val="00B242AD"/>
    <w:rsid w:val="00B25EDB"/>
    <w:rsid w:val="00B265AB"/>
    <w:rsid w:val="00B32E42"/>
    <w:rsid w:val="00B35066"/>
    <w:rsid w:val="00B36CA1"/>
    <w:rsid w:val="00B376BD"/>
    <w:rsid w:val="00B377B2"/>
    <w:rsid w:val="00B401BF"/>
    <w:rsid w:val="00B40B22"/>
    <w:rsid w:val="00B4680C"/>
    <w:rsid w:val="00B47E04"/>
    <w:rsid w:val="00B5086C"/>
    <w:rsid w:val="00B51FEC"/>
    <w:rsid w:val="00B539D0"/>
    <w:rsid w:val="00B54D46"/>
    <w:rsid w:val="00B6117F"/>
    <w:rsid w:val="00B61335"/>
    <w:rsid w:val="00B613FC"/>
    <w:rsid w:val="00B6300A"/>
    <w:rsid w:val="00B64F0D"/>
    <w:rsid w:val="00B6570B"/>
    <w:rsid w:val="00B67C84"/>
    <w:rsid w:val="00B715FF"/>
    <w:rsid w:val="00B72584"/>
    <w:rsid w:val="00B77179"/>
    <w:rsid w:val="00B778FA"/>
    <w:rsid w:val="00B816AE"/>
    <w:rsid w:val="00B82502"/>
    <w:rsid w:val="00B832B7"/>
    <w:rsid w:val="00B854DB"/>
    <w:rsid w:val="00B90082"/>
    <w:rsid w:val="00B93F11"/>
    <w:rsid w:val="00B947F3"/>
    <w:rsid w:val="00B96AE9"/>
    <w:rsid w:val="00B97B50"/>
    <w:rsid w:val="00BA30BB"/>
    <w:rsid w:val="00BA3E0C"/>
    <w:rsid w:val="00BA40C4"/>
    <w:rsid w:val="00BA4318"/>
    <w:rsid w:val="00BA4355"/>
    <w:rsid w:val="00BA46AC"/>
    <w:rsid w:val="00BA64EC"/>
    <w:rsid w:val="00BA7B6D"/>
    <w:rsid w:val="00BB468B"/>
    <w:rsid w:val="00BC1921"/>
    <w:rsid w:val="00BC50BF"/>
    <w:rsid w:val="00BC5C4E"/>
    <w:rsid w:val="00BC6918"/>
    <w:rsid w:val="00BC79F1"/>
    <w:rsid w:val="00BD1C89"/>
    <w:rsid w:val="00BD2ED0"/>
    <w:rsid w:val="00BD3176"/>
    <w:rsid w:val="00BD3900"/>
    <w:rsid w:val="00BD63CD"/>
    <w:rsid w:val="00BE10C2"/>
    <w:rsid w:val="00BF5399"/>
    <w:rsid w:val="00C01BC5"/>
    <w:rsid w:val="00C01DAA"/>
    <w:rsid w:val="00C024A4"/>
    <w:rsid w:val="00C047DF"/>
    <w:rsid w:val="00C06035"/>
    <w:rsid w:val="00C068DE"/>
    <w:rsid w:val="00C06AA6"/>
    <w:rsid w:val="00C07034"/>
    <w:rsid w:val="00C10F84"/>
    <w:rsid w:val="00C11C55"/>
    <w:rsid w:val="00C12553"/>
    <w:rsid w:val="00C1301A"/>
    <w:rsid w:val="00C13FCA"/>
    <w:rsid w:val="00C140A9"/>
    <w:rsid w:val="00C15E3E"/>
    <w:rsid w:val="00C16C46"/>
    <w:rsid w:val="00C16FF6"/>
    <w:rsid w:val="00C204DC"/>
    <w:rsid w:val="00C21079"/>
    <w:rsid w:val="00C234E4"/>
    <w:rsid w:val="00C24471"/>
    <w:rsid w:val="00C248AB"/>
    <w:rsid w:val="00C30B84"/>
    <w:rsid w:val="00C32A50"/>
    <w:rsid w:val="00C32B22"/>
    <w:rsid w:val="00C33878"/>
    <w:rsid w:val="00C33E97"/>
    <w:rsid w:val="00C3492C"/>
    <w:rsid w:val="00C349E3"/>
    <w:rsid w:val="00C34B78"/>
    <w:rsid w:val="00C401CE"/>
    <w:rsid w:val="00C40D35"/>
    <w:rsid w:val="00C41270"/>
    <w:rsid w:val="00C42CCF"/>
    <w:rsid w:val="00C44352"/>
    <w:rsid w:val="00C46A69"/>
    <w:rsid w:val="00C46DAA"/>
    <w:rsid w:val="00C52563"/>
    <w:rsid w:val="00C54BB2"/>
    <w:rsid w:val="00C600E0"/>
    <w:rsid w:val="00C601B0"/>
    <w:rsid w:val="00C61F47"/>
    <w:rsid w:val="00C62D5D"/>
    <w:rsid w:val="00C635EB"/>
    <w:rsid w:val="00C6779E"/>
    <w:rsid w:val="00C70412"/>
    <w:rsid w:val="00C709C6"/>
    <w:rsid w:val="00C740E9"/>
    <w:rsid w:val="00C7414A"/>
    <w:rsid w:val="00C74F3E"/>
    <w:rsid w:val="00C762BE"/>
    <w:rsid w:val="00C8138B"/>
    <w:rsid w:val="00C829B7"/>
    <w:rsid w:val="00C82AFB"/>
    <w:rsid w:val="00C8356A"/>
    <w:rsid w:val="00C84E2D"/>
    <w:rsid w:val="00C87A52"/>
    <w:rsid w:val="00C90700"/>
    <w:rsid w:val="00C92B07"/>
    <w:rsid w:val="00C939E0"/>
    <w:rsid w:val="00C960E2"/>
    <w:rsid w:val="00C96974"/>
    <w:rsid w:val="00C97F24"/>
    <w:rsid w:val="00CA0E0F"/>
    <w:rsid w:val="00CA13C5"/>
    <w:rsid w:val="00CA4545"/>
    <w:rsid w:val="00CA5CE2"/>
    <w:rsid w:val="00CA5D28"/>
    <w:rsid w:val="00CA6F98"/>
    <w:rsid w:val="00CA7CDE"/>
    <w:rsid w:val="00CB005F"/>
    <w:rsid w:val="00CB2432"/>
    <w:rsid w:val="00CB3F7F"/>
    <w:rsid w:val="00CB492D"/>
    <w:rsid w:val="00CB4A44"/>
    <w:rsid w:val="00CB598F"/>
    <w:rsid w:val="00CC2A63"/>
    <w:rsid w:val="00CC42E3"/>
    <w:rsid w:val="00CC53FD"/>
    <w:rsid w:val="00CC5DB1"/>
    <w:rsid w:val="00CC5FCD"/>
    <w:rsid w:val="00CC735D"/>
    <w:rsid w:val="00CC77EC"/>
    <w:rsid w:val="00CD32A0"/>
    <w:rsid w:val="00CD4C9F"/>
    <w:rsid w:val="00CD6727"/>
    <w:rsid w:val="00CD72EB"/>
    <w:rsid w:val="00CE0FB8"/>
    <w:rsid w:val="00CE432B"/>
    <w:rsid w:val="00CF0465"/>
    <w:rsid w:val="00CF1A58"/>
    <w:rsid w:val="00CF231D"/>
    <w:rsid w:val="00CF3665"/>
    <w:rsid w:val="00CF3E51"/>
    <w:rsid w:val="00CF407B"/>
    <w:rsid w:val="00CF4501"/>
    <w:rsid w:val="00CF4A6F"/>
    <w:rsid w:val="00D010FB"/>
    <w:rsid w:val="00D0260B"/>
    <w:rsid w:val="00D059BE"/>
    <w:rsid w:val="00D05B5D"/>
    <w:rsid w:val="00D1050C"/>
    <w:rsid w:val="00D106A4"/>
    <w:rsid w:val="00D1219E"/>
    <w:rsid w:val="00D12FD9"/>
    <w:rsid w:val="00D1447B"/>
    <w:rsid w:val="00D1513B"/>
    <w:rsid w:val="00D16383"/>
    <w:rsid w:val="00D165C3"/>
    <w:rsid w:val="00D22C5E"/>
    <w:rsid w:val="00D22D61"/>
    <w:rsid w:val="00D23A28"/>
    <w:rsid w:val="00D24687"/>
    <w:rsid w:val="00D24C7B"/>
    <w:rsid w:val="00D25B44"/>
    <w:rsid w:val="00D26D7C"/>
    <w:rsid w:val="00D27FCA"/>
    <w:rsid w:val="00D307C3"/>
    <w:rsid w:val="00D3312B"/>
    <w:rsid w:val="00D349DE"/>
    <w:rsid w:val="00D353CE"/>
    <w:rsid w:val="00D43A29"/>
    <w:rsid w:val="00D442B9"/>
    <w:rsid w:val="00D45FC7"/>
    <w:rsid w:val="00D46925"/>
    <w:rsid w:val="00D474AA"/>
    <w:rsid w:val="00D513AD"/>
    <w:rsid w:val="00D5269D"/>
    <w:rsid w:val="00D5281B"/>
    <w:rsid w:val="00D53269"/>
    <w:rsid w:val="00D54B26"/>
    <w:rsid w:val="00D557ED"/>
    <w:rsid w:val="00D56647"/>
    <w:rsid w:val="00D6225F"/>
    <w:rsid w:val="00D625E0"/>
    <w:rsid w:val="00D6537D"/>
    <w:rsid w:val="00D6585C"/>
    <w:rsid w:val="00D66FA7"/>
    <w:rsid w:val="00D73323"/>
    <w:rsid w:val="00D73A43"/>
    <w:rsid w:val="00D74F64"/>
    <w:rsid w:val="00D7557E"/>
    <w:rsid w:val="00D75B7C"/>
    <w:rsid w:val="00D802EB"/>
    <w:rsid w:val="00D822DF"/>
    <w:rsid w:val="00D83268"/>
    <w:rsid w:val="00D84AAA"/>
    <w:rsid w:val="00D85272"/>
    <w:rsid w:val="00D86C2F"/>
    <w:rsid w:val="00D92449"/>
    <w:rsid w:val="00D94FBA"/>
    <w:rsid w:val="00DA00F5"/>
    <w:rsid w:val="00DA4440"/>
    <w:rsid w:val="00DA5A6A"/>
    <w:rsid w:val="00DA73DE"/>
    <w:rsid w:val="00DB14D0"/>
    <w:rsid w:val="00DB3AEF"/>
    <w:rsid w:val="00DB46C0"/>
    <w:rsid w:val="00DB55E2"/>
    <w:rsid w:val="00DB574E"/>
    <w:rsid w:val="00DB696B"/>
    <w:rsid w:val="00DB7273"/>
    <w:rsid w:val="00DC1AB1"/>
    <w:rsid w:val="00DC3D34"/>
    <w:rsid w:val="00DC466B"/>
    <w:rsid w:val="00DC48BC"/>
    <w:rsid w:val="00DC497F"/>
    <w:rsid w:val="00DC4F72"/>
    <w:rsid w:val="00DC5888"/>
    <w:rsid w:val="00DD0494"/>
    <w:rsid w:val="00DD3960"/>
    <w:rsid w:val="00DD4BF7"/>
    <w:rsid w:val="00DD662F"/>
    <w:rsid w:val="00DD6FAA"/>
    <w:rsid w:val="00DE04B5"/>
    <w:rsid w:val="00DE0E5E"/>
    <w:rsid w:val="00DE1F37"/>
    <w:rsid w:val="00DE2319"/>
    <w:rsid w:val="00DE2A8A"/>
    <w:rsid w:val="00DE72EA"/>
    <w:rsid w:val="00DF3CE6"/>
    <w:rsid w:val="00DF7334"/>
    <w:rsid w:val="00E01172"/>
    <w:rsid w:val="00E042DE"/>
    <w:rsid w:val="00E10CA1"/>
    <w:rsid w:val="00E133EB"/>
    <w:rsid w:val="00E14EE8"/>
    <w:rsid w:val="00E15E7D"/>
    <w:rsid w:val="00E17A47"/>
    <w:rsid w:val="00E20503"/>
    <w:rsid w:val="00E20558"/>
    <w:rsid w:val="00E224B5"/>
    <w:rsid w:val="00E23B70"/>
    <w:rsid w:val="00E267CA"/>
    <w:rsid w:val="00E273CE"/>
    <w:rsid w:val="00E312E8"/>
    <w:rsid w:val="00E324BC"/>
    <w:rsid w:val="00E3653D"/>
    <w:rsid w:val="00E438CA"/>
    <w:rsid w:val="00E45668"/>
    <w:rsid w:val="00E45FB6"/>
    <w:rsid w:val="00E4780F"/>
    <w:rsid w:val="00E53753"/>
    <w:rsid w:val="00E54B30"/>
    <w:rsid w:val="00E54E14"/>
    <w:rsid w:val="00E56CDA"/>
    <w:rsid w:val="00E57F33"/>
    <w:rsid w:val="00E6079B"/>
    <w:rsid w:val="00E60962"/>
    <w:rsid w:val="00E615F8"/>
    <w:rsid w:val="00E63CF3"/>
    <w:rsid w:val="00E64EA4"/>
    <w:rsid w:val="00E7209C"/>
    <w:rsid w:val="00E73C6C"/>
    <w:rsid w:val="00E74EA2"/>
    <w:rsid w:val="00E77B69"/>
    <w:rsid w:val="00E80B03"/>
    <w:rsid w:val="00E81508"/>
    <w:rsid w:val="00E83BB1"/>
    <w:rsid w:val="00E869D3"/>
    <w:rsid w:val="00E873D3"/>
    <w:rsid w:val="00E9067B"/>
    <w:rsid w:val="00E926D1"/>
    <w:rsid w:val="00E9399E"/>
    <w:rsid w:val="00E939BE"/>
    <w:rsid w:val="00E96F21"/>
    <w:rsid w:val="00EA13CD"/>
    <w:rsid w:val="00EA2E52"/>
    <w:rsid w:val="00EA37A7"/>
    <w:rsid w:val="00EB21BF"/>
    <w:rsid w:val="00EB53CB"/>
    <w:rsid w:val="00EB61A0"/>
    <w:rsid w:val="00EC0CEB"/>
    <w:rsid w:val="00EC106B"/>
    <w:rsid w:val="00EC187E"/>
    <w:rsid w:val="00EC6278"/>
    <w:rsid w:val="00ED0B20"/>
    <w:rsid w:val="00ED0C69"/>
    <w:rsid w:val="00ED1A4F"/>
    <w:rsid w:val="00ED1D45"/>
    <w:rsid w:val="00ED3017"/>
    <w:rsid w:val="00ED3548"/>
    <w:rsid w:val="00ED3A02"/>
    <w:rsid w:val="00ED3AB0"/>
    <w:rsid w:val="00ED424A"/>
    <w:rsid w:val="00ED446D"/>
    <w:rsid w:val="00ED56C7"/>
    <w:rsid w:val="00ED5C0A"/>
    <w:rsid w:val="00ED6AA4"/>
    <w:rsid w:val="00ED7356"/>
    <w:rsid w:val="00ED75C8"/>
    <w:rsid w:val="00EE3ECF"/>
    <w:rsid w:val="00EE55F8"/>
    <w:rsid w:val="00EE60D1"/>
    <w:rsid w:val="00EE68DA"/>
    <w:rsid w:val="00EF3714"/>
    <w:rsid w:val="00EF4A99"/>
    <w:rsid w:val="00EF5539"/>
    <w:rsid w:val="00EF61BE"/>
    <w:rsid w:val="00F0034E"/>
    <w:rsid w:val="00F01951"/>
    <w:rsid w:val="00F065ED"/>
    <w:rsid w:val="00F077D1"/>
    <w:rsid w:val="00F07B60"/>
    <w:rsid w:val="00F11157"/>
    <w:rsid w:val="00F11A8E"/>
    <w:rsid w:val="00F14970"/>
    <w:rsid w:val="00F14CAE"/>
    <w:rsid w:val="00F14F6A"/>
    <w:rsid w:val="00F15246"/>
    <w:rsid w:val="00F152AD"/>
    <w:rsid w:val="00F1544B"/>
    <w:rsid w:val="00F1593B"/>
    <w:rsid w:val="00F25183"/>
    <w:rsid w:val="00F32C69"/>
    <w:rsid w:val="00F34493"/>
    <w:rsid w:val="00F34A58"/>
    <w:rsid w:val="00F34AC9"/>
    <w:rsid w:val="00F34BD4"/>
    <w:rsid w:val="00F3544D"/>
    <w:rsid w:val="00F35A53"/>
    <w:rsid w:val="00F3711B"/>
    <w:rsid w:val="00F37884"/>
    <w:rsid w:val="00F4062E"/>
    <w:rsid w:val="00F40D7B"/>
    <w:rsid w:val="00F41A73"/>
    <w:rsid w:val="00F430DC"/>
    <w:rsid w:val="00F47799"/>
    <w:rsid w:val="00F53663"/>
    <w:rsid w:val="00F53F51"/>
    <w:rsid w:val="00F5568A"/>
    <w:rsid w:val="00F561F9"/>
    <w:rsid w:val="00F57B63"/>
    <w:rsid w:val="00F62DEB"/>
    <w:rsid w:val="00F6387B"/>
    <w:rsid w:val="00F63EAE"/>
    <w:rsid w:val="00F64953"/>
    <w:rsid w:val="00F649D5"/>
    <w:rsid w:val="00F707C8"/>
    <w:rsid w:val="00F714FC"/>
    <w:rsid w:val="00F721EE"/>
    <w:rsid w:val="00F73DDE"/>
    <w:rsid w:val="00F758DC"/>
    <w:rsid w:val="00F775EA"/>
    <w:rsid w:val="00F77955"/>
    <w:rsid w:val="00F77C02"/>
    <w:rsid w:val="00F8189A"/>
    <w:rsid w:val="00F92708"/>
    <w:rsid w:val="00F932E3"/>
    <w:rsid w:val="00FA05D7"/>
    <w:rsid w:val="00FA29F5"/>
    <w:rsid w:val="00FA2C84"/>
    <w:rsid w:val="00FA61EC"/>
    <w:rsid w:val="00FA794D"/>
    <w:rsid w:val="00FB1B20"/>
    <w:rsid w:val="00FB2CEB"/>
    <w:rsid w:val="00FB43ED"/>
    <w:rsid w:val="00FB5D17"/>
    <w:rsid w:val="00FC190C"/>
    <w:rsid w:val="00FC2600"/>
    <w:rsid w:val="00FC4631"/>
    <w:rsid w:val="00FD1148"/>
    <w:rsid w:val="00FD411D"/>
    <w:rsid w:val="00FD4F7A"/>
    <w:rsid w:val="00FD5859"/>
    <w:rsid w:val="00FE0740"/>
    <w:rsid w:val="00FE2183"/>
    <w:rsid w:val="00FE24FC"/>
    <w:rsid w:val="00FE4752"/>
    <w:rsid w:val="00FE4AD2"/>
    <w:rsid w:val="00FE5B55"/>
    <w:rsid w:val="00FF1774"/>
    <w:rsid w:val="00FF1F7B"/>
    <w:rsid w:val="00FF3BC7"/>
    <w:rsid w:val="00FF40DB"/>
    <w:rsid w:val="00FF572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D6EC6"/>
  <w15:chartTrackingRefBased/>
  <w15:docId w15:val="{39C62E60-F0D6-4D0B-848B-E7395183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319C"/>
    <w:pPr>
      <w:jc w:val="both"/>
    </w:pPr>
    <w:rPr>
      <w:rFonts w:ascii="Lato" w:hAnsi="Lato"/>
      <w:sz w:val="20"/>
    </w:rPr>
  </w:style>
  <w:style w:type="paragraph" w:styleId="Nagwek1">
    <w:name w:val="heading 1"/>
    <w:basedOn w:val="Normalny"/>
    <w:next w:val="Normalny"/>
    <w:link w:val="Nagwek1Znak"/>
    <w:uiPriority w:val="9"/>
    <w:qFormat/>
    <w:rsid w:val="00805E07"/>
    <w:pPr>
      <w:keepNext/>
      <w:keepLines/>
      <w:numPr>
        <w:numId w:val="1"/>
      </w:numPr>
      <w:spacing w:before="240" w:after="360" w:line="240" w:lineRule="auto"/>
      <w:jc w:val="left"/>
      <w:outlineLvl w:val="0"/>
    </w:pPr>
    <w:rPr>
      <w:rFonts w:ascii="Bahnschrift" w:eastAsiaTheme="majorEastAsia" w:hAnsi="Bahnschrift" w:cstheme="majorBidi"/>
      <w:b/>
      <w:sz w:val="40"/>
      <w:szCs w:val="32"/>
    </w:rPr>
  </w:style>
  <w:style w:type="paragraph" w:styleId="Nagwek2">
    <w:name w:val="heading 2"/>
    <w:basedOn w:val="Normalny"/>
    <w:next w:val="Normalny"/>
    <w:link w:val="Nagwek2Znak"/>
    <w:uiPriority w:val="9"/>
    <w:unhideWhenUsed/>
    <w:qFormat/>
    <w:rsid w:val="00805E07"/>
    <w:pPr>
      <w:keepNext/>
      <w:keepLines/>
      <w:numPr>
        <w:ilvl w:val="1"/>
        <w:numId w:val="1"/>
      </w:numPr>
      <w:spacing w:before="240" w:after="360"/>
      <w:jc w:val="left"/>
      <w:outlineLvl w:val="1"/>
    </w:pPr>
    <w:rPr>
      <w:rFonts w:ascii="Bahnschrift" w:eastAsiaTheme="majorEastAsia" w:hAnsi="Bahnschrift" w:cstheme="majorBidi"/>
      <w:b/>
      <w:sz w:val="36"/>
      <w:szCs w:val="26"/>
    </w:rPr>
  </w:style>
  <w:style w:type="paragraph" w:styleId="Nagwek3">
    <w:name w:val="heading 3"/>
    <w:basedOn w:val="Normalny"/>
    <w:next w:val="Normalny"/>
    <w:link w:val="Nagwek3Znak"/>
    <w:uiPriority w:val="9"/>
    <w:unhideWhenUsed/>
    <w:qFormat/>
    <w:rsid w:val="00FD4F7A"/>
    <w:pPr>
      <w:keepNext/>
      <w:keepLines/>
      <w:numPr>
        <w:ilvl w:val="2"/>
        <w:numId w:val="1"/>
      </w:numPr>
      <w:spacing w:before="600" w:after="240"/>
      <w:jc w:val="left"/>
      <w:outlineLvl w:val="2"/>
    </w:pPr>
    <w:rPr>
      <w:rFonts w:ascii="Bahnschrift" w:eastAsiaTheme="majorEastAsia" w:hAnsi="Bahnschrift" w:cstheme="majorBidi"/>
      <w:b/>
      <w:sz w:val="32"/>
      <w:szCs w:val="24"/>
    </w:rPr>
  </w:style>
  <w:style w:type="paragraph" w:styleId="Nagwek4">
    <w:name w:val="heading 4"/>
    <w:basedOn w:val="Normalny"/>
    <w:next w:val="Normalny"/>
    <w:link w:val="Nagwek4Znak"/>
    <w:uiPriority w:val="9"/>
    <w:unhideWhenUsed/>
    <w:qFormat/>
    <w:rsid w:val="00FD4F7A"/>
    <w:pPr>
      <w:keepNext/>
      <w:keepLines/>
      <w:numPr>
        <w:ilvl w:val="3"/>
        <w:numId w:val="1"/>
      </w:numPr>
      <w:spacing w:before="360" w:after="240"/>
      <w:jc w:val="left"/>
      <w:outlineLvl w:val="3"/>
    </w:pPr>
    <w:rPr>
      <w:rFonts w:ascii="Bahnschrift" w:eastAsiaTheme="majorEastAsia" w:hAnsi="Bahnschrift" w:cstheme="majorBidi"/>
      <w:b/>
      <w:iCs/>
      <w:color w:val="2F5496" w:themeColor="accent1" w:themeShade="BF"/>
      <w:sz w:val="22"/>
    </w:rPr>
  </w:style>
  <w:style w:type="paragraph" w:styleId="Nagwek5">
    <w:name w:val="heading 5"/>
    <w:basedOn w:val="Normalny"/>
    <w:next w:val="Normalny"/>
    <w:link w:val="Nagwek5Znak"/>
    <w:uiPriority w:val="9"/>
    <w:semiHidden/>
    <w:unhideWhenUsed/>
    <w:qFormat/>
    <w:rsid w:val="00D05B5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D05B5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D05B5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D05B5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D05B5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5E07"/>
    <w:rPr>
      <w:rFonts w:ascii="Bahnschrift" w:eastAsiaTheme="majorEastAsia" w:hAnsi="Bahnschrift" w:cstheme="majorBidi"/>
      <w:b/>
      <w:sz w:val="40"/>
      <w:szCs w:val="32"/>
    </w:rPr>
  </w:style>
  <w:style w:type="character" w:customStyle="1" w:styleId="Nagwek2Znak">
    <w:name w:val="Nagłówek 2 Znak"/>
    <w:basedOn w:val="Domylnaczcionkaakapitu"/>
    <w:link w:val="Nagwek2"/>
    <w:uiPriority w:val="9"/>
    <w:rsid w:val="00805E07"/>
    <w:rPr>
      <w:rFonts w:ascii="Bahnschrift" w:eastAsiaTheme="majorEastAsia" w:hAnsi="Bahnschrift" w:cstheme="majorBidi"/>
      <w:b/>
      <w:sz w:val="36"/>
      <w:szCs w:val="26"/>
    </w:rPr>
  </w:style>
  <w:style w:type="character" w:customStyle="1" w:styleId="Nagwek3Znak">
    <w:name w:val="Nagłówek 3 Znak"/>
    <w:basedOn w:val="Domylnaczcionkaakapitu"/>
    <w:link w:val="Nagwek3"/>
    <w:uiPriority w:val="9"/>
    <w:rsid w:val="00FD4F7A"/>
    <w:rPr>
      <w:rFonts w:ascii="Bahnschrift" w:eastAsiaTheme="majorEastAsia" w:hAnsi="Bahnschrift" w:cstheme="majorBidi"/>
      <w:b/>
      <w:sz w:val="32"/>
      <w:szCs w:val="24"/>
    </w:rPr>
  </w:style>
  <w:style w:type="character" w:customStyle="1" w:styleId="Nagwek4Znak">
    <w:name w:val="Nagłówek 4 Znak"/>
    <w:basedOn w:val="Domylnaczcionkaakapitu"/>
    <w:link w:val="Nagwek4"/>
    <w:uiPriority w:val="9"/>
    <w:rsid w:val="00FD4F7A"/>
    <w:rPr>
      <w:rFonts w:ascii="Bahnschrift" w:eastAsiaTheme="majorEastAsia" w:hAnsi="Bahnschrift" w:cstheme="majorBidi"/>
      <w:b/>
      <w:iCs/>
      <w:color w:val="2F5496" w:themeColor="accent1" w:themeShade="BF"/>
    </w:rPr>
  </w:style>
  <w:style w:type="table" w:styleId="Tabela-Siatka">
    <w:name w:val="Table Grid"/>
    <w:basedOn w:val="Standardowy"/>
    <w:uiPriority w:val="39"/>
    <w:rsid w:val="0069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C06035"/>
    <w:pPr>
      <w:tabs>
        <w:tab w:val="left" w:pos="440"/>
        <w:tab w:val="right" w:leader="dot" w:pos="9062"/>
      </w:tabs>
      <w:spacing w:after="100"/>
      <w:ind w:left="426" w:hanging="426"/>
      <w:jc w:val="left"/>
    </w:pPr>
    <w:rPr>
      <w:rFonts w:ascii="Bahnschrift" w:hAnsi="Bahnschrift"/>
      <w:sz w:val="22"/>
    </w:rPr>
  </w:style>
  <w:style w:type="character" w:styleId="Odwoaniedokomentarza">
    <w:name w:val="annotation reference"/>
    <w:basedOn w:val="Domylnaczcionkaakapitu"/>
    <w:uiPriority w:val="99"/>
    <w:semiHidden/>
    <w:unhideWhenUsed/>
    <w:rsid w:val="0060410E"/>
    <w:rPr>
      <w:sz w:val="16"/>
      <w:szCs w:val="16"/>
    </w:rPr>
  </w:style>
  <w:style w:type="paragraph" w:styleId="Tekstkomentarza">
    <w:name w:val="annotation text"/>
    <w:basedOn w:val="Normalny"/>
    <w:link w:val="TekstkomentarzaZnak"/>
    <w:uiPriority w:val="99"/>
    <w:unhideWhenUsed/>
    <w:rsid w:val="0060410E"/>
    <w:pPr>
      <w:spacing w:line="240" w:lineRule="auto"/>
    </w:pPr>
    <w:rPr>
      <w:szCs w:val="20"/>
    </w:rPr>
  </w:style>
  <w:style w:type="character" w:customStyle="1" w:styleId="TekstkomentarzaZnak">
    <w:name w:val="Tekst komentarza Znak"/>
    <w:basedOn w:val="Domylnaczcionkaakapitu"/>
    <w:link w:val="Tekstkomentarza"/>
    <w:uiPriority w:val="99"/>
    <w:rsid w:val="0060410E"/>
    <w:rPr>
      <w:rFonts w:ascii="Lato" w:hAnsi="Lato"/>
      <w:sz w:val="20"/>
      <w:szCs w:val="20"/>
    </w:rPr>
  </w:style>
  <w:style w:type="paragraph" w:styleId="Tematkomentarza">
    <w:name w:val="annotation subject"/>
    <w:basedOn w:val="Tekstkomentarza"/>
    <w:next w:val="Tekstkomentarza"/>
    <w:link w:val="TematkomentarzaZnak"/>
    <w:uiPriority w:val="99"/>
    <w:semiHidden/>
    <w:unhideWhenUsed/>
    <w:rsid w:val="0060410E"/>
    <w:rPr>
      <w:b/>
      <w:bCs/>
    </w:rPr>
  </w:style>
  <w:style w:type="character" w:customStyle="1" w:styleId="TematkomentarzaZnak">
    <w:name w:val="Temat komentarza Znak"/>
    <w:basedOn w:val="TekstkomentarzaZnak"/>
    <w:link w:val="Tematkomentarza"/>
    <w:uiPriority w:val="99"/>
    <w:semiHidden/>
    <w:rsid w:val="0060410E"/>
    <w:rPr>
      <w:rFonts w:ascii="Lato" w:hAnsi="Lato"/>
      <w:b/>
      <w:bCs/>
      <w:sz w:val="20"/>
      <w:szCs w:val="20"/>
    </w:rPr>
  </w:style>
  <w:style w:type="character" w:styleId="Uwydatnienie">
    <w:name w:val="Emphasis"/>
    <w:basedOn w:val="Domylnaczcionkaakapitu"/>
    <w:uiPriority w:val="20"/>
    <w:qFormat/>
    <w:rsid w:val="008F3871"/>
    <w:rPr>
      <w:i/>
      <w:iCs/>
    </w:rPr>
  </w:style>
  <w:style w:type="paragraph" w:customStyle="1" w:styleId="20181999">
    <w:name w:val="2018/1999"/>
    <w:basedOn w:val="Normalny"/>
    <w:link w:val="20181999Znak"/>
    <w:rsid w:val="002B5CFB"/>
    <w:pPr>
      <w:shd w:val="clear" w:color="auto" w:fill="BDD6EE" w:themeFill="accent5" w:themeFillTint="66"/>
    </w:pPr>
    <w:rPr>
      <w:color w:val="595959" w:themeColor="text1" w:themeTint="A6"/>
    </w:rPr>
  </w:style>
  <w:style w:type="character" w:customStyle="1" w:styleId="20181999Znak">
    <w:name w:val="2018/1999 Znak"/>
    <w:basedOn w:val="Domylnaczcionkaakapitu"/>
    <w:link w:val="20181999"/>
    <w:rsid w:val="002B5CFB"/>
    <w:rPr>
      <w:rFonts w:ascii="Lato" w:hAnsi="Lato"/>
      <w:color w:val="595959" w:themeColor="text1" w:themeTint="A6"/>
      <w:shd w:val="clear" w:color="auto" w:fill="BDD6EE" w:themeFill="accent5" w:themeFillTint="66"/>
    </w:rPr>
  </w:style>
  <w:style w:type="paragraph" w:styleId="Nagwekspisutreci">
    <w:name w:val="TOC Heading"/>
    <w:basedOn w:val="Nagwek1"/>
    <w:next w:val="Normalny"/>
    <w:uiPriority w:val="39"/>
    <w:unhideWhenUsed/>
    <w:qFormat/>
    <w:rsid w:val="00BA46AC"/>
    <w:pPr>
      <w:spacing w:after="0"/>
      <w:outlineLvl w:val="9"/>
    </w:pPr>
    <w:rPr>
      <w:rFonts w:asciiTheme="majorHAnsi" w:hAnsiTheme="majorHAnsi"/>
      <w:b w:val="0"/>
      <w:kern w:val="0"/>
      <w:sz w:val="32"/>
      <w:lang w:eastAsia="pl-PL"/>
      <w14:ligatures w14:val="none"/>
    </w:rPr>
  </w:style>
  <w:style w:type="paragraph" w:styleId="Spistreci3">
    <w:name w:val="toc 3"/>
    <w:basedOn w:val="Normalny"/>
    <w:next w:val="Normalny"/>
    <w:autoRedefine/>
    <w:uiPriority w:val="39"/>
    <w:unhideWhenUsed/>
    <w:rsid w:val="00C06035"/>
    <w:pPr>
      <w:tabs>
        <w:tab w:val="left" w:pos="1560"/>
        <w:tab w:val="right" w:leader="dot" w:pos="9062"/>
      </w:tabs>
      <w:spacing w:after="100"/>
      <w:ind w:left="1418" w:hanging="567"/>
      <w:jc w:val="left"/>
    </w:pPr>
    <w:rPr>
      <w:rFonts w:ascii="Bahnschrift" w:hAnsi="Bahnschrift"/>
    </w:rPr>
  </w:style>
  <w:style w:type="paragraph" w:styleId="Spistreci2">
    <w:name w:val="toc 2"/>
    <w:basedOn w:val="Normalny"/>
    <w:next w:val="Normalny"/>
    <w:autoRedefine/>
    <w:uiPriority w:val="39"/>
    <w:unhideWhenUsed/>
    <w:rsid w:val="00D22D61"/>
    <w:pPr>
      <w:tabs>
        <w:tab w:val="left" w:pos="851"/>
        <w:tab w:val="right" w:leader="dot" w:pos="9062"/>
      </w:tabs>
      <w:spacing w:after="100"/>
      <w:ind w:left="851" w:hanging="425"/>
      <w:jc w:val="left"/>
    </w:pPr>
    <w:rPr>
      <w:rFonts w:ascii="Bahnschrift" w:hAnsi="Bahnschrift"/>
    </w:rPr>
  </w:style>
  <w:style w:type="character" w:styleId="Hipercze">
    <w:name w:val="Hyperlink"/>
    <w:basedOn w:val="Domylnaczcionkaakapitu"/>
    <w:uiPriority w:val="99"/>
    <w:unhideWhenUsed/>
    <w:rsid w:val="00BA46AC"/>
    <w:rPr>
      <w:color w:val="0563C1" w:themeColor="hyperlink"/>
      <w:u w:val="single"/>
    </w:rPr>
  </w:style>
  <w:style w:type="paragraph" w:styleId="Akapitzlist">
    <w:name w:val="List Paragraph"/>
    <w:aliases w:val="Dot pt,F5 List Paragraph,List Paragraph1,Recommendation,List Paragraph11,List Paragraph,Kolorowa lista — akcent 11,Akapit z listą1,Numerowanie,1 Akapit z listą,목록 단락,Akapit z listą11,Numbered Para 1,No Spacing1,List Paragraph Char Char Ch"/>
    <w:basedOn w:val="Normalny"/>
    <w:link w:val="AkapitzlistZnak"/>
    <w:uiPriority w:val="34"/>
    <w:qFormat/>
    <w:rsid w:val="00476378"/>
    <w:pPr>
      <w:ind w:left="720"/>
      <w:contextualSpacing/>
    </w:pPr>
  </w:style>
  <w:style w:type="paragraph" w:customStyle="1" w:styleId="tekstroboczy">
    <w:name w:val="tekst roboczy"/>
    <w:basedOn w:val="Normalny"/>
    <w:link w:val="tekstroboczyZnak"/>
    <w:rsid w:val="005F4621"/>
    <w:pPr>
      <w:shd w:val="clear" w:color="auto" w:fill="FFF2CC" w:themeFill="accent4" w:themeFillTint="33"/>
    </w:pPr>
    <w:rPr>
      <w:color w:val="660033"/>
    </w:rPr>
  </w:style>
  <w:style w:type="character" w:customStyle="1" w:styleId="tekstroboczyZnak">
    <w:name w:val="tekst roboczy Znak"/>
    <w:basedOn w:val="Domylnaczcionkaakapitu"/>
    <w:link w:val="tekstroboczy"/>
    <w:rsid w:val="005F4621"/>
    <w:rPr>
      <w:rFonts w:ascii="Lato" w:hAnsi="Lato"/>
      <w:color w:val="660033"/>
      <w:shd w:val="clear" w:color="auto" w:fill="FFF2CC" w:themeFill="accent4" w:themeFillTint="33"/>
    </w:rPr>
  </w:style>
  <w:style w:type="paragraph" w:styleId="Tekstprzypisukocowego">
    <w:name w:val="endnote text"/>
    <w:basedOn w:val="Normalny"/>
    <w:link w:val="TekstprzypisukocowegoZnak"/>
    <w:uiPriority w:val="99"/>
    <w:semiHidden/>
    <w:unhideWhenUsed/>
    <w:rsid w:val="003772B3"/>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3772B3"/>
    <w:rPr>
      <w:rFonts w:ascii="Lato" w:hAnsi="Lato"/>
      <w:sz w:val="20"/>
      <w:szCs w:val="20"/>
    </w:rPr>
  </w:style>
  <w:style w:type="character" w:styleId="Odwoanieprzypisukocowego">
    <w:name w:val="endnote reference"/>
    <w:basedOn w:val="Domylnaczcionkaakapitu"/>
    <w:uiPriority w:val="99"/>
    <w:semiHidden/>
    <w:unhideWhenUsed/>
    <w:rsid w:val="003772B3"/>
    <w:rPr>
      <w:vertAlign w:val="superscript"/>
    </w:rPr>
  </w:style>
  <w:style w:type="paragraph" w:styleId="Tekstprzypisudolnego">
    <w:name w:val="footnote text"/>
    <w:aliases w:val="Footnote,IFZ f,Fußnote,-E Fußnotentext,Fußnotentext Ursprung,-E Fuﬂnotentext,Fuﬂnotentext Ursprung,Podrozdział,Przypis,Tekst przypisu,Fußnotentextf,Footnote text,fn,Schriftart: 9 pt,Schriftart: 10 pt,Schriftart: 8 pt,WB-Fußnotente"/>
    <w:basedOn w:val="Normalny"/>
    <w:link w:val="TekstprzypisudolnegoZnak"/>
    <w:uiPriority w:val="99"/>
    <w:semiHidden/>
    <w:unhideWhenUsed/>
    <w:rsid w:val="00F775EA"/>
    <w:pPr>
      <w:spacing w:after="0" w:line="240" w:lineRule="auto"/>
    </w:pPr>
    <w:rPr>
      <w:szCs w:val="20"/>
    </w:rPr>
  </w:style>
  <w:style w:type="character" w:customStyle="1" w:styleId="TekstprzypisudolnegoZnak">
    <w:name w:val="Tekst przypisu dolnego Znak"/>
    <w:aliases w:val="Footnote Znak,IFZ f Znak,Fußnote Znak,-E Fußnotentext Znak,Fußnotentext Ursprung Znak,-E Fuﬂnotentext Znak,Fuﬂnotentext Ursprung Znak,Podrozdział Znak,Przypis Znak,Tekst przypisu Znak,Fußnotentextf Znak,Footnote text Znak"/>
    <w:basedOn w:val="Domylnaczcionkaakapitu"/>
    <w:link w:val="Tekstprzypisudolnego"/>
    <w:uiPriority w:val="99"/>
    <w:semiHidden/>
    <w:rsid w:val="00F775EA"/>
    <w:rPr>
      <w:rFonts w:ascii="Lato" w:hAnsi="Lato"/>
      <w:sz w:val="20"/>
      <w:szCs w:val="20"/>
    </w:rPr>
  </w:style>
  <w:style w:type="character" w:styleId="Odwoanieprzypisudolnego">
    <w:name w:val="footnote reference"/>
    <w:aliases w:val="Footnote number,-E Fußnotenzeichen,SUPERS,Footnote Reference Superscript,BVI fnr,Footnote symbol,(Footnote Reference),Footnote reference number,note TESI,EN Footnote Reference,Voetnootverwijzing,Times 10 Point,Exposant 3 Point"/>
    <w:basedOn w:val="Domylnaczcionkaakapitu"/>
    <w:uiPriority w:val="99"/>
    <w:unhideWhenUsed/>
    <w:rsid w:val="00F775EA"/>
    <w:rPr>
      <w:vertAlign w:val="superscript"/>
    </w:rPr>
  </w:style>
  <w:style w:type="paragraph" w:styleId="Tekstpodstawowy">
    <w:name w:val="Body Text"/>
    <w:basedOn w:val="Normalny"/>
    <w:link w:val="TekstpodstawowyZnak"/>
    <w:uiPriority w:val="99"/>
    <w:semiHidden/>
    <w:unhideWhenUsed/>
    <w:rsid w:val="00136584"/>
    <w:pPr>
      <w:spacing w:after="120"/>
    </w:pPr>
  </w:style>
  <w:style w:type="paragraph" w:customStyle="1" w:styleId="odesaniedoza">
    <w:name w:val="odesłanie do zał"/>
    <w:basedOn w:val="Normalny"/>
    <w:link w:val="odesaniedozaZnak"/>
    <w:qFormat/>
    <w:rsid w:val="00FE4752"/>
    <w:pPr>
      <w:spacing w:before="120"/>
    </w:pPr>
    <w:rPr>
      <w:color w:val="808080" w:themeColor="background1" w:themeShade="80"/>
    </w:rPr>
  </w:style>
  <w:style w:type="character" w:customStyle="1" w:styleId="odesaniedozaZnak">
    <w:name w:val="odesłanie do zał Znak"/>
    <w:basedOn w:val="Domylnaczcionkaakapitu"/>
    <w:link w:val="odesaniedoza"/>
    <w:rsid w:val="00FE4752"/>
    <w:rPr>
      <w:rFonts w:ascii="Lato" w:hAnsi="Lato"/>
      <w:color w:val="808080" w:themeColor="background1" w:themeShade="80"/>
      <w:sz w:val="20"/>
    </w:rPr>
  </w:style>
  <w:style w:type="paragraph" w:customStyle="1" w:styleId="Przypisy">
    <w:name w:val="Przypisy"/>
    <w:basedOn w:val="Bezodstpw"/>
    <w:link w:val="PrzypisyZnak"/>
    <w:autoRedefine/>
    <w:qFormat/>
    <w:rsid w:val="00783334"/>
    <w:pPr>
      <w:spacing w:after="20"/>
    </w:pPr>
    <w:rPr>
      <w:rFonts w:ascii="Lato" w:eastAsia="Calibri" w:hAnsi="Lato" w:cs="Times New Roman"/>
      <w:sz w:val="18"/>
      <w:szCs w:val="18"/>
    </w:rPr>
  </w:style>
  <w:style w:type="character" w:customStyle="1" w:styleId="PrzypisyZnak">
    <w:name w:val="Przypisy Znak"/>
    <w:basedOn w:val="Domylnaczcionkaakapitu"/>
    <w:link w:val="Przypisy"/>
    <w:rsid w:val="00783334"/>
    <w:rPr>
      <w:rFonts w:ascii="Lato" w:eastAsia="Calibri" w:hAnsi="Lato" w:cs="Times New Roman"/>
      <w:kern w:val="0"/>
      <w:sz w:val="18"/>
      <w:szCs w:val="18"/>
      <w14:ligatures w14:val="none"/>
    </w:rPr>
  </w:style>
  <w:style w:type="paragraph" w:styleId="Bezodstpw">
    <w:name w:val="No Spacing"/>
    <w:link w:val="BezodstpwZnak"/>
    <w:autoRedefine/>
    <w:uiPriority w:val="1"/>
    <w:qFormat/>
    <w:rsid w:val="001E75C1"/>
    <w:pPr>
      <w:spacing w:after="0"/>
      <w:ind w:left="43" w:firstLine="79"/>
      <w:jc w:val="both"/>
    </w:pPr>
    <w:rPr>
      <w:rFonts w:cs="Calibri"/>
      <w:kern w:val="0"/>
      <w14:ligatures w14:val="none"/>
    </w:rPr>
  </w:style>
  <w:style w:type="character" w:customStyle="1" w:styleId="BezodstpwZnak">
    <w:name w:val="Bez odstępów Znak"/>
    <w:basedOn w:val="Domylnaczcionkaakapitu"/>
    <w:link w:val="Bezodstpw"/>
    <w:uiPriority w:val="1"/>
    <w:rsid w:val="001E75C1"/>
    <w:rPr>
      <w:rFonts w:cs="Calibri"/>
      <w:kern w:val="0"/>
      <w14:ligatures w14:val="none"/>
    </w:rPr>
  </w:style>
  <w:style w:type="paragraph" w:styleId="Nagwek">
    <w:name w:val="header"/>
    <w:basedOn w:val="Normalny"/>
    <w:link w:val="NagwekZnak"/>
    <w:uiPriority w:val="99"/>
    <w:unhideWhenUsed/>
    <w:rsid w:val="00D924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2449"/>
    <w:rPr>
      <w:rFonts w:ascii="Lato" w:hAnsi="Lato"/>
    </w:rPr>
  </w:style>
  <w:style w:type="paragraph" w:styleId="Stopka">
    <w:name w:val="footer"/>
    <w:basedOn w:val="Normalny"/>
    <w:link w:val="StopkaZnak"/>
    <w:uiPriority w:val="99"/>
    <w:unhideWhenUsed/>
    <w:rsid w:val="00D924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2449"/>
    <w:rPr>
      <w:rFonts w:ascii="Lato" w:hAnsi="Lato"/>
    </w:rPr>
  </w:style>
  <w:style w:type="character" w:customStyle="1" w:styleId="Nagwek5Znak">
    <w:name w:val="Nagłówek 5 Znak"/>
    <w:basedOn w:val="Domylnaczcionkaakapitu"/>
    <w:link w:val="Nagwek5"/>
    <w:uiPriority w:val="9"/>
    <w:semiHidden/>
    <w:rsid w:val="00D05B5D"/>
    <w:rPr>
      <w:rFonts w:asciiTheme="majorHAnsi" w:eastAsiaTheme="majorEastAsia" w:hAnsiTheme="majorHAnsi" w:cstheme="majorBidi"/>
      <w:color w:val="2F5496" w:themeColor="accent1" w:themeShade="BF"/>
      <w:sz w:val="20"/>
    </w:rPr>
  </w:style>
  <w:style w:type="character" w:customStyle="1" w:styleId="Nagwek6Znak">
    <w:name w:val="Nagłówek 6 Znak"/>
    <w:basedOn w:val="Domylnaczcionkaakapitu"/>
    <w:link w:val="Nagwek6"/>
    <w:uiPriority w:val="9"/>
    <w:semiHidden/>
    <w:rsid w:val="00D05B5D"/>
    <w:rPr>
      <w:rFonts w:asciiTheme="majorHAnsi" w:eastAsiaTheme="majorEastAsia" w:hAnsiTheme="majorHAnsi" w:cstheme="majorBidi"/>
      <w:color w:val="1F3763" w:themeColor="accent1" w:themeShade="7F"/>
      <w:sz w:val="20"/>
    </w:rPr>
  </w:style>
  <w:style w:type="character" w:customStyle="1" w:styleId="Nagwek7Znak">
    <w:name w:val="Nagłówek 7 Znak"/>
    <w:basedOn w:val="Domylnaczcionkaakapitu"/>
    <w:link w:val="Nagwek7"/>
    <w:uiPriority w:val="9"/>
    <w:semiHidden/>
    <w:rsid w:val="00D05B5D"/>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D05B5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D05B5D"/>
    <w:rPr>
      <w:rFonts w:asciiTheme="majorHAnsi" w:eastAsiaTheme="majorEastAsia" w:hAnsiTheme="majorHAnsi" w:cstheme="majorBidi"/>
      <w:i/>
      <w:iCs/>
      <w:color w:val="272727" w:themeColor="text1" w:themeTint="D8"/>
      <w:sz w:val="21"/>
      <w:szCs w:val="21"/>
    </w:rPr>
  </w:style>
  <w:style w:type="paragraph" w:customStyle="1" w:styleId="Cele">
    <w:name w:val="Cele"/>
    <w:basedOn w:val="Normalny"/>
    <w:link w:val="CeleZnak"/>
    <w:qFormat/>
    <w:rsid w:val="003C194F"/>
    <w:pPr>
      <w:pBdr>
        <w:top w:val="single" w:sz="24" w:space="2" w:color="F2F2F2" w:themeColor="background1" w:themeShade="F2"/>
        <w:left w:val="single" w:sz="24" w:space="4" w:color="F2F2F2" w:themeColor="background1" w:themeShade="F2"/>
        <w:bottom w:val="single" w:sz="24" w:space="2" w:color="F2F2F2" w:themeColor="background1" w:themeShade="F2"/>
        <w:right w:val="single" w:sz="24" w:space="4" w:color="F2F2F2" w:themeColor="background1" w:themeShade="F2"/>
      </w:pBdr>
      <w:shd w:val="clear" w:color="auto" w:fill="F2F2F2" w:themeFill="background1" w:themeFillShade="F2"/>
      <w:spacing w:before="160" w:after="360"/>
    </w:pPr>
    <w:rPr>
      <w:rFonts w:cs="Calibri"/>
    </w:rPr>
  </w:style>
  <w:style w:type="character" w:customStyle="1" w:styleId="CeleZnak">
    <w:name w:val="Cele Znak"/>
    <w:basedOn w:val="Domylnaczcionkaakapitu"/>
    <w:link w:val="Cele"/>
    <w:rsid w:val="003C194F"/>
    <w:rPr>
      <w:rFonts w:ascii="Lato" w:hAnsi="Lato" w:cs="Calibri"/>
      <w:shd w:val="clear" w:color="auto" w:fill="F2F2F2" w:themeFill="background1" w:themeFillShade="F2"/>
    </w:rPr>
  </w:style>
  <w:style w:type="paragraph" w:styleId="Poprawka">
    <w:name w:val="Revision"/>
    <w:hidden/>
    <w:uiPriority w:val="99"/>
    <w:semiHidden/>
    <w:rsid w:val="00AC61D8"/>
    <w:pPr>
      <w:spacing w:after="0" w:line="240" w:lineRule="auto"/>
    </w:pPr>
    <w:rPr>
      <w:rFonts w:ascii="Lato" w:hAnsi="Lato"/>
    </w:rPr>
  </w:style>
  <w:style w:type="paragraph" w:customStyle="1" w:styleId="Polityka">
    <w:name w:val="Polityka"/>
    <w:basedOn w:val="Normalny"/>
    <w:link w:val="PolitykaZnak"/>
    <w:qFormat/>
    <w:rsid w:val="00F6387B"/>
    <w:pPr>
      <w:keepNext/>
      <w:spacing w:before="400" w:after="80"/>
    </w:pPr>
    <w:rPr>
      <w:rFonts w:ascii="Bahnschrift" w:hAnsi="Bahnschrift"/>
      <w:b/>
      <w:bCs/>
      <w:sz w:val="32"/>
      <w:szCs w:val="32"/>
    </w:rPr>
  </w:style>
  <w:style w:type="character" w:customStyle="1" w:styleId="PolitykaZnak">
    <w:name w:val="Polityka Znak"/>
    <w:basedOn w:val="Domylnaczcionkaakapitu"/>
    <w:link w:val="Polityka"/>
    <w:rsid w:val="00F6387B"/>
    <w:rPr>
      <w:rFonts w:ascii="Bahnschrift" w:hAnsi="Bahnschrift"/>
      <w:b/>
      <w:bCs/>
      <w:sz w:val="32"/>
      <w:szCs w:val="32"/>
    </w:rPr>
  </w:style>
  <w:style w:type="character" w:styleId="Nierozpoznanawzmianka">
    <w:name w:val="Unresolved Mention"/>
    <w:basedOn w:val="Domylnaczcionkaakapitu"/>
    <w:uiPriority w:val="99"/>
    <w:semiHidden/>
    <w:unhideWhenUsed/>
    <w:rsid w:val="00AB47C0"/>
    <w:rPr>
      <w:color w:val="605E5C"/>
      <w:shd w:val="clear" w:color="auto" w:fill="E1DFDD"/>
    </w:rPr>
  </w:style>
  <w:style w:type="character" w:customStyle="1" w:styleId="TekstpodstawowyZnak">
    <w:name w:val="Tekst podstawowy Znak"/>
    <w:basedOn w:val="Domylnaczcionkaakapitu"/>
    <w:link w:val="Tekstpodstawowy"/>
    <w:uiPriority w:val="99"/>
    <w:semiHidden/>
    <w:rsid w:val="00136584"/>
    <w:rPr>
      <w:rFonts w:ascii="Lato" w:hAnsi="Lato"/>
    </w:rPr>
  </w:style>
  <w:style w:type="paragraph" w:customStyle="1" w:styleId="Ramka">
    <w:name w:val="Ramka"/>
    <w:basedOn w:val="Normalny"/>
    <w:link w:val="RamkaZnak"/>
    <w:qFormat/>
    <w:rsid w:val="00B64F0D"/>
    <w:pPr>
      <w:spacing w:after="120"/>
      <w:jc w:val="center"/>
    </w:pPr>
    <w:rPr>
      <w:color w:val="595959" w:themeColor="text1" w:themeTint="A6"/>
      <w:sz w:val="18"/>
      <w:szCs w:val="18"/>
    </w:rPr>
  </w:style>
  <w:style w:type="character" w:customStyle="1" w:styleId="RamkaZnak">
    <w:name w:val="Ramka Znak"/>
    <w:basedOn w:val="Domylnaczcionkaakapitu"/>
    <w:link w:val="Ramka"/>
    <w:rsid w:val="00B64F0D"/>
    <w:rPr>
      <w:rFonts w:ascii="Lato" w:hAnsi="Lato"/>
      <w:color w:val="595959" w:themeColor="text1" w:themeTint="A6"/>
      <w:sz w:val="18"/>
      <w:szCs w:val="18"/>
    </w:rPr>
  </w:style>
  <w:style w:type="paragraph" w:customStyle="1" w:styleId="pf0">
    <w:name w:val="pf0"/>
    <w:basedOn w:val="Normalny"/>
    <w:rsid w:val="00E45668"/>
    <w:pPr>
      <w:spacing w:before="100" w:beforeAutospacing="1" w:after="100" w:afterAutospacing="1" w:line="240" w:lineRule="auto"/>
      <w:jc w:val="left"/>
    </w:pPr>
    <w:rPr>
      <w:rFonts w:ascii="Times New Roman" w:eastAsia="Times New Roman" w:hAnsi="Times New Roman" w:cs="Times New Roman"/>
      <w:kern w:val="0"/>
      <w:sz w:val="24"/>
      <w:szCs w:val="24"/>
      <w:lang w:eastAsia="pl-PL"/>
      <w14:ligatures w14:val="none"/>
    </w:rPr>
  </w:style>
  <w:style w:type="character" w:customStyle="1" w:styleId="oj-sub">
    <w:name w:val="oj-sub"/>
    <w:basedOn w:val="Domylnaczcionkaakapitu"/>
    <w:rsid w:val="000E5C6F"/>
  </w:style>
  <w:style w:type="paragraph" w:styleId="Legenda">
    <w:name w:val="caption"/>
    <w:basedOn w:val="Normalny"/>
    <w:next w:val="Normalny"/>
    <w:link w:val="LegendaZnak"/>
    <w:uiPriority w:val="35"/>
    <w:unhideWhenUsed/>
    <w:qFormat/>
    <w:rsid w:val="00AC3E6C"/>
    <w:pPr>
      <w:spacing w:before="240" w:after="0" w:line="240" w:lineRule="auto"/>
      <w:jc w:val="center"/>
    </w:pPr>
    <w:rPr>
      <w:b/>
      <w:i/>
      <w:iCs/>
      <w:color w:val="44546A" w:themeColor="text2"/>
      <w:sz w:val="18"/>
      <w:szCs w:val="18"/>
    </w:rPr>
  </w:style>
  <w:style w:type="paragraph" w:styleId="Tytu">
    <w:name w:val="Title"/>
    <w:basedOn w:val="Normalny"/>
    <w:next w:val="Normalny"/>
    <w:link w:val="TytuZnak"/>
    <w:uiPriority w:val="10"/>
    <w:qFormat/>
    <w:rsid w:val="00BA64EC"/>
    <w:pPr>
      <w:spacing w:after="0" w:line="240" w:lineRule="auto"/>
      <w:contextualSpacing/>
      <w:jc w:val="left"/>
    </w:pPr>
    <w:rPr>
      <w:rFonts w:ascii="Bahnschrift" w:eastAsiaTheme="majorEastAsia" w:hAnsi="Bahnschrift" w:cstheme="majorBidi"/>
      <w:color w:val="FFFFFF" w:themeColor="background1"/>
      <w:spacing w:val="-10"/>
      <w:kern w:val="28"/>
      <w:sz w:val="56"/>
      <w:szCs w:val="56"/>
    </w:rPr>
  </w:style>
  <w:style w:type="character" w:customStyle="1" w:styleId="TytuZnak">
    <w:name w:val="Tytuł Znak"/>
    <w:basedOn w:val="Domylnaczcionkaakapitu"/>
    <w:link w:val="Tytu"/>
    <w:uiPriority w:val="10"/>
    <w:rsid w:val="00BA64EC"/>
    <w:rPr>
      <w:rFonts w:ascii="Bahnschrift" w:eastAsiaTheme="majorEastAsia" w:hAnsi="Bahnschrift" w:cstheme="majorBidi"/>
      <w:color w:val="FFFFFF" w:themeColor="background1"/>
      <w:spacing w:val="-10"/>
      <w:kern w:val="28"/>
      <w:sz w:val="56"/>
      <w:szCs w:val="56"/>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1 Akapit z listą Znak,목록 단락 Znak"/>
    <w:link w:val="Akapitzlist"/>
    <w:uiPriority w:val="34"/>
    <w:qFormat/>
    <w:locked/>
    <w:rsid w:val="005F740C"/>
    <w:rPr>
      <w:rFonts w:ascii="Lato" w:hAnsi="Lato"/>
      <w:sz w:val="20"/>
    </w:rPr>
  </w:style>
  <w:style w:type="paragraph" w:styleId="Spistreci4">
    <w:name w:val="toc 4"/>
    <w:basedOn w:val="Normalny"/>
    <w:next w:val="Normalny"/>
    <w:autoRedefine/>
    <w:uiPriority w:val="39"/>
    <w:unhideWhenUsed/>
    <w:rsid w:val="00955EE6"/>
    <w:pPr>
      <w:tabs>
        <w:tab w:val="left" w:pos="1418"/>
        <w:tab w:val="right" w:leader="dot" w:pos="9062"/>
      </w:tabs>
      <w:spacing w:after="100"/>
      <w:ind w:left="600"/>
    </w:pPr>
    <w:rPr>
      <w:rFonts w:ascii="Bahnschrift" w:hAnsi="Bahnschrift"/>
      <w:sz w:val="18"/>
    </w:rPr>
  </w:style>
  <w:style w:type="paragraph" w:styleId="Spistreci5">
    <w:name w:val="toc 5"/>
    <w:basedOn w:val="Normalny"/>
    <w:next w:val="Normalny"/>
    <w:autoRedefine/>
    <w:uiPriority w:val="39"/>
    <w:unhideWhenUsed/>
    <w:rsid w:val="00955EE6"/>
    <w:pPr>
      <w:spacing w:after="100"/>
      <w:ind w:left="880"/>
      <w:jc w:val="left"/>
    </w:pPr>
    <w:rPr>
      <w:rFonts w:asciiTheme="minorHAnsi" w:eastAsiaTheme="minorEastAsia" w:hAnsiTheme="minorHAnsi"/>
      <w:sz w:val="22"/>
      <w:lang w:eastAsia="pl-PL"/>
    </w:rPr>
  </w:style>
  <w:style w:type="paragraph" w:styleId="Spistreci6">
    <w:name w:val="toc 6"/>
    <w:basedOn w:val="Normalny"/>
    <w:next w:val="Normalny"/>
    <w:autoRedefine/>
    <w:uiPriority w:val="39"/>
    <w:unhideWhenUsed/>
    <w:rsid w:val="00955EE6"/>
    <w:pPr>
      <w:spacing w:after="100"/>
      <w:ind w:left="1100"/>
      <w:jc w:val="left"/>
    </w:pPr>
    <w:rPr>
      <w:rFonts w:asciiTheme="minorHAnsi" w:eastAsiaTheme="minorEastAsia" w:hAnsiTheme="minorHAnsi"/>
      <w:sz w:val="22"/>
      <w:lang w:eastAsia="pl-PL"/>
    </w:rPr>
  </w:style>
  <w:style w:type="paragraph" w:styleId="Spistreci7">
    <w:name w:val="toc 7"/>
    <w:basedOn w:val="Normalny"/>
    <w:next w:val="Normalny"/>
    <w:autoRedefine/>
    <w:uiPriority w:val="39"/>
    <w:unhideWhenUsed/>
    <w:rsid w:val="00955EE6"/>
    <w:pPr>
      <w:spacing w:after="100"/>
      <w:ind w:left="1320"/>
      <w:jc w:val="left"/>
    </w:pPr>
    <w:rPr>
      <w:rFonts w:asciiTheme="minorHAnsi" w:eastAsiaTheme="minorEastAsia" w:hAnsiTheme="minorHAnsi"/>
      <w:sz w:val="22"/>
      <w:lang w:eastAsia="pl-PL"/>
    </w:rPr>
  </w:style>
  <w:style w:type="paragraph" w:styleId="Spistreci8">
    <w:name w:val="toc 8"/>
    <w:basedOn w:val="Normalny"/>
    <w:next w:val="Normalny"/>
    <w:autoRedefine/>
    <w:uiPriority w:val="39"/>
    <w:unhideWhenUsed/>
    <w:rsid w:val="00955EE6"/>
    <w:pPr>
      <w:spacing w:after="100"/>
      <w:ind w:left="1540"/>
      <w:jc w:val="left"/>
    </w:pPr>
    <w:rPr>
      <w:rFonts w:asciiTheme="minorHAnsi" w:eastAsiaTheme="minorEastAsia" w:hAnsiTheme="minorHAnsi"/>
      <w:sz w:val="22"/>
      <w:lang w:eastAsia="pl-PL"/>
    </w:rPr>
  </w:style>
  <w:style w:type="paragraph" w:styleId="Spistreci9">
    <w:name w:val="toc 9"/>
    <w:basedOn w:val="Normalny"/>
    <w:next w:val="Normalny"/>
    <w:autoRedefine/>
    <w:uiPriority w:val="39"/>
    <w:unhideWhenUsed/>
    <w:rsid w:val="00955EE6"/>
    <w:pPr>
      <w:spacing w:after="100"/>
      <w:ind w:left="1760"/>
      <w:jc w:val="left"/>
    </w:pPr>
    <w:rPr>
      <w:rFonts w:asciiTheme="minorHAnsi" w:eastAsiaTheme="minorEastAsia" w:hAnsiTheme="minorHAnsi"/>
      <w:sz w:val="22"/>
      <w:lang w:eastAsia="pl-PL"/>
    </w:rPr>
  </w:style>
  <w:style w:type="character" w:customStyle="1" w:styleId="rynqvb">
    <w:name w:val="rynqvb"/>
    <w:basedOn w:val="Domylnaczcionkaakapitu"/>
    <w:rsid w:val="00501AD3"/>
  </w:style>
  <w:style w:type="character" w:customStyle="1" w:styleId="LegendaZnak">
    <w:name w:val="Legenda Znak"/>
    <w:basedOn w:val="Domylnaczcionkaakapitu"/>
    <w:link w:val="Legenda"/>
    <w:uiPriority w:val="35"/>
    <w:locked/>
    <w:rsid w:val="00AC3E6C"/>
    <w:rPr>
      <w:rFonts w:ascii="Lato" w:hAnsi="Lato"/>
      <w:b/>
      <w:i/>
      <w:iCs/>
      <w:color w:val="44546A" w:themeColor="text2"/>
      <w:sz w:val="18"/>
      <w:szCs w:val="18"/>
    </w:rPr>
  </w:style>
  <w:style w:type="character" w:customStyle="1" w:styleId="hwtze">
    <w:name w:val="hwtze"/>
    <w:basedOn w:val="Domylnaczcionkaakapitu"/>
    <w:rsid w:val="00B013CD"/>
  </w:style>
  <w:style w:type="paragraph" w:styleId="NormalnyWeb">
    <w:name w:val="Normal (Web)"/>
    <w:basedOn w:val="Normalny"/>
    <w:uiPriority w:val="99"/>
    <w:rsid w:val="00F34BD4"/>
    <w:pPr>
      <w:spacing w:before="100" w:beforeAutospacing="1" w:after="100" w:afterAutospacing="1" w:line="240" w:lineRule="auto"/>
      <w:jc w:val="left"/>
    </w:pPr>
    <w:rPr>
      <w:rFonts w:ascii="Times New Roman" w:eastAsia="Times New Roman" w:hAnsi="Times New Roman" w:cs="Times New Roman"/>
      <w:kern w:val="0"/>
      <w:sz w:val="24"/>
      <w:szCs w:val="24"/>
      <w:lang w:eastAsia="pl-PL"/>
      <w14:ligatures w14:val="none"/>
    </w:rPr>
  </w:style>
  <w:style w:type="character" w:customStyle="1" w:styleId="markedcontent">
    <w:name w:val="markedcontent"/>
    <w:basedOn w:val="Domylnaczcionkaakapitu"/>
    <w:rsid w:val="00F34BD4"/>
  </w:style>
  <w:style w:type="character" w:styleId="Tekstzastpczy">
    <w:name w:val="Placeholder Text"/>
    <w:basedOn w:val="Domylnaczcionkaakapitu"/>
    <w:uiPriority w:val="99"/>
    <w:semiHidden/>
    <w:rsid w:val="00F34BD4"/>
    <w:rPr>
      <w:color w:val="808080"/>
    </w:rPr>
  </w:style>
  <w:style w:type="character" w:customStyle="1" w:styleId="highlight">
    <w:name w:val="highlight"/>
    <w:basedOn w:val="Domylnaczcionkaakapitu"/>
    <w:rsid w:val="00F34BD4"/>
  </w:style>
  <w:style w:type="paragraph" w:customStyle="1" w:styleId="0KAPEtekst">
    <w:name w:val="0_KAPE_tekst"/>
    <w:basedOn w:val="Normalny"/>
    <w:rsid w:val="00F34BD4"/>
    <w:pPr>
      <w:spacing w:before="100" w:after="120" w:line="26" w:lineRule="atLeast"/>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F34BD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customStyle="1" w:styleId="Point1letter">
    <w:name w:val="Point 1 (letter)"/>
    <w:basedOn w:val="Normalny"/>
    <w:rsid w:val="00F34BD4"/>
    <w:pPr>
      <w:spacing w:before="120" w:after="120" w:line="360" w:lineRule="auto"/>
      <w:ind w:left="1418" w:hanging="567"/>
    </w:pPr>
    <w:rPr>
      <w:rFonts w:ascii="Times New Roman" w:hAnsi="Times New Roman" w:cs="Times New Roman"/>
      <w:kern w:val="0"/>
      <w:sz w:val="24"/>
      <w:lang w:val="en-GB"/>
      <w14:ligatures w14:val="none"/>
    </w:rPr>
  </w:style>
  <w:style w:type="character" w:customStyle="1" w:styleId="cf01">
    <w:name w:val="cf01"/>
    <w:basedOn w:val="Domylnaczcionkaakapitu"/>
    <w:rsid w:val="00F34BD4"/>
    <w:rPr>
      <w:rFonts w:ascii="Segoe UI" w:hAnsi="Segoe UI" w:cs="Segoe UI" w:hint="default"/>
      <w:sz w:val="18"/>
      <w:szCs w:val="18"/>
    </w:rPr>
  </w:style>
  <w:style w:type="character" w:customStyle="1" w:styleId="cf11">
    <w:name w:val="cf11"/>
    <w:basedOn w:val="Domylnaczcionkaakapitu"/>
    <w:rsid w:val="00F34BD4"/>
    <w:rPr>
      <w:rFonts w:ascii="Segoe UI" w:hAnsi="Segoe UI" w:cs="Segoe UI" w:hint="default"/>
      <w:i/>
      <w:iCs/>
      <w:sz w:val="18"/>
      <w:szCs w:val="18"/>
    </w:rPr>
  </w:style>
  <w:style w:type="paragraph" w:customStyle="1" w:styleId="oj-doc-ti">
    <w:name w:val="oj-doc-ti"/>
    <w:basedOn w:val="Normalny"/>
    <w:rsid w:val="00F34BD4"/>
    <w:pPr>
      <w:spacing w:before="100" w:beforeAutospacing="1" w:after="100" w:afterAutospacing="1" w:line="240" w:lineRule="auto"/>
      <w:jc w:val="left"/>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F34BD4"/>
    <w:rPr>
      <w:color w:val="954F72" w:themeColor="followedHyperlink"/>
      <w:u w:val="single"/>
    </w:rPr>
  </w:style>
  <w:style w:type="paragraph" w:customStyle="1" w:styleId="zasada">
    <w:name w:val="zasada"/>
    <w:basedOn w:val="Normalny"/>
    <w:link w:val="zasadaZnak"/>
    <w:qFormat/>
    <w:rsid w:val="002B484E"/>
    <w:pPr>
      <w:keepNext/>
      <w:spacing w:before="320" w:after="80" w:line="360" w:lineRule="auto"/>
      <w:ind w:firstLine="709"/>
    </w:pPr>
    <w:rPr>
      <w:b/>
      <w:bCs/>
      <w:i/>
      <w:iCs/>
      <w:color w:val="5B9BD5" w:themeColor="accent5"/>
    </w:rPr>
  </w:style>
  <w:style w:type="character" w:customStyle="1" w:styleId="zasadaZnak">
    <w:name w:val="zasada Znak"/>
    <w:basedOn w:val="Domylnaczcionkaakapitu"/>
    <w:link w:val="zasada"/>
    <w:rsid w:val="002B484E"/>
    <w:rPr>
      <w:rFonts w:ascii="Lato" w:hAnsi="Lato"/>
      <w:b/>
      <w:bCs/>
      <w:i/>
      <w:iCs/>
      <w:color w:val="5B9BD5" w:themeColor="accent5"/>
      <w:sz w:val="20"/>
    </w:rPr>
  </w:style>
  <w:style w:type="table" w:customStyle="1" w:styleId="TableGrid">
    <w:name w:val="TableGrid"/>
    <w:rsid w:val="0087751B"/>
    <w:pPr>
      <w:spacing w:after="0" w:line="240" w:lineRule="auto"/>
    </w:pPr>
    <w:rPr>
      <w:rFonts w:ascii="Aptos" w:eastAsia="Times New Roman" w:hAnsi="Aptos" w:cs="Times New Roman"/>
      <w:sz w:val="24"/>
      <w:szCs w:val="24"/>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477">
      <w:bodyDiv w:val="1"/>
      <w:marLeft w:val="0"/>
      <w:marRight w:val="0"/>
      <w:marTop w:val="0"/>
      <w:marBottom w:val="0"/>
      <w:divBdr>
        <w:top w:val="none" w:sz="0" w:space="0" w:color="auto"/>
        <w:left w:val="none" w:sz="0" w:space="0" w:color="auto"/>
        <w:bottom w:val="none" w:sz="0" w:space="0" w:color="auto"/>
        <w:right w:val="none" w:sz="0" w:space="0" w:color="auto"/>
      </w:divBdr>
    </w:div>
    <w:div w:id="43140134">
      <w:bodyDiv w:val="1"/>
      <w:marLeft w:val="0"/>
      <w:marRight w:val="0"/>
      <w:marTop w:val="0"/>
      <w:marBottom w:val="0"/>
      <w:divBdr>
        <w:top w:val="none" w:sz="0" w:space="0" w:color="auto"/>
        <w:left w:val="none" w:sz="0" w:space="0" w:color="auto"/>
        <w:bottom w:val="none" w:sz="0" w:space="0" w:color="auto"/>
        <w:right w:val="none" w:sz="0" w:space="0" w:color="auto"/>
      </w:divBdr>
    </w:div>
    <w:div w:id="43410914">
      <w:bodyDiv w:val="1"/>
      <w:marLeft w:val="0"/>
      <w:marRight w:val="0"/>
      <w:marTop w:val="0"/>
      <w:marBottom w:val="0"/>
      <w:divBdr>
        <w:top w:val="none" w:sz="0" w:space="0" w:color="auto"/>
        <w:left w:val="none" w:sz="0" w:space="0" w:color="auto"/>
        <w:bottom w:val="none" w:sz="0" w:space="0" w:color="auto"/>
        <w:right w:val="none" w:sz="0" w:space="0" w:color="auto"/>
      </w:divBdr>
    </w:div>
    <w:div w:id="134884202">
      <w:bodyDiv w:val="1"/>
      <w:marLeft w:val="0"/>
      <w:marRight w:val="0"/>
      <w:marTop w:val="0"/>
      <w:marBottom w:val="0"/>
      <w:divBdr>
        <w:top w:val="none" w:sz="0" w:space="0" w:color="auto"/>
        <w:left w:val="none" w:sz="0" w:space="0" w:color="auto"/>
        <w:bottom w:val="none" w:sz="0" w:space="0" w:color="auto"/>
        <w:right w:val="none" w:sz="0" w:space="0" w:color="auto"/>
      </w:divBdr>
    </w:div>
    <w:div w:id="137260986">
      <w:bodyDiv w:val="1"/>
      <w:marLeft w:val="0"/>
      <w:marRight w:val="0"/>
      <w:marTop w:val="0"/>
      <w:marBottom w:val="0"/>
      <w:divBdr>
        <w:top w:val="none" w:sz="0" w:space="0" w:color="auto"/>
        <w:left w:val="none" w:sz="0" w:space="0" w:color="auto"/>
        <w:bottom w:val="none" w:sz="0" w:space="0" w:color="auto"/>
        <w:right w:val="none" w:sz="0" w:space="0" w:color="auto"/>
      </w:divBdr>
    </w:div>
    <w:div w:id="181627386">
      <w:bodyDiv w:val="1"/>
      <w:marLeft w:val="0"/>
      <w:marRight w:val="0"/>
      <w:marTop w:val="0"/>
      <w:marBottom w:val="0"/>
      <w:divBdr>
        <w:top w:val="none" w:sz="0" w:space="0" w:color="auto"/>
        <w:left w:val="none" w:sz="0" w:space="0" w:color="auto"/>
        <w:bottom w:val="none" w:sz="0" w:space="0" w:color="auto"/>
        <w:right w:val="none" w:sz="0" w:space="0" w:color="auto"/>
      </w:divBdr>
    </w:div>
    <w:div w:id="193426052">
      <w:bodyDiv w:val="1"/>
      <w:marLeft w:val="0"/>
      <w:marRight w:val="0"/>
      <w:marTop w:val="0"/>
      <w:marBottom w:val="0"/>
      <w:divBdr>
        <w:top w:val="none" w:sz="0" w:space="0" w:color="auto"/>
        <w:left w:val="none" w:sz="0" w:space="0" w:color="auto"/>
        <w:bottom w:val="none" w:sz="0" w:space="0" w:color="auto"/>
        <w:right w:val="none" w:sz="0" w:space="0" w:color="auto"/>
      </w:divBdr>
    </w:div>
    <w:div w:id="208418356">
      <w:bodyDiv w:val="1"/>
      <w:marLeft w:val="0"/>
      <w:marRight w:val="0"/>
      <w:marTop w:val="0"/>
      <w:marBottom w:val="0"/>
      <w:divBdr>
        <w:top w:val="none" w:sz="0" w:space="0" w:color="auto"/>
        <w:left w:val="none" w:sz="0" w:space="0" w:color="auto"/>
        <w:bottom w:val="none" w:sz="0" w:space="0" w:color="auto"/>
        <w:right w:val="none" w:sz="0" w:space="0" w:color="auto"/>
      </w:divBdr>
    </w:div>
    <w:div w:id="254900803">
      <w:bodyDiv w:val="1"/>
      <w:marLeft w:val="0"/>
      <w:marRight w:val="0"/>
      <w:marTop w:val="0"/>
      <w:marBottom w:val="0"/>
      <w:divBdr>
        <w:top w:val="none" w:sz="0" w:space="0" w:color="auto"/>
        <w:left w:val="none" w:sz="0" w:space="0" w:color="auto"/>
        <w:bottom w:val="none" w:sz="0" w:space="0" w:color="auto"/>
        <w:right w:val="none" w:sz="0" w:space="0" w:color="auto"/>
      </w:divBdr>
    </w:div>
    <w:div w:id="343164801">
      <w:bodyDiv w:val="1"/>
      <w:marLeft w:val="0"/>
      <w:marRight w:val="0"/>
      <w:marTop w:val="0"/>
      <w:marBottom w:val="0"/>
      <w:divBdr>
        <w:top w:val="none" w:sz="0" w:space="0" w:color="auto"/>
        <w:left w:val="none" w:sz="0" w:space="0" w:color="auto"/>
        <w:bottom w:val="none" w:sz="0" w:space="0" w:color="auto"/>
        <w:right w:val="none" w:sz="0" w:space="0" w:color="auto"/>
      </w:divBdr>
    </w:div>
    <w:div w:id="344407019">
      <w:bodyDiv w:val="1"/>
      <w:marLeft w:val="0"/>
      <w:marRight w:val="0"/>
      <w:marTop w:val="0"/>
      <w:marBottom w:val="0"/>
      <w:divBdr>
        <w:top w:val="none" w:sz="0" w:space="0" w:color="auto"/>
        <w:left w:val="none" w:sz="0" w:space="0" w:color="auto"/>
        <w:bottom w:val="none" w:sz="0" w:space="0" w:color="auto"/>
        <w:right w:val="none" w:sz="0" w:space="0" w:color="auto"/>
      </w:divBdr>
    </w:div>
    <w:div w:id="346295368">
      <w:bodyDiv w:val="1"/>
      <w:marLeft w:val="0"/>
      <w:marRight w:val="0"/>
      <w:marTop w:val="0"/>
      <w:marBottom w:val="0"/>
      <w:divBdr>
        <w:top w:val="none" w:sz="0" w:space="0" w:color="auto"/>
        <w:left w:val="none" w:sz="0" w:space="0" w:color="auto"/>
        <w:bottom w:val="none" w:sz="0" w:space="0" w:color="auto"/>
        <w:right w:val="none" w:sz="0" w:space="0" w:color="auto"/>
      </w:divBdr>
    </w:div>
    <w:div w:id="379942442">
      <w:bodyDiv w:val="1"/>
      <w:marLeft w:val="0"/>
      <w:marRight w:val="0"/>
      <w:marTop w:val="0"/>
      <w:marBottom w:val="0"/>
      <w:divBdr>
        <w:top w:val="none" w:sz="0" w:space="0" w:color="auto"/>
        <w:left w:val="none" w:sz="0" w:space="0" w:color="auto"/>
        <w:bottom w:val="none" w:sz="0" w:space="0" w:color="auto"/>
        <w:right w:val="none" w:sz="0" w:space="0" w:color="auto"/>
      </w:divBdr>
    </w:div>
    <w:div w:id="382874932">
      <w:bodyDiv w:val="1"/>
      <w:marLeft w:val="0"/>
      <w:marRight w:val="0"/>
      <w:marTop w:val="0"/>
      <w:marBottom w:val="0"/>
      <w:divBdr>
        <w:top w:val="none" w:sz="0" w:space="0" w:color="auto"/>
        <w:left w:val="none" w:sz="0" w:space="0" w:color="auto"/>
        <w:bottom w:val="none" w:sz="0" w:space="0" w:color="auto"/>
        <w:right w:val="none" w:sz="0" w:space="0" w:color="auto"/>
      </w:divBdr>
    </w:div>
    <w:div w:id="397824851">
      <w:bodyDiv w:val="1"/>
      <w:marLeft w:val="0"/>
      <w:marRight w:val="0"/>
      <w:marTop w:val="0"/>
      <w:marBottom w:val="0"/>
      <w:divBdr>
        <w:top w:val="none" w:sz="0" w:space="0" w:color="auto"/>
        <w:left w:val="none" w:sz="0" w:space="0" w:color="auto"/>
        <w:bottom w:val="none" w:sz="0" w:space="0" w:color="auto"/>
        <w:right w:val="none" w:sz="0" w:space="0" w:color="auto"/>
      </w:divBdr>
    </w:div>
    <w:div w:id="534125163">
      <w:bodyDiv w:val="1"/>
      <w:marLeft w:val="0"/>
      <w:marRight w:val="0"/>
      <w:marTop w:val="0"/>
      <w:marBottom w:val="0"/>
      <w:divBdr>
        <w:top w:val="none" w:sz="0" w:space="0" w:color="auto"/>
        <w:left w:val="none" w:sz="0" w:space="0" w:color="auto"/>
        <w:bottom w:val="none" w:sz="0" w:space="0" w:color="auto"/>
        <w:right w:val="none" w:sz="0" w:space="0" w:color="auto"/>
      </w:divBdr>
    </w:div>
    <w:div w:id="617683904">
      <w:bodyDiv w:val="1"/>
      <w:marLeft w:val="0"/>
      <w:marRight w:val="0"/>
      <w:marTop w:val="0"/>
      <w:marBottom w:val="0"/>
      <w:divBdr>
        <w:top w:val="none" w:sz="0" w:space="0" w:color="auto"/>
        <w:left w:val="none" w:sz="0" w:space="0" w:color="auto"/>
        <w:bottom w:val="none" w:sz="0" w:space="0" w:color="auto"/>
        <w:right w:val="none" w:sz="0" w:space="0" w:color="auto"/>
      </w:divBdr>
    </w:div>
    <w:div w:id="659695431">
      <w:bodyDiv w:val="1"/>
      <w:marLeft w:val="0"/>
      <w:marRight w:val="0"/>
      <w:marTop w:val="0"/>
      <w:marBottom w:val="0"/>
      <w:divBdr>
        <w:top w:val="none" w:sz="0" w:space="0" w:color="auto"/>
        <w:left w:val="none" w:sz="0" w:space="0" w:color="auto"/>
        <w:bottom w:val="none" w:sz="0" w:space="0" w:color="auto"/>
        <w:right w:val="none" w:sz="0" w:space="0" w:color="auto"/>
      </w:divBdr>
    </w:div>
    <w:div w:id="737632927">
      <w:bodyDiv w:val="1"/>
      <w:marLeft w:val="0"/>
      <w:marRight w:val="0"/>
      <w:marTop w:val="0"/>
      <w:marBottom w:val="0"/>
      <w:divBdr>
        <w:top w:val="none" w:sz="0" w:space="0" w:color="auto"/>
        <w:left w:val="none" w:sz="0" w:space="0" w:color="auto"/>
        <w:bottom w:val="none" w:sz="0" w:space="0" w:color="auto"/>
        <w:right w:val="none" w:sz="0" w:space="0" w:color="auto"/>
      </w:divBdr>
    </w:div>
    <w:div w:id="762848084">
      <w:bodyDiv w:val="1"/>
      <w:marLeft w:val="0"/>
      <w:marRight w:val="0"/>
      <w:marTop w:val="0"/>
      <w:marBottom w:val="0"/>
      <w:divBdr>
        <w:top w:val="none" w:sz="0" w:space="0" w:color="auto"/>
        <w:left w:val="none" w:sz="0" w:space="0" w:color="auto"/>
        <w:bottom w:val="none" w:sz="0" w:space="0" w:color="auto"/>
        <w:right w:val="none" w:sz="0" w:space="0" w:color="auto"/>
      </w:divBdr>
      <w:divsChild>
        <w:div w:id="2106532334">
          <w:marLeft w:val="0"/>
          <w:marRight w:val="0"/>
          <w:marTop w:val="0"/>
          <w:marBottom w:val="0"/>
          <w:divBdr>
            <w:top w:val="none" w:sz="0" w:space="0" w:color="auto"/>
            <w:left w:val="none" w:sz="0" w:space="0" w:color="auto"/>
            <w:bottom w:val="none" w:sz="0" w:space="0" w:color="auto"/>
            <w:right w:val="none" w:sz="0" w:space="0" w:color="auto"/>
          </w:divBdr>
        </w:div>
      </w:divsChild>
    </w:div>
    <w:div w:id="769088077">
      <w:bodyDiv w:val="1"/>
      <w:marLeft w:val="0"/>
      <w:marRight w:val="0"/>
      <w:marTop w:val="0"/>
      <w:marBottom w:val="0"/>
      <w:divBdr>
        <w:top w:val="none" w:sz="0" w:space="0" w:color="auto"/>
        <w:left w:val="none" w:sz="0" w:space="0" w:color="auto"/>
        <w:bottom w:val="none" w:sz="0" w:space="0" w:color="auto"/>
        <w:right w:val="none" w:sz="0" w:space="0" w:color="auto"/>
      </w:divBdr>
    </w:div>
    <w:div w:id="780145978">
      <w:bodyDiv w:val="1"/>
      <w:marLeft w:val="0"/>
      <w:marRight w:val="0"/>
      <w:marTop w:val="0"/>
      <w:marBottom w:val="0"/>
      <w:divBdr>
        <w:top w:val="none" w:sz="0" w:space="0" w:color="auto"/>
        <w:left w:val="none" w:sz="0" w:space="0" w:color="auto"/>
        <w:bottom w:val="none" w:sz="0" w:space="0" w:color="auto"/>
        <w:right w:val="none" w:sz="0" w:space="0" w:color="auto"/>
      </w:divBdr>
    </w:div>
    <w:div w:id="839928202">
      <w:bodyDiv w:val="1"/>
      <w:marLeft w:val="0"/>
      <w:marRight w:val="0"/>
      <w:marTop w:val="0"/>
      <w:marBottom w:val="0"/>
      <w:divBdr>
        <w:top w:val="none" w:sz="0" w:space="0" w:color="auto"/>
        <w:left w:val="none" w:sz="0" w:space="0" w:color="auto"/>
        <w:bottom w:val="none" w:sz="0" w:space="0" w:color="auto"/>
        <w:right w:val="none" w:sz="0" w:space="0" w:color="auto"/>
      </w:divBdr>
    </w:div>
    <w:div w:id="846023493">
      <w:bodyDiv w:val="1"/>
      <w:marLeft w:val="0"/>
      <w:marRight w:val="0"/>
      <w:marTop w:val="0"/>
      <w:marBottom w:val="0"/>
      <w:divBdr>
        <w:top w:val="none" w:sz="0" w:space="0" w:color="auto"/>
        <w:left w:val="none" w:sz="0" w:space="0" w:color="auto"/>
        <w:bottom w:val="none" w:sz="0" w:space="0" w:color="auto"/>
        <w:right w:val="none" w:sz="0" w:space="0" w:color="auto"/>
      </w:divBdr>
    </w:div>
    <w:div w:id="867451977">
      <w:bodyDiv w:val="1"/>
      <w:marLeft w:val="0"/>
      <w:marRight w:val="0"/>
      <w:marTop w:val="0"/>
      <w:marBottom w:val="0"/>
      <w:divBdr>
        <w:top w:val="none" w:sz="0" w:space="0" w:color="auto"/>
        <w:left w:val="none" w:sz="0" w:space="0" w:color="auto"/>
        <w:bottom w:val="none" w:sz="0" w:space="0" w:color="auto"/>
        <w:right w:val="none" w:sz="0" w:space="0" w:color="auto"/>
      </w:divBdr>
    </w:div>
    <w:div w:id="869416784">
      <w:bodyDiv w:val="1"/>
      <w:marLeft w:val="0"/>
      <w:marRight w:val="0"/>
      <w:marTop w:val="0"/>
      <w:marBottom w:val="0"/>
      <w:divBdr>
        <w:top w:val="none" w:sz="0" w:space="0" w:color="auto"/>
        <w:left w:val="none" w:sz="0" w:space="0" w:color="auto"/>
        <w:bottom w:val="none" w:sz="0" w:space="0" w:color="auto"/>
        <w:right w:val="none" w:sz="0" w:space="0" w:color="auto"/>
      </w:divBdr>
    </w:div>
    <w:div w:id="926763956">
      <w:bodyDiv w:val="1"/>
      <w:marLeft w:val="0"/>
      <w:marRight w:val="0"/>
      <w:marTop w:val="0"/>
      <w:marBottom w:val="0"/>
      <w:divBdr>
        <w:top w:val="none" w:sz="0" w:space="0" w:color="auto"/>
        <w:left w:val="none" w:sz="0" w:space="0" w:color="auto"/>
        <w:bottom w:val="none" w:sz="0" w:space="0" w:color="auto"/>
        <w:right w:val="none" w:sz="0" w:space="0" w:color="auto"/>
      </w:divBdr>
    </w:div>
    <w:div w:id="962462826">
      <w:bodyDiv w:val="1"/>
      <w:marLeft w:val="0"/>
      <w:marRight w:val="0"/>
      <w:marTop w:val="0"/>
      <w:marBottom w:val="0"/>
      <w:divBdr>
        <w:top w:val="none" w:sz="0" w:space="0" w:color="auto"/>
        <w:left w:val="none" w:sz="0" w:space="0" w:color="auto"/>
        <w:bottom w:val="none" w:sz="0" w:space="0" w:color="auto"/>
        <w:right w:val="none" w:sz="0" w:space="0" w:color="auto"/>
      </w:divBdr>
      <w:divsChild>
        <w:div w:id="42364180">
          <w:marLeft w:val="0"/>
          <w:marRight w:val="0"/>
          <w:marTop w:val="0"/>
          <w:marBottom w:val="0"/>
          <w:divBdr>
            <w:top w:val="none" w:sz="0" w:space="0" w:color="auto"/>
            <w:left w:val="none" w:sz="0" w:space="0" w:color="auto"/>
            <w:bottom w:val="none" w:sz="0" w:space="0" w:color="auto"/>
            <w:right w:val="none" w:sz="0" w:space="0" w:color="auto"/>
          </w:divBdr>
        </w:div>
        <w:div w:id="1044670915">
          <w:marLeft w:val="0"/>
          <w:marRight w:val="0"/>
          <w:marTop w:val="0"/>
          <w:marBottom w:val="0"/>
          <w:divBdr>
            <w:top w:val="none" w:sz="0" w:space="0" w:color="auto"/>
            <w:left w:val="none" w:sz="0" w:space="0" w:color="auto"/>
            <w:bottom w:val="none" w:sz="0" w:space="0" w:color="auto"/>
            <w:right w:val="none" w:sz="0" w:space="0" w:color="auto"/>
          </w:divBdr>
        </w:div>
      </w:divsChild>
    </w:div>
    <w:div w:id="978151508">
      <w:bodyDiv w:val="1"/>
      <w:marLeft w:val="0"/>
      <w:marRight w:val="0"/>
      <w:marTop w:val="0"/>
      <w:marBottom w:val="0"/>
      <w:divBdr>
        <w:top w:val="none" w:sz="0" w:space="0" w:color="auto"/>
        <w:left w:val="none" w:sz="0" w:space="0" w:color="auto"/>
        <w:bottom w:val="none" w:sz="0" w:space="0" w:color="auto"/>
        <w:right w:val="none" w:sz="0" w:space="0" w:color="auto"/>
      </w:divBdr>
    </w:div>
    <w:div w:id="986132325">
      <w:bodyDiv w:val="1"/>
      <w:marLeft w:val="0"/>
      <w:marRight w:val="0"/>
      <w:marTop w:val="0"/>
      <w:marBottom w:val="0"/>
      <w:divBdr>
        <w:top w:val="none" w:sz="0" w:space="0" w:color="auto"/>
        <w:left w:val="none" w:sz="0" w:space="0" w:color="auto"/>
        <w:bottom w:val="none" w:sz="0" w:space="0" w:color="auto"/>
        <w:right w:val="none" w:sz="0" w:space="0" w:color="auto"/>
      </w:divBdr>
    </w:div>
    <w:div w:id="1021130357">
      <w:bodyDiv w:val="1"/>
      <w:marLeft w:val="0"/>
      <w:marRight w:val="0"/>
      <w:marTop w:val="0"/>
      <w:marBottom w:val="0"/>
      <w:divBdr>
        <w:top w:val="none" w:sz="0" w:space="0" w:color="auto"/>
        <w:left w:val="none" w:sz="0" w:space="0" w:color="auto"/>
        <w:bottom w:val="none" w:sz="0" w:space="0" w:color="auto"/>
        <w:right w:val="none" w:sz="0" w:space="0" w:color="auto"/>
      </w:divBdr>
    </w:div>
    <w:div w:id="1083141162">
      <w:bodyDiv w:val="1"/>
      <w:marLeft w:val="0"/>
      <w:marRight w:val="0"/>
      <w:marTop w:val="0"/>
      <w:marBottom w:val="0"/>
      <w:divBdr>
        <w:top w:val="none" w:sz="0" w:space="0" w:color="auto"/>
        <w:left w:val="none" w:sz="0" w:space="0" w:color="auto"/>
        <w:bottom w:val="none" w:sz="0" w:space="0" w:color="auto"/>
        <w:right w:val="none" w:sz="0" w:space="0" w:color="auto"/>
      </w:divBdr>
      <w:divsChild>
        <w:div w:id="64308435">
          <w:marLeft w:val="0"/>
          <w:marRight w:val="0"/>
          <w:marTop w:val="0"/>
          <w:marBottom w:val="0"/>
          <w:divBdr>
            <w:top w:val="none" w:sz="0" w:space="0" w:color="auto"/>
            <w:left w:val="none" w:sz="0" w:space="0" w:color="auto"/>
            <w:bottom w:val="none" w:sz="0" w:space="0" w:color="auto"/>
            <w:right w:val="none" w:sz="0" w:space="0" w:color="auto"/>
          </w:divBdr>
        </w:div>
        <w:div w:id="1157841162">
          <w:marLeft w:val="0"/>
          <w:marRight w:val="0"/>
          <w:marTop w:val="0"/>
          <w:marBottom w:val="0"/>
          <w:divBdr>
            <w:top w:val="none" w:sz="0" w:space="0" w:color="auto"/>
            <w:left w:val="none" w:sz="0" w:space="0" w:color="auto"/>
            <w:bottom w:val="none" w:sz="0" w:space="0" w:color="auto"/>
            <w:right w:val="none" w:sz="0" w:space="0" w:color="auto"/>
          </w:divBdr>
          <w:divsChild>
            <w:div w:id="296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55054">
      <w:bodyDiv w:val="1"/>
      <w:marLeft w:val="0"/>
      <w:marRight w:val="0"/>
      <w:marTop w:val="0"/>
      <w:marBottom w:val="0"/>
      <w:divBdr>
        <w:top w:val="none" w:sz="0" w:space="0" w:color="auto"/>
        <w:left w:val="none" w:sz="0" w:space="0" w:color="auto"/>
        <w:bottom w:val="none" w:sz="0" w:space="0" w:color="auto"/>
        <w:right w:val="none" w:sz="0" w:space="0" w:color="auto"/>
      </w:divBdr>
    </w:div>
    <w:div w:id="1117144531">
      <w:bodyDiv w:val="1"/>
      <w:marLeft w:val="0"/>
      <w:marRight w:val="0"/>
      <w:marTop w:val="0"/>
      <w:marBottom w:val="0"/>
      <w:divBdr>
        <w:top w:val="none" w:sz="0" w:space="0" w:color="auto"/>
        <w:left w:val="none" w:sz="0" w:space="0" w:color="auto"/>
        <w:bottom w:val="none" w:sz="0" w:space="0" w:color="auto"/>
        <w:right w:val="none" w:sz="0" w:space="0" w:color="auto"/>
      </w:divBdr>
    </w:div>
    <w:div w:id="1121149931">
      <w:bodyDiv w:val="1"/>
      <w:marLeft w:val="0"/>
      <w:marRight w:val="0"/>
      <w:marTop w:val="0"/>
      <w:marBottom w:val="0"/>
      <w:divBdr>
        <w:top w:val="none" w:sz="0" w:space="0" w:color="auto"/>
        <w:left w:val="none" w:sz="0" w:space="0" w:color="auto"/>
        <w:bottom w:val="none" w:sz="0" w:space="0" w:color="auto"/>
        <w:right w:val="none" w:sz="0" w:space="0" w:color="auto"/>
      </w:divBdr>
    </w:div>
    <w:div w:id="1138231028">
      <w:bodyDiv w:val="1"/>
      <w:marLeft w:val="0"/>
      <w:marRight w:val="0"/>
      <w:marTop w:val="0"/>
      <w:marBottom w:val="0"/>
      <w:divBdr>
        <w:top w:val="none" w:sz="0" w:space="0" w:color="auto"/>
        <w:left w:val="none" w:sz="0" w:space="0" w:color="auto"/>
        <w:bottom w:val="none" w:sz="0" w:space="0" w:color="auto"/>
        <w:right w:val="none" w:sz="0" w:space="0" w:color="auto"/>
      </w:divBdr>
    </w:div>
    <w:div w:id="1227765923">
      <w:bodyDiv w:val="1"/>
      <w:marLeft w:val="0"/>
      <w:marRight w:val="0"/>
      <w:marTop w:val="0"/>
      <w:marBottom w:val="0"/>
      <w:divBdr>
        <w:top w:val="none" w:sz="0" w:space="0" w:color="auto"/>
        <w:left w:val="none" w:sz="0" w:space="0" w:color="auto"/>
        <w:bottom w:val="none" w:sz="0" w:space="0" w:color="auto"/>
        <w:right w:val="none" w:sz="0" w:space="0" w:color="auto"/>
      </w:divBdr>
    </w:div>
    <w:div w:id="1327325219">
      <w:bodyDiv w:val="1"/>
      <w:marLeft w:val="0"/>
      <w:marRight w:val="0"/>
      <w:marTop w:val="0"/>
      <w:marBottom w:val="0"/>
      <w:divBdr>
        <w:top w:val="none" w:sz="0" w:space="0" w:color="auto"/>
        <w:left w:val="none" w:sz="0" w:space="0" w:color="auto"/>
        <w:bottom w:val="none" w:sz="0" w:space="0" w:color="auto"/>
        <w:right w:val="none" w:sz="0" w:space="0" w:color="auto"/>
      </w:divBdr>
    </w:div>
    <w:div w:id="1360664347">
      <w:bodyDiv w:val="1"/>
      <w:marLeft w:val="0"/>
      <w:marRight w:val="0"/>
      <w:marTop w:val="0"/>
      <w:marBottom w:val="0"/>
      <w:divBdr>
        <w:top w:val="none" w:sz="0" w:space="0" w:color="auto"/>
        <w:left w:val="none" w:sz="0" w:space="0" w:color="auto"/>
        <w:bottom w:val="none" w:sz="0" w:space="0" w:color="auto"/>
        <w:right w:val="none" w:sz="0" w:space="0" w:color="auto"/>
      </w:divBdr>
    </w:div>
    <w:div w:id="1369112699">
      <w:bodyDiv w:val="1"/>
      <w:marLeft w:val="0"/>
      <w:marRight w:val="0"/>
      <w:marTop w:val="0"/>
      <w:marBottom w:val="0"/>
      <w:divBdr>
        <w:top w:val="none" w:sz="0" w:space="0" w:color="auto"/>
        <w:left w:val="none" w:sz="0" w:space="0" w:color="auto"/>
        <w:bottom w:val="none" w:sz="0" w:space="0" w:color="auto"/>
        <w:right w:val="none" w:sz="0" w:space="0" w:color="auto"/>
      </w:divBdr>
    </w:div>
    <w:div w:id="1376656014">
      <w:bodyDiv w:val="1"/>
      <w:marLeft w:val="0"/>
      <w:marRight w:val="0"/>
      <w:marTop w:val="0"/>
      <w:marBottom w:val="0"/>
      <w:divBdr>
        <w:top w:val="none" w:sz="0" w:space="0" w:color="auto"/>
        <w:left w:val="none" w:sz="0" w:space="0" w:color="auto"/>
        <w:bottom w:val="none" w:sz="0" w:space="0" w:color="auto"/>
        <w:right w:val="none" w:sz="0" w:space="0" w:color="auto"/>
      </w:divBdr>
    </w:div>
    <w:div w:id="1392925528">
      <w:bodyDiv w:val="1"/>
      <w:marLeft w:val="0"/>
      <w:marRight w:val="0"/>
      <w:marTop w:val="0"/>
      <w:marBottom w:val="0"/>
      <w:divBdr>
        <w:top w:val="none" w:sz="0" w:space="0" w:color="auto"/>
        <w:left w:val="none" w:sz="0" w:space="0" w:color="auto"/>
        <w:bottom w:val="none" w:sz="0" w:space="0" w:color="auto"/>
        <w:right w:val="none" w:sz="0" w:space="0" w:color="auto"/>
      </w:divBdr>
    </w:div>
    <w:div w:id="1452944564">
      <w:bodyDiv w:val="1"/>
      <w:marLeft w:val="0"/>
      <w:marRight w:val="0"/>
      <w:marTop w:val="0"/>
      <w:marBottom w:val="0"/>
      <w:divBdr>
        <w:top w:val="none" w:sz="0" w:space="0" w:color="auto"/>
        <w:left w:val="none" w:sz="0" w:space="0" w:color="auto"/>
        <w:bottom w:val="none" w:sz="0" w:space="0" w:color="auto"/>
        <w:right w:val="none" w:sz="0" w:space="0" w:color="auto"/>
      </w:divBdr>
    </w:div>
    <w:div w:id="1574074497">
      <w:bodyDiv w:val="1"/>
      <w:marLeft w:val="0"/>
      <w:marRight w:val="0"/>
      <w:marTop w:val="0"/>
      <w:marBottom w:val="0"/>
      <w:divBdr>
        <w:top w:val="none" w:sz="0" w:space="0" w:color="auto"/>
        <w:left w:val="none" w:sz="0" w:space="0" w:color="auto"/>
        <w:bottom w:val="none" w:sz="0" w:space="0" w:color="auto"/>
        <w:right w:val="none" w:sz="0" w:space="0" w:color="auto"/>
      </w:divBdr>
    </w:div>
    <w:div w:id="1592544573">
      <w:bodyDiv w:val="1"/>
      <w:marLeft w:val="0"/>
      <w:marRight w:val="0"/>
      <w:marTop w:val="0"/>
      <w:marBottom w:val="0"/>
      <w:divBdr>
        <w:top w:val="none" w:sz="0" w:space="0" w:color="auto"/>
        <w:left w:val="none" w:sz="0" w:space="0" w:color="auto"/>
        <w:bottom w:val="none" w:sz="0" w:space="0" w:color="auto"/>
        <w:right w:val="none" w:sz="0" w:space="0" w:color="auto"/>
      </w:divBdr>
    </w:div>
    <w:div w:id="1599606485">
      <w:bodyDiv w:val="1"/>
      <w:marLeft w:val="0"/>
      <w:marRight w:val="0"/>
      <w:marTop w:val="0"/>
      <w:marBottom w:val="0"/>
      <w:divBdr>
        <w:top w:val="none" w:sz="0" w:space="0" w:color="auto"/>
        <w:left w:val="none" w:sz="0" w:space="0" w:color="auto"/>
        <w:bottom w:val="none" w:sz="0" w:space="0" w:color="auto"/>
        <w:right w:val="none" w:sz="0" w:space="0" w:color="auto"/>
      </w:divBdr>
    </w:div>
    <w:div w:id="1601792325">
      <w:bodyDiv w:val="1"/>
      <w:marLeft w:val="0"/>
      <w:marRight w:val="0"/>
      <w:marTop w:val="0"/>
      <w:marBottom w:val="0"/>
      <w:divBdr>
        <w:top w:val="none" w:sz="0" w:space="0" w:color="auto"/>
        <w:left w:val="none" w:sz="0" w:space="0" w:color="auto"/>
        <w:bottom w:val="none" w:sz="0" w:space="0" w:color="auto"/>
        <w:right w:val="none" w:sz="0" w:space="0" w:color="auto"/>
      </w:divBdr>
    </w:div>
    <w:div w:id="1617105706">
      <w:bodyDiv w:val="1"/>
      <w:marLeft w:val="0"/>
      <w:marRight w:val="0"/>
      <w:marTop w:val="0"/>
      <w:marBottom w:val="0"/>
      <w:divBdr>
        <w:top w:val="none" w:sz="0" w:space="0" w:color="auto"/>
        <w:left w:val="none" w:sz="0" w:space="0" w:color="auto"/>
        <w:bottom w:val="none" w:sz="0" w:space="0" w:color="auto"/>
        <w:right w:val="none" w:sz="0" w:space="0" w:color="auto"/>
      </w:divBdr>
    </w:div>
    <w:div w:id="1635402411">
      <w:bodyDiv w:val="1"/>
      <w:marLeft w:val="0"/>
      <w:marRight w:val="0"/>
      <w:marTop w:val="0"/>
      <w:marBottom w:val="0"/>
      <w:divBdr>
        <w:top w:val="none" w:sz="0" w:space="0" w:color="auto"/>
        <w:left w:val="none" w:sz="0" w:space="0" w:color="auto"/>
        <w:bottom w:val="none" w:sz="0" w:space="0" w:color="auto"/>
        <w:right w:val="none" w:sz="0" w:space="0" w:color="auto"/>
      </w:divBdr>
    </w:div>
    <w:div w:id="1667319414">
      <w:bodyDiv w:val="1"/>
      <w:marLeft w:val="0"/>
      <w:marRight w:val="0"/>
      <w:marTop w:val="0"/>
      <w:marBottom w:val="0"/>
      <w:divBdr>
        <w:top w:val="none" w:sz="0" w:space="0" w:color="auto"/>
        <w:left w:val="none" w:sz="0" w:space="0" w:color="auto"/>
        <w:bottom w:val="none" w:sz="0" w:space="0" w:color="auto"/>
        <w:right w:val="none" w:sz="0" w:space="0" w:color="auto"/>
      </w:divBdr>
    </w:div>
    <w:div w:id="1672027954">
      <w:bodyDiv w:val="1"/>
      <w:marLeft w:val="0"/>
      <w:marRight w:val="0"/>
      <w:marTop w:val="0"/>
      <w:marBottom w:val="0"/>
      <w:divBdr>
        <w:top w:val="none" w:sz="0" w:space="0" w:color="auto"/>
        <w:left w:val="none" w:sz="0" w:space="0" w:color="auto"/>
        <w:bottom w:val="none" w:sz="0" w:space="0" w:color="auto"/>
        <w:right w:val="none" w:sz="0" w:space="0" w:color="auto"/>
      </w:divBdr>
    </w:div>
    <w:div w:id="1691638031">
      <w:bodyDiv w:val="1"/>
      <w:marLeft w:val="0"/>
      <w:marRight w:val="0"/>
      <w:marTop w:val="0"/>
      <w:marBottom w:val="0"/>
      <w:divBdr>
        <w:top w:val="none" w:sz="0" w:space="0" w:color="auto"/>
        <w:left w:val="none" w:sz="0" w:space="0" w:color="auto"/>
        <w:bottom w:val="none" w:sz="0" w:space="0" w:color="auto"/>
        <w:right w:val="none" w:sz="0" w:space="0" w:color="auto"/>
      </w:divBdr>
    </w:div>
    <w:div w:id="1709640281">
      <w:bodyDiv w:val="1"/>
      <w:marLeft w:val="0"/>
      <w:marRight w:val="0"/>
      <w:marTop w:val="0"/>
      <w:marBottom w:val="0"/>
      <w:divBdr>
        <w:top w:val="none" w:sz="0" w:space="0" w:color="auto"/>
        <w:left w:val="none" w:sz="0" w:space="0" w:color="auto"/>
        <w:bottom w:val="none" w:sz="0" w:space="0" w:color="auto"/>
        <w:right w:val="none" w:sz="0" w:space="0" w:color="auto"/>
      </w:divBdr>
    </w:div>
    <w:div w:id="1709985937">
      <w:bodyDiv w:val="1"/>
      <w:marLeft w:val="0"/>
      <w:marRight w:val="0"/>
      <w:marTop w:val="0"/>
      <w:marBottom w:val="0"/>
      <w:divBdr>
        <w:top w:val="none" w:sz="0" w:space="0" w:color="auto"/>
        <w:left w:val="none" w:sz="0" w:space="0" w:color="auto"/>
        <w:bottom w:val="none" w:sz="0" w:space="0" w:color="auto"/>
        <w:right w:val="none" w:sz="0" w:space="0" w:color="auto"/>
      </w:divBdr>
    </w:div>
    <w:div w:id="1766068982">
      <w:bodyDiv w:val="1"/>
      <w:marLeft w:val="0"/>
      <w:marRight w:val="0"/>
      <w:marTop w:val="0"/>
      <w:marBottom w:val="0"/>
      <w:divBdr>
        <w:top w:val="none" w:sz="0" w:space="0" w:color="auto"/>
        <w:left w:val="none" w:sz="0" w:space="0" w:color="auto"/>
        <w:bottom w:val="none" w:sz="0" w:space="0" w:color="auto"/>
        <w:right w:val="none" w:sz="0" w:space="0" w:color="auto"/>
      </w:divBdr>
    </w:div>
    <w:div w:id="1771773572">
      <w:bodyDiv w:val="1"/>
      <w:marLeft w:val="0"/>
      <w:marRight w:val="0"/>
      <w:marTop w:val="0"/>
      <w:marBottom w:val="0"/>
      <w:divBdr>
        <w:top w:val="none" w:sz="0" w:space="0" w:color="auto"/>
        <w:left w:val="none" w:sz="0" w:space="0" w:color="auto"/>
        <w:bottom w:val="none" w:sz="0" w:space="0" w:color="auto"/>
        <w:right w:val="none" w:sz="0" w:space="0" w:color="auto"/>
      </w:divBdr>
    </w:div>
    <w:div w:id="1796672886">
      <w:bodyDiv w:val="1"/>
      <w:marLeft w:val="0"/>
      <w:marRight w:val="0"/>
      <w:marTop w:val="0"/>
      <w:marBottom w:val="0"/>
      <w:divBdr>
        <w:top w:val="none" w:sz="0" w:space="0" w:color="auto"/>
        <w:left w:val="none" w:sz="0" w:space="0" w:color="auto"/>
        <w:bottom w:val="none" w:sz="0" w:space="0" w:color="auto"/>
        <w:right w:val="none" w:sz="0" w:space="0" w:color="auto"/>
      </w:divBdr>
    </w:div>
    <w:div w:id="1883398171">
      <w:bodyDiv w:val="1"/>
      <w:marLeft w:val="0"/>
      <w:marRight w:val="0"/>
      <w:marTop w:val="0"/>
      <w:marBottom w:val="0"/>
      <w:divBdr>
        <w:top w:val="none" w:sz="0" w:space="0" w:color="auto"/>
        <w:left w:val="none" w:sz="0" w:space="0" w:color="auto"/>
        <w:bottom w:val="none" w:sz="0" w:space="0" w:color="auto"/>
        <w:right w:val="none" w:sz="0" w:space="0" w:color="auto"/>
      </w:divBdr>
    </w:div>
    <w:div w:id="1896114344">
      <w:bodyDiv w:val="1"/>
      <w:marLeft w:val="0"/>
      <w:marRight w:val="0"/>
      <w:marTop w:val="0"/>
      <w:marBottom w:val="0"/>
      <w:divBdr>
        <w:top w:val="none" w:sz="0" w:space="0" w:color="auto"/>
        <w:left w:val="none" w:sz="0" w:space="0" w:color="auto"/>
        <w:bottom w:val="none" w:sz="0" w:space="0" w:color="auto"/>
        <w:right w:val="none" w:sz="0" w:space="0" w:color="auto"/>
      </w:divBdr>
    </w:div>
    <w:div w:id="1918896869">
      <w:bodyDiv w:val="1"/>
      <w:marLeft w:val="0"/>
      <w:marRight w:val="0"/>
      <w:marTop w:val="0"/>
      <w:marBottom w:val="0"/>
      <w:divBdr>
        <w:top w:val="none" w:sz="0" w:space="0" w:color="auto"/>
        <w:left w:val="none" w:sz="0" w:space="0" w:color="auto"/>
        <w:bottom w:val="none" w:sz="0" w:space="0" w:color="auto"/>
        <w:right w:val="none" w:sz="0" w:space="0" w:color="auto"/>
      </w:divBdr>
    </w:div>
    <w:div w:id="1935087421">
      <w:bodyDiv w:val="1"/>
      <w:marLeft w:val="0"/>
      <w:marRight w:val="0"/>
      <w:marTop w:val="0"/>
      <w:marBottom w:val="0"/>
      <w:divBdr>
        <w:top w:val="none" w:sz="0" w:space="0" w:color="auto"/>
        <w:left w:val="none" w:sz="0" w:space="0" w:color="auto"/>
        <w:bottom w:val="none" w:sz="0" w:space="0" w:color="auto"/>
        <w:right w:val="none" w:sz="0" w:space="0" w:color="auto"/>
      </w:divBdr>
    </w:div>
    <w:div w:id="1937127148">
      <w:bodyDiv w:val="1"/>
      <w:marLeft w:val="0"/>
      <w:marRight w:val="0"/>
      <w:marTop w:val="0"/>
      <w:marBottom w:val="0"/>
      <w:divBdr>
        <w:top w:val="none" w:sz="0" w:space="0" w:color="auto"/>
        <w:left w:val="none" w:sz="0" w:space="0" w:color="auto"/>
        <w:bottom w:val="none" w:sz="0" w:space="0" w:color="auto"/>
        <w:right w:val="none" w:sz="0" w:space="0" w:color="auto"/>
      </w:divBdr>
    </w:div>
    <w:div w:id="1945993108">
      <w:bodyDiv w:val="1"/>
      <w:marLeft w:val="0"/>
      <w:marRight w:val="0"/>
      <w:marTop w:val="0"/>
      <w:marBottom w:val="0"/>
      <w:divBdr>
        <w:top w:val="none" w:sz="0" w:space="0" w:color="auto"/>
        <w:left w:val="none" w:sz="0" w:space="0" w:color="auto"/>
        <w:bottom w:val="none" w:sz="0" w:space="0" w:color="auto"/>
        <w:right w:val="none" w:sz="0" w:space="0" w:color="auto"/>
      </w:divBdr>
    </w:div>
    <w:div w:id="1988970292">
      <w:bodyDiv w:val="1"/>
      <w:marLeft w:val="0"/>
      <w:marRight w:val="0"/>
      <w:marTop w:val="0"/>
      <w:marBottom w:val="0"/>
      <w:divBdr>
        <w:top w:val="none" w:sz="0" w:space="0" w:color="auto"/>
        <w:left w:val="none" w:sz="0" w:space="0" w:color="auto"/>
        <w:bottom w:val="none" w:sz="0" w:space="0" w:color="auto"/>
        <w:right w:val="none" w:sz="0" w:space="0" w:color="auto"/>
      </w:divBdr>
    </w:div>
    <w:div w:id="2027360382">
      <w:bodyDiv w:val="1"/>
      <w:marLeft w:val="0"/>
      <w:marRight w:val="0"/>
      <w:marTop w:val="0"/>
      <w:marBottom w:val="0"/>
      <w:divBdr>
        <w:top w:val="none" w:sz="0" w:space="0" w:color="auto"/>
        <w:left w:val="none" w:sz="0" w:space="0" w:color="auto"/>
        <w:bottom w:val="none" w:sz="0" w:space="0" w:color="auto"/>
        <w:right w:val="none" w:sz="0" w:space="0" w:color="auto"/>
      </w:divBdr>
    </w:div>
    <w:div w:id="2039088745">
      <w:bodyDiv w:val="1"/>
      <w:marLeft w:val="0"/>
      <w:marRight w:val="0"/>
      <w:marTop w:val="0"/>
      <w:marBottom w:val="0"/>
      <w:divBdr>
        <w:top w:val="none" w:sz="0" w:space="0" w:color="auto"/>
        <w:left w:val="none" w:sz="0" w:space="0" w:color="auto"/>
        <w:bottom w:val="none" w:sz="0" w:space="0" w:color="auto"/>
        <w:right w:val="none" w:sz="0" w:space="0" w:color="auto"/>
      </w:divBdr>
    </w:div>
    <w:div w:id="2078739990">
      <w:bodyDiv w:val="1"/>
      <w:marLeft w:val="0"/>
      <w:marRight w:val="0"/>
      <w:marTop w:val="0"/>
      <w:marBottom w:val="0"/>
      <w:divBdr>
        <w:top w:val="none" w:sz="0" w:space="0" w:color="auto"/>
        <w:left w:val="none" w:sz="0" w:space="0" w:color="auto"/>
        <w:bottom w:val="none" w:sz="0" w:space="0" w:color="auto"/>
        <w:right w:val="none" w:sz="0" w:space="0" w:color="auto"/>
      </w:divBdr>
    </w:div>
    <w:div w:id="2132699491">
      <w:bodyDiv w:val="1"/>
      <w:marLeft w:val="0"/>
      <w:marRight w:val="0"/>
      <w:marTop w:val="0"/>
      <w:marBottom w:val="0"/>
      <w:divBdr>
        <w:top w:val="none" w:sz="0" w:space="0" w:color="auto"/>
        <w:left w:val="none" w:sz="0" w:space="0" w:color="auto"/>
        <w:bottom w:val="none" w:sz="0" w:space="0" w:color="auto"/>
        <w:right w:val="none" w:sz="0" w:space="0" w:color="auto"/>
      </w:divBdr>
      <w:divsChild>
        <w:div w:id="1799102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sip.legalis.pl/document-view.seam?documentId=mfrxilrtg4ytmmjtgqydqltqmfyc4njygizdkmjxhe" TargetMode="External"/><Relationship Id="rId26" Type="http://schemas.openxmlformats.org/officeDocument/2006/relationships/hyperlink" Target="http://eur-lex.europa.eu/legal-content/EN/TXT/?uri=uriserv%3AOJ.L_.2018.156.01.0075.01.ENG" TargetMode="External"/><Relationship Id="rId3" Type="http://schemas.openxmlformats.org/officeDocument/2006/relationships/customXml" Target="../customXml/item3.xml"/><Relationship Id="rId21" Type="http://schemas.openxmlformats.org/officeDocument/2006/relationships/hyperlink" Target="https://sip.legalis.pl/document-view.seam?documentId=mfrxilrtg4ytmobzgm4tcltqmfyc4nrrgizdmmjsg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sip.legalis.pl/document-view.seam?documentId=mfrxilrtg4ytmobzgm4tcltqmfyc4nrrgizdmnrrgy" TargetMode="External"/><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sip.legalis.pl/document-view.seam?documentId=mfrxilrtg4ytmobzgm4tcltqmfyc4nrrgizdmmjtgu" TargetMode="External"/><Relationship Id="rId20" Type="http://schemas.openxmlformats.org/officeDocument/2006/relationships/hyperlink" Target="https://sip.legalis.pl/document-view.seam?documentId=mfrxilrtg4ytmobzgm4tcltqmfyc4nrrgizdmnrrgy" TargetMode="External"/><Relationship Id="rId29" Type="http://schemas.openxmlformats.org/officeDocument/2006/relationships/hyperlink" Target="https://energy.ec.europa.eu/system/files/2016-12/final_report_pef_eed_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ip.legalis.pl/document-view.seam?documentId=mfrxilrtg4ytmobzgm4tcltqmfyc4nrrgizdmnrrgy"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tg4ytmmjtgqydqltqmfyc4njygizdkmjxhe" TargetMode="External"/><Relationship Id="rId23" Type="http://schemas.openxmlformats.org/officeDocument/2006/relationships/hyperlink" Target="https://sip.legalis.pl/document-view.seam?documentId=mfrxilrtg4ytmobzgm4tcltqmfyc4nrrgizdmmjtgu" TargetMode="External"/><Relationship Id="rId28" Type="http://schemas.openxmlformats.org/officeDocument/2006/relationships/hyperlink" Target="https://stat.gov.pl/obszary-tematyczne/srodowisko-energia/energia/gospodarka-paliwowo-energetyczna-w-latach-2019-i-2020,4,16.htm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tg4ytmobzgm4tcltqmfyc4nrrgizdmmjtg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ip.legalis.pl/document-view.seam?documentId=mfrxilrtg4ytmmjtgqydqltqmfyc4njygizdkmjxhe" TargetMode="External"/><Relationship Id="rId27" Type="http://schemas.openxmlformats.org/officeDocument/2006/relationships/hyperlink" Target="https://www.are.waw.pl/badania-statystyczne/wynikowe-informacje-statystyczne/publikacje-roczne"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Arkusz1!$U$10</c:f>
              <c:strCache>
                <c:ptCount val="1"/>
                <c:pt idx="0">
                  <c:v>całkowity wsp. nakładu en. pierwotnej </c:v>
                </c:pt>
              </c:strCache>
            </c:strRef>
          </c:tx>
          <c:spPr>
            <a:solidFill>
              <a:schemeClr val="accent4"/>
            </a:solidFill>
            <a:ln>
              <a:noFill/>
            </a:ln>
            <a:effectLst/>
          </c:spPr>
          <c:invertIfNegative val="0"/>
          <c:dLbls>
            <c:dLbl>
              <c:idx val="13"/>
              <c:layout>
                <c:manualLayout>
                  <c:x val="-1.019356216155062E-16"/>
                  <c:y val="4.64900046490004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BA-4434-97B1-E712F88E6452}"/>
                </c:ext>
              </c:extLst>
            </c:dLbl>
            <c:dLbl>
              <c:idx val="15"/>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Lato" panose="020F0502020204030203" pitchFamily="34" charset="-18"/>
                      <a:ea typeface="+mn-ea"/>
                      <a:cs typeface="+mn-cs"/>
                    </a:defRPr>
                  </a:pPr>
                  <a:endParaRPr lang="pl-PL"/>
                </a:p>
              </c:txPr>
              <c:showLegendKey val="0"/>
              <c:showVal val="1"/>
              <c:showCatName val="0"/>
              <c:showSerName val="0"/>
              <c:showPercent val="0"/>
              <c:showBubbleSize val="0"/>
              <c:extLst>
                <c:ext xmlns:c16="http://schemas.microsoft.com/office/drawing/2014/chart" uri="{C3380CC4-5D6E-409C-BE32-E72D297353CC}">
                  <c16:uniqueId val="{00000001-6CBA-4434-97B1-E712F88E645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Lato" panose="020F0502020204030203" pitchFamily="34" charset="-18"/>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Arkusz1!$L$3:$AA$3</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Arkusz1!$L$5:$AA$5</c:f>
              <c:numCache>
                <c:formatCode>General</c:formatCode>
                <c:ptCount val="16"/>
                <c:pt idx="0">
                  <c:v>3.05</c:v>
                </c:pt>
                <c:pt idx="5">
                  <c:v>2.9</c:v>
                </c:pt>
                <c:pt idx="6">
                  <c:v>2.87</c:v>
                </c:pt>
                <c:pt idx="7">
                  <c:v>2.85</c:v>
                </c:pt>
                <c:pt idx="8">
                  <c:v>2.83</c:v>
                </c:pt>
                <c:pt idx="9">
                  <c:v>2.79</c:v>
                </c:pt>
                <c:pt idx="10">
                  <c:v>2.72</c:v>
                </c:pt>
                <c:pt idx="11">
                  <c:v>2.66</c:v>
                </c:pt>
                <c:pt idx="12">
                  <c:v>2.61</c:v>
                </c:pt>
                <c:pt idx="13">
                  <c:v>2.62</c:v>
                </c:pt>
                <c:pt idx="14">
                  <c:v>2.57</c:v>
                </c:pt>
                <c:pt idx="15">
                  <c:v>2.5</c:v>
                </c:pt>
              </c:numCache>
            </c:numRef>
          </c:val>
          <c:extLst>
            <c:ext xmlns:c16="http://schemas.microsoft.com/office/drawing/2014/chart" uri="{C3380CC4-5D6E-409C-BE32-E72D297353CC}">
              <c16:uniqueId val="{00000002-6CBA-4434-97B1-E712F88E6452}"/>
            </c:ext>
          </c:extLst>
        </c:ser>
        <c:dLbls>
          <c:showLegendKey val="0"/>
          <c:showVal val="0"/>
          <c:showCatName val="0"/>
          <c:showSerName val="0"/>
          <c:showPercent val="0"/>
          <c:showBubbleSize val="0"/>
        </c:dLbls>
        <c:gapWidth val="150"/>
        <c:axId val="465555344"/>
        <c:axId val="22500080"/>
      </c:barChart>
      <c:catAx>
        <c:axId val="46555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22500080"/>
        <c:crosses val="autoZero"/>
        <c:auto val="1"/>
        <c:lblAlgn val="ctr"/>
        <c:lblOffset val="100"/>
        <c:noMultiLvlLbl val="0"/>
      </c:catAx>
      <c:valAx>
        <c:axId val="22500080"/>
        <c:scaling>
          <c:orientation val="minMax"/>
          <c:min val="1"/>
        </c:scaling>
        <c:delete val="0"/>
        <c:axPos val="l"/>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46555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Lato" panose="020F0502020204030203" pitchFamily="34" charset="-18"/>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A0E0BFCF9A9445871829823D8E485C" ma:contentTypeVersion="4" ma:contentTypeDescription="Create a new document." ma:contentTypeScope="" ma:versionID="5fcd3d1ed85ffbe4c4a24d1edcb8ddcb">
  <xsd:schema xmlns:xsd="http://www.w3.org/2001/XMLSchema" xmlns:xs="http://www.w3.org/2001/XMLSchema" xmlns:p="http://schemas.microsoft.com/office/2006/metadata/properties" xmlns:ns2="9514f94e-7ec7-4d9d-a31a-1b013c5f895a" targetNamespace="http://schemas.microsoft.com/office/2006/metadata/properties" ma:root="true" ma:fieldsID="ac6876465c5816637dbc360cde17c7cb" ns2:_="">
    <xsd:import namespace="9514f94e-7ec7-4d9d-a31a-1b013c5f8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4f94e-7ec7-4d9d-a31a-1b013c5f8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33C2D-278D-42B1-88AE-D3CDB14B8EA9}">
  <ds:schemaRefs>
    <ds:schemaRef ds:uri="http://schemas.microsoft.com/sharepoint/v3/contenttype/forms"/>
  </ds:schemaRefs>
</ds:datastoreItem>
</file>

<file path=customXml/itemProps2.xml><?xml version="1.0" encoding="utf-8"?>
<ds:datastoreItem xmlns:ds="http://schemas.openxmlformats.org/officeDocument/2006/customXml" ds:itemID="{6E4C9C4F-3436-4912-B6F8-A64239E238E0}">
  <ds:schemaRefs>
    <ds:schemaRef ds:uri="http://schemas.openxmlformats.org/officeDocument/2006/bibliography"/>
  </ds:schemaRefs>
</ds:datastoreItem>
</file>

<file path=customXml/itemProps3.xml><?xml version="1.0" encoding="utf-8"?>
<ds:datastoreItem xmlns:ds="http://schemas.openxmlformats.org/officeDocument/2006/customXml" ds:itemID="{D70FF5BF-DD5D-4F74-A819-9252537CF8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291DC6-E2C0-4144-ACC9-310DC0179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4f94e-7ec7-4d9d-a31a-1b013c5f8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18502</Words>
  <Characters>111014</Characters>
  <Application>Microsoft Office Word</Application>
  <DocSecurity>0</DocSecurity>
  <Lines>925</Lines>
  <Paragraphs>258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129258</CharactersWithSpaces>
  <SharedDoc>false</SharedDoc>
  <HLinks>
    <vt:vector size="144" baseType="variant">
      <vt:variant>
        <vt:i4>655449</vt:i4>
      </vt:variant>
      <vt:variant>
        <vt:i4>159</vt:i4>
      </vt:variant>
      <vt:variant>
        <vt:i4>0</vt:i4>
      </vt:variant>
      <vt:variant>
        <vt:i4>5</vt:i4>
      </vt:variant>
      <vt:variant>
        <vt:lpwstr>https://energy.ec.europa.eu/system/files/2016-12/final_report_pef_eed_0.pdf</vt:lpwstr>
      </vt:variant>
      <vt:variant>
        <vt:lpwstr/>
      </vt:variant>
      <vt:variant>
        <vt:i4>1441817</vt:i4>
      </vt:variant>
      <vt:variant>
        <vt:i4>156</vt:i4>
      </vt:variant>
      <vt:variant>
        <vt:i4>0</vt:i4>
      </vt:variant>
      <vt:variant>
        <vt:i4>5</vt:i4>
      </vt:variant>
      <vt:variant>
        <vt:lpwstr>https://stat.gov.pl/obszary-tematyczne/srodowisko-energia/energia/gospodarka-paliwowo-energetyczna-w-latach-2019-i-2020,4,16.html</vt:lpwstr>
      </vt:variant>
      <vt:variant>
        <vt:lpwstr/>
      </vt:variant>
      <vt:variant>
        <vt:i4>7995454</vt:i4>
      </vt:variant>
      <vt:variant>
        <vt:i4>153</vt:i4>
      </vt:variant>
      <vt:variant>
        <vt:i4>0</vt:i4>
      </vt:variant>
      <vt:variant>
        <vt:i4>5</vt:i4>
      </vt:variant>
      <vt:variant>
        <vt:lpwstr>https://www.are.waw.pl/badania-statystyczne/wynikowe-informacje-statystyczne/publikacje-roczne</vt:lpwstr>
      </vt:variant>
      <vt:variant>
        <vt:lpwstr/>
      </vt:variant>
      <vt:variant>
        <vt:i4>5308477</vt:i4>
      </vt:variant>
      <vt:variant>
        <vt:i4>150</vt:i4>
      </vt:variant>
      <vt:variant>
        <vt:i4>0</vt:i4>
      </vt:variant>
      <vt:variant>
        <vt:i4>5</vt:i4>
      </vt:variant>
      <vt:variant>
        <vt:lpwstr>http://eur-lex.europa.eu/legal-content/EN/TXT/?uri=uriserv%3AOJ.L_.2018.156.01.0075.01.ENG</vt:lpwstr>
      </vt:variant>
      <vt:variant>
        <vt:lpwstr/>
      </vt:variant>
      <vt:variant>
        <vt:i4>6946873</vt:i4>
      </vt:variant>
      <vt:variant>
        <vt:i4>114</vt:i4>
      </vt:variant>
      <vt:variant>
        <vt:i4>0</vt:i4>
      </vt:variant>
      <vt:variant>
        <vt:i4>5</vt:i4>
      </vt:variant>
      <vt:variant>
        <vt:lpwstr>https://sip.legalis.pl/document-view.seam?documentId=mfrxilrtg4ytmobzgm4tcltqmfyc4nrrgizdmnrrgy</vt:lpwstr>
      </vt:variant>
      <vt:variant>
        <vt:lpwstr/>
      </vt:variant>
      <vt:variant>
        <vt:i4>7471164</vt:i4>
      </vt:variant>
      <vt:variant>
        <vt:i4>111</vt:i4>
      </vt:variant>
      <vt:variant>
        <vt:i4>0</vt:i4>
      </vt:variant>
      <vt:variant>
        <vt:i4>5</vt:i4>
      </vt:variant>
      <vt:variant>
        <vt:lpwstr>https://sip.legalis.pl/document-view.seam?documentId=mfrxilrtg4ytmobzgm4tcltqmfyc4nrrgizdmmjtgu</vt:lpwstr>
      </vt:variant>
      <vt:variant>
        <vt:lpwstr/>
      </vt:variant>
      <vt:variant>
        <vt:i4>3407931</vt:i4>
      </vt:variant>
      <vt:variant>
        <vt:i4>108</vt:i4>
      </vt:variant>
      <vt:variant>
        <vt:i4>0</vt:i4>
      </vt:variant>
      <vt:variant>
        <vt:i4>5</vt:i4>
      </vt:variant>
      <vt:variant>
        <vt:lpwstr>https://sip.legalis.pl/document-view.seam?documentId=mfrxilrtg4ytmmjtgqydqltqmfyc4njygizdkmjxhe</vt:lpwstr>
      </vt:variant>
      <vt:variant>
        <vt:lpwstr/>
      </vt:variant>
      <vt:variant>
        <vt:i4>7471163</vt:i4>
      </vt:variant>
      <vt:variant>
        <vt:i4>93</vt:i4>
      </vt:variant>
      <vt:variant>
        <vt:i4>0</vt:i4>
      </vt:variant>
      <vt:variant>
        <vt:i4>5</vt:i4>
      </vt:variant>
      <vt:variant>
        <vt:lpwstr>https://sip.legalis.pl/document-view.seam?documentId=mfrxilrtg4ytmobzgm4tcltqmfyc4nrrgizdmmjsgm</vt:lpwstr>
      </vt:variant>
      <vt:variant>
        <vt:lpwstr/>
      </vt:variant>
      <vt:variant>
        <vt:i4>6946873</vt:i4>
      </vt:variant>
      <vt:variant>
        <vt:i4>90</vt:i4>
      </vt:variant>
      <vt:variant>
        <vt:i4>0</vt:i4>
      </vt:variant>
      <vt:variant>
        <vt:i4>5</vt:i4>
      </vt:variant>
      <vt:variant>
        <vt:lpwstr>https://sip.legalis.pl/document-view.seam?documentId=mfrxilrtg4ytmobzgm4tcltqmfyc4nrrgizdmnrrgy</vt:lpwstr>
      </vt:variant>
      <vt:variant>
        <vt:lpwstr/>
      </vt:variant>
      <vt:variant>
        <vt:i4>7471164</vt:i4>
      </vt:variant>
      <vt:variant>
        <vt:i4>87</vt:i4>
      </vt:variant>
      <vt:variant>
        <vt:i4>0</vt:i4>
      </vt:variant>
      <vt:variant>
        <vt:i4>5</vt:i4>
      </vt:variant>
      <vt:variant>
        <vt:lpwstr>https://sip.legalis.pl/document-view.seam?documentId=mfrxilrtg4ytmobzgm4tcltqmfyc4nrrgizdmmjtgu</vt:lpwstr>
      </vt:variant>
      <vt:variant>
        <vt:lpwstr/>
      </vt:variant>
      <vt:variant>
        <vt:i4>3407931</vt:i4>
      </vt:variant>
      <vt:variant>
        <vt:i4>84</vt:i4>
      </vt:variant>
      <vt:variant>
        <vt:i4>0</vt:i4>
      </vt:variant>
      <vt:variant>
        <vt:i4>5</vt:i4>
      </vt:variant>
      <vt:variant>
        <vt:lpwstr>https://sip.legalis.pl/document-view.seam?documentId=mfrxilrtg4ytmmjtgqydqltqmfyc4njygizdkmjxhe</vt:lpwstr>
      </vt:variant>
      <vt:variant>
        <vt:lpwstr/>
      </vt:variant>
      <vt:variant>
        <vt:i4>6946873</vt:i4>
      </vt:variant>
      <vt:variant>
        <vt:i4>75</vt:i4>
      </vt:variant>
      <vt:variant>
        <vt:i4>0</vt:i4>
      </vt:variant>
      <vt:variant>
        <vt:i4>5</vt:i4>
      </vt:variant>
      <vt:variant>
        <vt:lpwstr>https://sip.legalis.pl/document-view.seam?documentId=mfrxilrtg4ytmobzgm4tcltqmfyc4nrrgizdmnrrgy</vt:lpwstr>
      </vt:variant>
      <vt:variant>
        <vt:lpwstr/>
      </vt:variant>
      <vt:variant>
        <vt:i4>7471164</vt:i4>
      </vt:variant>
      <vt:variant>
        <vt:i4>72</vt:i4>
      </vt:variant>
      <vt:variant>
        <vt:i4>0</vt:i4>
      </vt:variant>
      <vt:variant>
        <vt:i4>5</vt:i4>
      </vt:variant>
      <vt:variant>
        <vt:lpwstr>https://sip.legalis.pl/document-view.seam?documentId=mfrxilrtg4ytmobzgm4tcltqmfyc4nrrgizdmmjtgu</vt:lpwstr>
      </vt:variant>
      <vt:variant>
        <vt:lpwstr/>
      </vt:variant>
      <vt:variant>
        <vt:i4>3407931</vt:i4>
      </vt:variant>
      <vt:variant>
        <vt:i4>69</vt:i4>
      </vt:variant>
      <vt:variant>
        <vt:i4>0</vt:i4>
      </vt:variant>
      <vt:variant>
        <vt:i4>5</vt:i4>
      </vt:variant>
      <vt:variant>
        <vt:lpwstr>https://sip.legalis.pl/document-view.seam?documentId=mfrxilrtg4ytmmjtgqydqltqmfyc4njygizdkmjxhe</vt:lpwstr>
      </vt:variant>
      <vt:variant>
        <vt:lpwstr/>
      </vt:variant>
      <vt:variant>
        <vt:i4>1114164</vt:i4>
      </vt:variant>
      <vt:variant>
        <vt:i4>56</vt:i4>
      </vt:variant>
      <vt:variant>
        <vt:i4>0</vt:i4>
      </vt:variant>
      <vt:variant>
        <vt:i4>5</vt:i4>
      </vt:variant>
      <vt:variant>
        <vt:lpwstr/>
      </vt:variant>
      <vt:variant>
        <vt:lpwstr>_Toc195897900</vt:lpwstr>
      </vt:variant>
      <vt:variant>
        <vt:i4>1572917</vt:i4>
      </vt:variant>
      <vt:variant>
        <vt:i4>50</vt:i4>
      </vt:variant>
      <vt:variant>
        <vt:i4>0</vt:i4>
      </vt:variant>
      <vt:variant>
        <vt:i4>5</vt:i4>
      </vt:variant>
      <vt:variant>
        <vt:lpwstr/>
      </vt:variant>
      <vt:variant>
        <vt:lpwstr>_Toc195897899</vt:lpwstr>
      </vt:variant>
      <vt:variant>
        <vt:i4>1572917</vt:i4>
      </vt:variant>
      <vt:variant>
        <vt:i4>44</vt:i4>
      </vt:variant>
      <vt:variant>
        <vt:i4>0</vt:i4>
      </vt:variant>
      <vt:variant>
        <vt:i4>5</vt:i4>
      </vt:variant>
      <vt:variant>
        <vt:lpwstr/>
      </vt:variant>
      <vt:variant>
        <vt:lpwstr>_Toc195897898</vt:lpwstr>
      </vt:variant>
      <vt:variant>
        <vt:i4>1572917</vt:i4>
      </vt:variant>
      <vt:variant>
        <vt:i4>38</vt:i4>
      </vt:variant>
      <vt:variant>
        <vt:i4>0</vt:i4>
      </vt:variant>
      <vt:variant>
        <vt:i4>5</vt:i4>
      </vt:variant>
      <vt:variant>
        <vt:lpwstr/>
      </vt:variant>
      <vt:variant>
        <vt:lpwstr>_Toc195897897</vt:lpwstr>
      </vt:variant>
      <vt:variant>
        <vt:i4>1572917</vt:i4>
      </vt:variant>
      <vt:variant>
        <vt:i4>32</vt:i4>
      </vt:variant>
      <vt:variant>
        <vt:i4>0</vt:i4>
      </vt:variant>
      <vt:variant>
        <vt:i4>5</vt:i4>
      </vt:variant>
      <vt:variant>
        <vt:lpwstr/>
      </vt:variant>
      <vt:variant>
        <vt:lpwstr>_Toc195897896</vt:lpwstr>
      </vt:variant>
      <vt:variant>
        <vt:i4>1572917</vt:i4>
      </vt:variant>
      <vt:variant>
        <vt:i4>26</vt:i4>
      </vt:variant>
      <vt:variant>
        <vt:i4>0</vt:i4>
      </vt:variant>
      <vt:variant>
        <vt:i4>5</vt:i4>
      </vt:variant>
      <vt:variant>
        <vt:lpwstr/>
      </vt:variant>
      <vt:variant>
        <vt:lpwstr>_Toc195897895</vt:lpwstr>
      </vt:variant>
      <vt:variant>
        <vt:i4>1572917</vt:i4>
      </vt:variant>
      <vt:variant>
        <vt:i4>20</vt:i4>
      </vt:variant>
      <vt:variant>
        <vt:i4>0</vt:i4>
      </vt:variant>
      <vt:variant>
        <vt:i4>5</vt:i4>
      </vt:variant>
      <vt:variant>
        <vt:lpwstr/>
      </vt:variant>
      <vt:variant>
        <vt:lpwstr>_Toc195897894</vt:lpwstr>
      </vt:variant>
      <vt:variant>
        <vt:i4>1572917</vt:i4>
      </vt:variant>
      <vt:variant>
        <vt:i4>14</vt:i4>
      </vt:variant>
      <vt:variant>
        <vt:i4>0</vt:i4>
      </vt:variant>
      <vt:variant>
        <vt:i4>5</vt:i4>
      </vt:variant>
      <vt:variant>
        <vt:lpwstr/>
      </vt:variant>
      <vt:variant>
        <vt:lpwstr>_Toc195897893</vt:lpwstr>
      </vt:variant>
      <vt:variant>
        <vt:i4>1572917</vt:i4>
      </vt:variant>
      <vt:variant>
        <vt:i4>8</vt:i4>
      </vt:variant>
      <vt:variant>
        <vt:i4>0</vt:i4>
      </vt:variant>
      <vt:variant>
        <vt:i4>5</vt:i4>
      </vt:variant>
      <vt:variant>
        <vt:lpwstr/>
      </vt:variant>
      <vt:variant>
        <vt:lpwstr>_Toc195897892</vt:lpwstr>
      </vt:variant>
      <vt:variant>
        <vt:i4>1572917</vt:i4>
      </vt:variant>
      <vt:variant>
        <vt:i4>2</vt:i4>
      </vt:variant>
      <vt:variant>
        <vt:i4>0</vt:i4>
      </vt:variant>
      <vt:variant>
        <vt:i4>5</vt:i4>
      </vt:variant>
      <vt:variant>
        <vt:lpwstr/>
      </vt:variant>
      <vt:variant>
        <vt:lpwstr>_Toc195897891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Madyniak Anna</dc:creator>
  <cp:keywords/>
  <dc:description/>
  <cp:lastModifiedBy>Madyniak Anna</cp:lastModifiedBy>
  <cp:revision>3</cp:revision>
  <dcterms:created xsi:type="dcterms:W3CDTF">2025-07-09T14:42:00Z</dcterms:created>
  <dcterms:modified xsi:type="dcterms:W3CDTF">2025-08-06T12:46:00Z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0x010100C6A0E0BFCF9A9445871829823D8E485C</vt:lpwstr>
  </property>
</Properties>
</file>